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Earley Michelle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 KATY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MURPHY OIL CORP</w:t>
              </w:r>
            </w:hyperlink>
            <w:r>
              <w:rPr/>
              <w:t xml:space="preserve"> [ </w:t>
            </w:r>
            <w:r>
              <w:rPr>
                <w:rFonts w:ascii="Times;serif" w:hAnsi="Times;serif"/>
                <w:color w:val="0000FF"/>
                <w:sz w:val="24"/>
                <w:shd w:fill="FFFFFF" w:val="clear"/>
              </w:rPr>
              <w:t>MUR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Award granted under the 2026 Stock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generally do not carry a Conversion Price, Exercisable Date, or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represent fully-vested restricted stock units ("RSUs") issued in lieu of quarterly cash retainer(s) payable under Murphy Oil Corporation's Non-Employee Director Deferred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Tricia M. Hammons,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7080" TargetMode="External"/><Relationship Id="rId5" Type="http://schemas.openxmlformats.org/officeDocument/2006/relationships/hyperlink" Target="http://www.sec.gov/cgi-bin/browse-edgar?action=getcompany&amp;CIK=0000717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3682</Characters>
  <CharactersWithSpaces>4281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