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200" w:after="283"/>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color w:val="000000"/>
          <w:sz w:val="20"/>
        </w:rPr>
        <w:t>May 6, 2026</w:t>
      </w:r>
    </w:p>
    <w:p>
      <w:pPr>
        <w:pStyle w:val="TextBody"/>
        <w:bidi w:val="0"/>
        <w:spacing w:lineRule="auto" w:line="288" w:before="360" w:after="283"/>
        <w:jc w:val="center"/>
        <w:rPr>
          <w:rFonts w:ascii="Times New Roman;serif" w:hAnsi="Times New Roman;serif"/>
          <w:b/>
          <w:color w:val="000000"/>
          <w:sz w:val="36"/>
        </w:rPr>
      </w:pPr>
      <w:r>
        <w:rPr>
          <w:rFonts w:ascii="Times New Roman;serif" w:hAnsi="Times New Roman;serif"/>
          <w:b/>
          <w:color w:val="000000"/>
          <w:sz w:val="36"/>
        </w:rPr>
        <w:t>MURPHY OIL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8812" w:type="dxa"/>
        <w:jc w:val="center"/>
        <w:tblInd w:w="0" w:type="dxa"/>
        <w:tblLayout w:type="fixed"/>
        <w:tblCellMar>
          <w:top w:w="28" w:type="dxa"/>
          <w:left w:w="28" w:type="dxa"/>
          <w:bottom w:w="28" w:type="dxa"/>
          <w:right w:w="28" w:type="dxa"/>
        </w:tblCellMar>
      </w:tblPr>
      <w:tblGrid>
        <w:gridCol w:w="1220"/>
        <w:gridCol w:w="1070"/>
        <w:gridCol w:w="1085"/>
        <w:gridCol w:w="109"/>
        <w:gridCol w:w="109"/>
        <w:gridCol w:w="109"/>
        <w:gridCol w:w="677"/>
        <w:gridCol w:w="677"/>
        <w:gridCol w:w="685"/>
        <w:gridCol w:w="109"/>
        <w:gridCol w:w="109"/>
        <w:gridCol w:w="109"/>
        <w:gridCol w:w="801"/>
        <w:gridCol w:w="801"/>
        <w:gridCol w:w="1142"/>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1-8590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71-0361522</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488"/>
        <w:gridCol w:w="488"/>
        <w:gridCol w:w="488"/>
        <w:gridCol w:w="471"/>
        <w:gridCol w:w="471"/>
        <w:gridCol w:w="471"/>
        <w:gridCol w:w="471"/>
        <w:gridCol w:w="471"/>
        <w:gridCol w:w="4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9805 Katy Fwy, Suite G-200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Houston,</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77024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center"/>
        <w:tblInd w:w="0" w:type="dxa"/>
        <w:tblLayout w:type="fixed"/>
        <w:tblCellMar>
          <w:top w:w="28" w:type="dxa"/>
          <w:left w:w="28" w:type="dxa"/>
          <w:bottom w:w="28" w:type="dxa"/>
          <w:right w:w="28" w:type="dxa"/>
        </w:tblCellMar>
      </w:tblPr>
      <w:tblGrid>
        <w:gridCol w:w="124"/>
        <w:gridCol w:w="109"/>
        <w:gridCol w:w="109"/>
        <w:gridCol w:w="608"/>
        <w:gridCol w:w="608"/>
        <w:gridCol w:w="615"/>
        <w:gridCol w:w="1017"/>
        <w:gridCol w:w="1017"/>
        <w:gridCol w:w="102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200" w:after="283"/>
              <w:jc w:val="right"/>
              <w:rPr>
                <w:rFonts w:ascii="Times New Roman;serif" w:hAnsi="Times New Roman;serif"/>
                <w:b/>
                <w:color w:val="000000"/>
                <w:sz w:val="20"/>
              </w:rPr>
            </w:pPr>
            <w:r>
              <w:rPr>
                <w:rFonts w:ascii="Times New Roman;serif" w:hAnsi="Times New Roman;serif"/>
                <w:b/>
                <w:color w:val="000000"/>
                <w:sz w:val="20"/>
              </w:rPr>
              <w:t>(281)</w:t>
            </w:r>
          </w:p>
        </w:tc>
        <w:tc>
          <w:tcPr>
            <w:tcW w:w="3057"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675-9000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 (see General Instruction A.2. below):</w:t>
      </w:r>
    </w:p>
    <w:tbl>
      <w:tblPr>
        <w:tblW w:w="9057" w:type="dxa"/>
        <w:jc w:val="left"/>
        <w:tblInd w:w="0" w:type="dxa"/>
        <w:tblLayout w:type="fixed"/>
        <w:tblCellMar>
          <w:top w:w="28" w:type="dxa"/>
          <w:left w:w="28" w:type="dxa"/>
          <w:bottom w:w="28" w:type="dxa"/>
          <w:right w:w="28" w:type="dxa"/>
        </w:tblCellMar>
      </w:tblPr>
      <w:tblGrid>
        <w:gridCol w:w="124"/>
        <w:gridCol w:w="109"/>
        <w:gridCol w:w="109"/>
        <w:gridCol w:w="2551"/>
        <w:gridCol w:w="2551"/>
        <w:gridCol w:w="36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092" w:type="dxa"/>
        <w:jc w:val="left"/>
        <w:tblInd w:w="0" w:type="dxa"/>
        <w:tblLayout w:type="fixed"/>
        <w:tblCellMar>
          <w:top w:w="28" w:type="dxa"/>
          <w:left w:w="28" w:type="dxa"/>
          <w:bottom w:w="28" w:type="dxa"/>
          <w:right w:w="28" w:type="dxa"/>
        </w:tblCellMar>
      </w:tblPr>
      <w:tblGrid>
        <w:gridCol w:w="907"/>
        <w:gridCol w:w="793"/>
        <w:gridCol w:w="804"/>
        <w:gridCol w:w="424"/>
        <w:gridCol w:w="424"/>
        <w:gridCol w:w="426"/>
        <w:gridCol w:w="970"/>
        <w:gridCol w:w="970"/>
        <w:gridCol w:w="1374"/>
      </w:tblGrid>
      <w:tr>
        <w:trPr/>
        <w:tc>
          <w:tcPr>
            <w:tcW w:w="9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Title of each class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$1.00 Par Value</w:t>
            </w:r>
          </w:p>
        </w:tc>
        <w:tc>
          <w:tcPr>
            <w:tcW w:w="1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MUR</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160" w:after="283"/>
        <w:jc w:val="left"/>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color w:val="000000"/>
        </w:rPr>
        <w:t xml:space="preserve"> ☐</w:t>
      </w:r>
    </w:p>
    <w:p>
      <w:pPr>
        <w:pStyle w:val="TextBody"/>
        <w:bidi w:val="0"/>
        <w:spacing w:lineRule="auto" w:line="288" w:before="260" w:after="283"/>
        <w:jc w:val="left"/>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color w:val="000000"/>
          <w:sz w:val="24"/>
        </w:rPr>
        <w:t>Item</w:t>
      </w:r>
      <w:r>
        <w:rPr>
          <w:color w:val="000000"/>
        </w:rPr>
        <w:t xml:space="preserve"> </w:t>
      </w:r>
      <w:r>
        <w:rPr>
          <w:rFonts w:ascii="Times New Roman;serif" w:hAnsi="Times New Roman;serif"/>
          <w:b/>
          <w:color w:val="000000"/>
          <w:sz w:val="24"/>
        </w:rPr>
        <w:t>2.02.   Results of Operations and Financial Condition</w:t>
      </w:r>
    </w:p>
    <w:p>
      <w:pPr>
        <w:pStyle w:val="TextBody"/>
        <w:bidi w:val="0"/>
        <w:spacing w:lineRule="auto" w:line="288" w:before="200" w:after="283"/>
        <w:jc w:val="left"/>
        <w:rPr>
          <w:rFonts w:ascii="Times New Roman;serif" w:hAnsi="Times New Roman;serif"/>
          <w:b w:val="false"/>
          <w:color w:val="000000"/>
          <w:sz w:val="24"/>
        </w:rPr>
      </w:pPr>
      <w:r>
        <w:rPr>
          <w:rFonts w:ascii="Times New Roman;serif" w:hAnsi="Times New Roman;serif"/>
          <w:b w:val="false"/>
          <w:color w:val="000000"/>
          <w:sz w:val="24"/>
        </w:rPr>
        <w:t>The following information is furnished pursuant to Item 2.02, “Results of Operations and Financial Condition.”</w:t>
      </w:r>
    </w:p>
    <w:p>
      <w:pPr>
        <w:pStyle w:val="TextBody"/>
        <w:bidi w:val="0"/>
        <w:spacing w:lineRule="auto" w:line="288" w:before="200" w:after="200"/>
        <w:jc w:val="left"/>
        <w:rPr>
          <w:rFonts w:ascii="Times New Roman;serif" w:hAnsi="Times New Roman;serif"/>
          <w:b w:val="false"/>
          <w:color w:val="000000"/>
          <w:sz w:val="24"/>
        </w:rPr>
      </w:pPr>
      <w:r>
        <w:rPr>
          <w:rFonts w:ascii="Times New Roman;serif" w:hAnsi="Times New Roman;serif"/>
          <w:b w:val="false"/>
          <w:color w:val="000000"/>
          <w:sz w:val="24"/>
        </w:rPr>
        <w:t>On May 6, 2026 Murphy Oil Corporation (“the Company”) issued a news release announcing its financial and operating results for the quarter ended March 31, 2026. The full text of this news release is attached hereto as Exhibit 99.1. The Company also issued a quarterly stockholder update as a supplement to the earnings release, which is furnished hereto as Exhibit 99.2.</w:t>
      </w:r>
    </w:p>
    <w:p>
      <w:pPr>
        <w:pStyle w:val="TextBody"/>
        <w:bidi w:val="0"/>
        <w:spacing w:lineRule="auto" w:line="288" w:before="20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The information contained in this report and the exhibits hereto shall not be deemed to be “filed” for purposes of Section 18 of the Securities Exchange Act of 1934, nor shall it be deemed incorporated by reference in any filing under the Securities Act of 1933, as amended, unless specifically identified as such.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tbl>
      <w:tblPr>
        <w:tblW w:w="6976" w:type="dxa"/>
        <w:jc w:val="left"/>
        <w:tblInd w:w="0" w:type="dxa"/>
        <w:tblLayout w:type="fixed"/>
        <w:tblCellMar>
          <w:top w:w="28" w:type="dxa"/>
          <w:left w:w="28" w:type="dxa"/>
          <w:bottom w:w="28" w:type="dxa"/>
          <w:right w:w="28" w:type="dxa"/>
        </w:tblCellMar>
      </w:tblPr>
      <w:tblGrid>
        <w:gridCol w:w="174"/>
        <w:gridCol w:w="153"/>
        <w:gridCol w:w="154"/>
        <w:gridCol w:w="1895"/>
        <w:gridCol w:w="1895"/>
        <w:gridCol w:w="270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mur-2026q1xex991.htm">
              <w:r>
                <w:rPr>
                  <w:rStyle w:val="InternetLink"/>
                  <w:rFonts w:ascii="Times New Roman;serif" w:hAnsi="Times New Roman;serif"/>
                  <w:b w:val="false"/>
                  <w:color w:val="0000FF"/>
                  <w:sz w:val="20"/>
                  <w:u w:val="single"/>
                </w:rPr>
                <w:t>99.1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ur-2026q1xex991.htm">
              <w:r>
                <w:rPr>
                  <w:rStyle w:val="InternetLink"/>
                  <w:rFonts w:ascii="Times New Roman;serif" w:hAnsi="Times New Roman;serif"/>
                  <w:b w:val="false"/>
                  <w:color w:val="0000FF"/>
                  <w:sz w:val="20"/>
                  <w:u w:val="single"/>
                </w:rPr>
                <w:t>Murphy Oil Corporation Announces First Quarter Results, dated May 6,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mur-2026q1xex992.htm">
              <w:r>
                <w:rPr>
                  <w:rStyle w:val="InternetLink"/>
                  <w:rFonts w:ascii="Times New Roman;serif" w:hAnsi="Times New Roman;serif"/>
                  <w:b w:val="false"/>
                  <w:color w:val="0000FF"/>
                  <w:sz w:val="20"/>
                  <w:u w:val="single"/>
                </w:rPr>
                <w:t>99.2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ur-2026q1xex992.htm">
              <w:r>
                <w:rPr>
                  <w:rStyle w:val="InternetLink"/>
                  <w:rFonts w:ascii="Times New Roman;serif" w:hAnsi="Times New Roman;serif"/>
                  <w:b w:val="false"/>
                  <w:color w:val="0000FF"/>
                  <w:sz w:val="20"/>
                  <w:u w:val="single"/>
                </w:rPr>
                <w:t>Quarterly Stockholder Update by Murphy Oil Corporation, dated May 6, 2026</w:t>
              </w:r>
            </w:hyperlink>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6495"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64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200" w:after="283"/>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bl>
      <w:tblPr>
        <w:tblW w:w="6411" w:type="dxa"/>
        <w:jc w:val="left"/>
        <w:tblInd w:w="0" w:type="dxa"/>
        <w:tblLayout w:type="fixed"/>
        <w:tblCellMar>
          <w:top w:w="28" w:type="dxa"/>
          <w:left w:w="28" w:type="dxa"/>
          <w:bottom w:w="28" w:type="dxa"/>
          <w:right w:w="28" w:type="dxa"/>
        </w:tblCellMar>
      </w:tblPr>
      <w:tblGrid>
        <w:gridCol w:w="688"/>
        <w:gridCol w:w="607"/>
        <w:gridCol w:w="610"/>
        <w:gridCol w:w="517"/>
        <w:gridCol w:w="517"/>
        <w:gridCol w:w="517"/>
        <w:gridCol w:w="861"/>
        <w:gridCol w:w="861"/>
        <w:gridCol w:w="1233"/>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MURPHY OIL </w:t>
            </w:r>
            <w:r>
              <w:rPr>
                <w:rFonts w:ascii="Times New Roman;serif" w:hAnsi="Times New Roman;serif"/>
                <w:b w:val="false"/>
                <w:color w:val="000000"/>
                <w:sz w:val="22"/>
              </w:rPr>
              <w:t>CORPORATION</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May 6, 2026</w:t>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Paul D. Vaughan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Paul D. Vaughan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Vice President and Controller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Index</w:t>
      </w:r>
    </w:p>
    <w:tbl>
      <w:tblPr>
        <w:tblW w:w="7336" w:type="dxa"/>
        <w:jc w:val="left"/>
        <w:tblInd w:w="0" w:type="dxa"/>
        <w:tblLayout w:type="fixed"/>
        <w:tblCellMar>
          <w:top w:w="28" w:type="dxa"/>
          <w:left w:w="28" w:type="dxa"/>
          <w:bottom w:w="28" w:type="dxa"/>
          <w:right w:w="28" w:type="dxa"/>
        </w:tblCellMar>
      </w:tblPr>
      <w:tblGrid>
        <w:gridCol w:w="266"/>
        <w:gridCol w:w="234"/>
        <w:gridCol w:w="236"/>
        <w:gridCol w:w="1932"/>
        <w:gridCol w:w="1932"/>
        <w:gridCol w:w="273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mur-2026q1xex991.htm">
              <w:r>
                <w:rPr>
                  <w:rStyle w:val="InternetLink"/>
                  <w:rFonts w:ascii="Times New Roman;serif" w:hAnsi="Times New Roman;serif"/>
                  <w:b w:val="false"/>
                  <w:color w:val="0000FF"/>
                  <w:sz w:val="20"/>
                  <w:u w:val="single"/>
                </w:rPr>
                <w:t>99.1</w:t>
              </w:r>
            </w:hyperlink>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6q1xex991.htm">
              <w:r>
                <w:rPr>
                  <w:rStyle w:val="InternetLink"/>
                  <w:rFonts w:ascii="Times New Roman;serif" w:hAnsi="Times New Roman;serif"/>
                  <w:b w:val="false"/>
                  <w:color w:val="0000FF"/>
                  <w:sz w:val="20"/>
                  <w:u w:val="single"/>
                </w:rPr>
                <w:t>Murphy Oil Corporation Announces First Quarter Results, dated May 6, 2026</w:t>
              </w:r>
            </w:hyperlink>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mur-2026q1xex992.htm">
              <w:r>
                <w:rPr>
                  <w:rStyle w:val="InternetLink"/>
                  <w:rFonts w:ascii="Times New Roman;serif" w:hAnsi="Times New Roman;serif"/>
                  <w:b w:val="false"/>
                  <w:color w:val="0000FF"/>
                  <w:sz w:val="20"/>
                  <w:u w:val="single"/>
                </w:rPr>
                <w:t>99.2</w:t>
              </w:r>
            </w:hyperlink>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6q1xex992.htm">
              <w:r>
                <w:rPr>
                  <w:rStyle w:val="InternetLink"/>
                  <w:rFonts w:ascii="Times New Roman;serif" w:hAnsi="Times New Roman;serif"/>
                  <w:b w:val="false"/>
                  <w:color w:val="0000FF"/>
                  <w:sz w:val="20"/>
                  <w:u w:val="single"/>
                </w:rPr>
                <w:t>Quarterly Stockholder Update by Murphy Oil Corporation, dated May 6, 2026</w:t>
              </w:r>
            </w:hyperlink>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6600"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6600"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200" w:after="200"/>
        <w:jc w:val="right"/>
        <w:rPr>
          <w:rFonts w:ascii="Avenir Next LT Pro;sans-serif" w:hAnsi="Avenir Next LT Pro;sans-serif"/>
          <w:b/>
          <w:color w:val="000000"/>
          <w:sz w:val="24"/>
        </w:rPr>
      </w:pPr>
      <w:r>
        <w:rPr>
          <w:rFonts w:ascii="Avenir Next LT Pro;sans-serif" w:hAnsi="Avenir Next LT Pro;sans-serif"/>
          <w:b/>
          <w:color w:val="000000"/>
          <w:sz w:val="24"/>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4.4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200"/>
        <w:jc w:val="both"/>
        <w:rPr/>
      </w:pPr>
      <w:r>
        <w:rPr/>
        <w:drawing>
          <wp:inline distT="0" distB="0" distL="0" distR="0">
            <wp:extent cx="2190750" cy="9048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190750" cy="904875"/>
                    </a:xfrm>
                    <a:prstGeom prst="rect">
                      <a:avLst/>
                    </a:prstGeom>
                  </pic:spPr>
                </pic:pic>
              </a:graphicData>
            </a:graphic>
          </wp:inline>
        </w:drawing>
      </w:r>
    </w:p>
    <w:p>
      <w:pPr>
        <w:pStyle w:val="TextBody"/>
        <w:bidi w:val="0"/>
        <w:spacing w:lineRule="auto" w:line="319" w:before="200" w:after="200"/>
        <w:ind w:left="0" w:right="0" w:firstLine="180"/>
        <w:jc w:val="left"/>
        <w:rPr>
          <w:rFonts w:ascii="Avenir Next LT Pro;sans-serif" w:hAnsi="Avenir Next LT Pro;sans-serif"/>
          <w:b/>
          <w:color w:val="000000"/>
          <w:sz w:val="28"/>
        </w:rPr>
      </w:pPr>
      <w:r>
        <w:rPr>
          <w:rFonts w:ascii="Avenir Next LT Pro;sans-serif" w:hAnsi="Avenir Next LT Pro;sans-serif"/>
          <w:b/>
          <w:color w:val="000000"/>
          <w:sz w:val="28"/>
        </w:rPr>
        <w:t>NEWS RELEASE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180"/>
        <w:jc w:val="center"/>
        <w:rPr>
          <w:rFonts w:ascii="Avenir Next LT Pro;sans-serif" w:hAnsi="Avenir Next LT Pro;sans-serif"/>
          <w:b/>
          <w:color w:val="000000"/>
          <w:sz w:val="24"/>
          <w:shd w:fill="FFFFFF" w:val="clear"/>
        </w:rPr>
      </w:pPr>
      <w:r>
        <w:rPr>
          <w:rFonts w:ascii="Avenir Next LT Pro;sans-serif" w:hAnsi="Avenir Next LT Pro;sans-serif"/>
          <w:b/>
          <w:color w:val="000000"/>
          <w:sz w:val="24"/>
          <w:shd w:fill="FFFFFF" w:val="clear"/>
        </w:rPr>
        <w:t>MURPHY OIL CORPORATION ANNOUNCES FIRST QUARTER RESULTS</w:t>
      </w:r>
    </w:p>
    <w:p>
      <w:pPr>
        <w:pStyle w:val="TextBody"/>
        <w:bidi w:val="0"/>
        <w:spacing w:lineRule="auto" w:line="288" w:before="0" w:after="40"/>
        <w:jc w:val="center"/>
        <w:rPr>
          <w:rFonts w:ascii="Avenir Next LT Pro;sans-serif" w:hAnsi="Avenir Next LT Pro;sans-serif"/>
          <w:b/>
          <w:i/>
          <w:color w:val="000000"/>
          <w:sz w:val="24"/>
          <w:shd w:fill="FFFFFF" w:val="clear"/>
        </w:rPr>
      </w:pPr>
      <w:r>
        <w:rPr>
          <w:rFonts w:ascii="Avenir Next LT Pro;sans-serif" w:hAnsi="Avenir Next LT Pro;sans-serif"/>
          <w:b/>
          <w:i/>
          <w:color w:val="000000"/>
          <w:sz w:val="24"/>
          <w:shd w:fill="FFFFFF" w:val="clear"/>
        </w:rPr>
        <w:t xml:space="preserve">Exceeded Upper End of Guidance Range with Production of 174 MBOEPD </w:t>
        <w:br/>
        <w:t>Spud Chinook #8 Development Well in Gulf of America, Hai Su Vang-3X Appraisal Well in Vietnam, and Bubale-1X Exploration Well in Côte d’Ivoire in Line with Plan</w:t>
      </w:r>
    </w:p>
    <w:p>
      <w:pPr>
        <w:pStyle w:val="TextBody"/>
        <w:bidi w:val="0"/>
        <w:spacing w:lineRule="auto" w:line="300" w:before="0" w:after="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br/>
        <w:t xml:space="preserve">HOUSTON, Texas, May 6, 2026 – Murphy Oil Corporation (NYSE: MUR) today announced its financial and operating results for the first quarter ended March 31, 2026. As a supplement to this release, Murphy has also furnished a Quarterly Stockholder Update. </w:t>
      </w:r>
    </w:p>
    <w:p>
      <w:pPr>
        <w:pStyle w:val="TextBody"/>
        <w:bidi w:val="0"/>
        <w:spacing w:lineRule="auto" w:line="300" w:before="200" w:after="200"/>
        <w:jc w:val="both"/>
        <w:rPr/>
      </w:pPr>
      <w:r>
        <w:rPr>
          <w:rFonts w:ascii="Avenir Next LT Pro;sans-serif" w:hAnsi="Avenir Next LT Pro;sans-serif"/>
          <w:b w:val="false"/>
          <w:color w:val="000000"/>
          <w:sz w:val="24"/>
        </w:rPr>
        <w:t>Unless otherwise noted, the financial and operating highlights and metrics discussed in this commentary exclude noncontrolling interest (NCI).</w:t>
      </w:r>
      <w:r>
        <w:rPr>
          <w:color w:val="000000"/>
        </w:rPr>
        <w:t>†</w:t>
      </w:r>
    </w:p>
    <w:tbl>
      <w:tblPr>
        <w:tblW w:w="10205" w:type="dxa"/>
        <w:jc w:val="left"/>
        <w:tblInd w:w="0" w:type="dxa"/>
        <w:tblLayout w:type="fixed"/>
        <w:tblCellMar>
          <w:top w:w="28" w:type="dxa"/>
          <w:left w:w="28" w:type="dxa"/>
          <w:bottom w:w="28" w:type="dxa"/>
          <w:right w:w="28" w:type="dxa"/>
        </w:tblCellMar>
      </w:tblPr>
      <w:tblGrid>
        <w:gridCol w:w="2569"/>
        <w:gridCol w:w="2132"/>
        <w:gridCol w:w="2139"/>
        <w:gridCol w:w="109"/>
        <w:gridCol w:w="109"/>
        <w:gridCol w:w="652"/>
        <w:gridCol w:w="2082"/>
        <w:gridCol w:w="413"/>
      </w:tblGrid>
      <w:tr>
        <w:trPr/>
        <w:tc>
          <w:tcPr>
            <w:tcW w:w="2569"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 except volumes and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March 31, 2026</w:t>
            </w:r>
          </w:p>
        </w:tc>
      </w:tr>
      <w:tr>
        <w:trPr/>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53.0</w:t>
            </w:r>
            <w:r>
              <w:rPr>
                <w:color w:val="000000"/>
              </w:rPr>
              <w:t> </w:t>
            </w:r>
          </w:p>
        </w:tc>
        <w:tc>
          <w:tcPr>
            <w:tcW w:w="4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0.37</w:t>
            </w:r>
            <w:r>
              <w:rPr>
                <w:color w:val="000000"/>
              </w:rPr>
              <w:t> </w:t>
            </w:r>
          </w:p>
        </w:tc>
        <w:tc>
          <w:tcPr>
            <w:tcW w:w="4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Adjusted net income from continuing operations attributable to Murphy </w:t>
            </w:r>
          </w:p>
          <w:p>
            <w:pPr>
              <w:pStyle w:val="TableContents"/>
              <w:bidi w:val="0"/>
              <w:spacing w:lineRule="auto" w:line="240" w:before="0" w:after="0"/>
              <w:jc w:val="left"/>
              <w:rPr/>
            </w:pPr>
            <w:r>
              <w:rPr>
                <w:rFonts w:ascii="Avenir Next LT Pro;sans-serif" w:hAnsi="Avenir Next LT Pro;sans-serif"/>
                <w:b w:val="false"/>
                <w:color w:val="000000"/>
                <w:sz w:val="20"/>
              </w:rPr>
              <w:t xml:space="preserve">(Non-GAAP)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46.5</w:t>
            </w:r>
            <w:r>
              <w:rPr>
                <w:color w:val="000000"/>
              </w:rPr>
              <w:t> </w:t>
            </w:r>
          </w:p>
        </w:tc>
        <w:tc>
          <w:tcPr>
            <w:tcW w:w="4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Adjusted net income from continuing operations per average common share - Diluted (Non-GAAP)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0.32</w:t>
            </w:r>
            <w:r>
              <w:rPr>
                <w:color w:val="000000"/>
              </w:rPr>
              <w:t> </w:t>
            </w:r>
          </w:p>
        </w:tc>
        <w:tc>
          <w:tcPr>
            <w:tcW w:w="4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Adjusted EBITDA attributable to Murphy (Non-GAAP)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382.9</w:t>
            </w:r>
            <w:r>
              <w:rPr>
                <w:color w:val="000000"/>
              </w:rPr>
              <w:t> </w:t>
            </w:r>
          </w:p>
        </w:tc>
        <w:tc>
          <w:tcPr>
            <w:tcW w:w="4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Adjusted EBITDAX attributable to Murphy (Non-GAAP)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465.7</w:t>
            </w:r>
            <w:r>
              <w:rPr>
                <w:color w:val="000000"/>
              </w:rPr>
              <w:t> </w:t>
            </w:r>
          </w:p>
        </w:tc>
        <w:tc>
          <w:tcPr>
            <w:tcW w:w="4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provided by continuing operations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321.2</w:t>
            </w:r>
            <w:r>
              <w:rPr>
                <w:color w:val="000000"/>
              </w:rPr>
              <w:t> </w:t>
            </w:r>
          </w:p>
        </w:tc>
        <w:tc>
          <w:tcPr>
            <w:tcW w:w="4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Operating cash flow excluding working capital adjustments (Non-GAAP)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429.2</w:t>
            </w:r>
            <w:r>
              <w:rPr>
                <w:color w:val="000000"/>
              </w:rPr>
              <w:t> </w:t>
            </w:r>
          </w:p>
        </w:tc>
        <w:tc>
          <w:tcPr>
            <w:tcW w:w="4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Free cash flow (Non-GAAP)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41.4</w:t>
            </w:r>
            <w:r>
              <w:rPr>
                <w:color w:val="000000"/>
              </w:rPr>
              <w:t> </w:t>
            </w:r>
          </w:p>
        </w:tc>
        <w:tc>
          <w:tcPr>
            <w:tcW w:w="4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Oil production, net (BOPD)</w:t>
            </w:r>
            <w:r>
              <w:rPr>
                <w:color w:val="000000"/>
              </w:rPr>
              <w:t xml:space="preserv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87,217</w:t>
            </w:r>
            <w:r>
              <w:rPr>
                <w:color w:val="000000"/>
              </w:rPr>
              <w:t> </w:t>
            </w:r>
          </w:p>
        </w:tc>
        <w:tc>
          <w:tcPr>
            <w:tcW w:w="4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production, net (BOEPD)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174,236</w:t>
            </w:r>
            <w:r>
              <w:rPr>
                <w:color w:val="000000"/>
              </w:rPr>
              <w:t> </w:t>
            </w:r>
          </w:p>
        </w:tc>
        <w:tc>
          <w:tcPr>
            <w:tcW w:w="4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Capital expenditures (CAPEX) </w:t>
            </w:r>
            <w:r>
              <w:rPr>
                <w:rFonts w:ascii="Avenir Next LT Pro;sans-serif" w:hAnsi="Avenir Next LT Pro;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465.0</w:t>
            </w:r>
            <w:r>
              <w:rPr>
                <w:color w:val="000000"/>
              </w:rPr>
              <w:t> </w:t>
            </w:r>
          </w:p>
        </w:tc>
        <w:tc>
          <w:tcPr>
            <w:tcW w:w="4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Lease operating expense from continuing operations ($/BOE)</w:t>
            </w:r>
            <w:r>
              <w:rPr>
                <w:color w:val="000000"/>
              </w:rPr>
              <w:t xml:space="preserv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8.70</w:t>
            </w:r>
            <w:r>
              <w:rPr>
                <w:color w:val="000000"/>
              </w:rPr>
              <w:t> </w:t>
            </w:r>
          </w:p>
        </w:tc>
        <w:tc>
          <w:tcPr>
            <w:tcW w:w="4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86"/>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 xml:space="preserve">Please see our schedules of </w:t>
      </w:r>
      <w:hyperlink w:anchor="i489adfd8cf6149318ebad024492719a9_19">
        <w:r>
          <w:rPr>
            <w:rStyle w:val="InternetLink"/>
            <w:rFonts w:ascii="Avenir Next LT Pro;sans-serif" w:hAnsi="Avenir Next LT Pro;sans-serif"/>
            <w:b w:val="false"/>
            <w:color w:val="0000FF"/>
            <w:sz w:val="18"/>
            <w:u w:val="single"/>
          </w:rPr>
          <w:t>adjusted net income</w:t>
        </w:r>
      </w:hyperlink>
      <w:r>
        <w:rPr>
          <w:rFonts w:ascii="Avenir Next LT Pro;sans-serif" w:hAnsi="Avenir Next LT Pro;sans-serif"/>
          <w:b w:val="false"/>
          <w:color w:val="000000"/>
          <w:sz w:val="18"/>
        </w:rPr>
        <w:t xml:space="preserve">, </w:t>
      </w:r>
      <w:hyperlink w:anchor="i489adfd8cf6149318ebad024492719a9_22">
        <w:r>
          <w:rPr>
            <w:rStyle w:val="InternetLink"/>
            <w:rFonts w:ascii="Avenir Next LT Pro;sans-serif" w:hAnsi="Avenir Next LT Pro;sans-serif"/>
            <w:b w:val="false"/>
            <w:color w:val="0000FF"/>
            <w:sz w:val="18"/>
            <w:u w:val="single"/>
          </w:rPr>
          <w:t>adjusted EBITDA and adjusted EBITDAX</w:t>
        </w:r>
      </w:hyperlink>
      <w:r>
        <w:rPr>
          <w:color w:val="000000"/>
        </w:rPr>
        <w:t xml:space="preserve"> </w:t>
      </w:r>
      <w:r>
        <w:rPr>
          <w:rFonts w:ascii="Avenir Next LT Pro;sans-serif" w:hAnsi="Avenir Next LT Pro;sans-serif"/>
          <w:b w:val="false"/>
          <w:color w:val="000000"/>
          <w:sz w:val="18"/>
        </w:rPr>
        <w:t xml:space="preserve">and </w:t>
      </w:r>
      <w:hyperlink w:anchor="i489adfd8cf6149318ebad024492719a9_25">
        <w:r>
          <w:rPr>
            <w:rStyle w:val="InternetLink"/>
            <w:rFonts w:ascii="Avenir Next LT Pro;sans-serif" w:hAnsi="Avenir Next LT Pro;sans-serif"/>
            <w:b w:val="false"/>
            <w:color w:val="0000FF"/>
            <w:sz w:val="18"/>
            <w:u w:val="single"/>
          </w:rPr>
          <w:t>free cash flow</w:t>
        </w:r>
      </w:hyperlink>
      <w:r>
        <w:rPr>
          <w:color w:val="000000"/>
        </w:rPr>
        <w:t xml:space="preserve"> </w:t>
      </w:r>
      <w:r>
        <w:rPr>
          <w:rFonts w:ascii="Avenir Next LT Pro;sans-serif" w:hAnsi="Avenir Next LT Pro;sans-serif"/>
          <w:b w:val="false"/>
          <w:color w:val="000000"/>
          <w:sz w:val="18"/>
        </w:rPr>
        <w:t>for details and reconciliations of non-GAAP financial measures to the most directly comparable GAAP financial measures.</w:t>
      </w:r>
    </w:p>
    <w:p>
      <w:pPr>
        <w:pStyle w:val="TextBody"/>
        <w:bidi w:val="0"/>
        <w:spacing w:lineRule="auto" w:line="264" w:before="20" w:after="283"/>
        <w:ind w:left="0" w:right="0" w:hanging="86"/>
        <w:jc w:val="left"/>
        <w:rPr/>
      </w:pPr>
      <w:r>
        <w:rPr>
          <w:rFonts w:ascii="Avenir Next LT Pro;sans-serif" w:hAnsi="Avenir Next LT Pro;sans-serif"/>
          <w:b w:val="false"/>
          <w:color w:val="000000"/>
          <w:sz w:val="12"/>
        </w:rPr>
        <w:t xml:space="preserve">2 </w:t>
      </w:r>
      <w:r>
        <w:rPr>
          <w:rFonts w:ascii="Avenir Next LT Pro;sans-serif" w:hAnsi="Avenir Next LT Pro;sans-serif"/>
          <w:b w:val="false"/>
          <w:color w:val="000000"/>
          <w:sz w:val="18"/>
        </w:rPr>
        <w:t>Barrels of oil per day (BOPD), barrels of oil equivalent (BOE) and barrels of oil equivalent per day (BOEPD).</w:t>
      </w:r>
    </w:p>
    <w:p>
      <w:pPr>
        <w:pStyle w:val="TextBody"/>
        <w:bidi w:val="0"/>
        <w:spacing w:lineRule="auto" w:line="264" w:before="20" w:after="283"/>
        <w:ind w:left="0" w:right="0" w:hanging="86"/>
        <w:jc w:val="left"/>
        <w:rPr/>
      </w:pPr>
      <w:r>
        <w:rPr>
          <w:rFonts w:ascii="Avenir Next LT Pro;sans-serif" w:hAnsi="Avenir Next LT Pro;sans-serif"/>
          <w:b w:val="false"/>
          <w:color w:val="000000"/>
          <w:sz w:val="12"/>
        </w:rPr>
        <w:t xml:space="preserve">3 </w:t>
      </w:r>
      <w:r>
        <w:rPr>
          <w:rFonts w:ascii="Avenir Next LT Pro;sans-serif" w:hAnsi="Avenir Next LT Pro;sans-serif"/>
          <w:b w:val="false"/>
          <w:color w:val="000000"/>
          <w:sz w:val="18"/>
        </w:rPr>
        <w:t>Capital expenditures for the first quarter ended March 31, 2026 excluding acquisition-related costs of $22.7 million were $442.3 million.</w:t>
      </w:r>
    </w:p>
    <w:p>
      <w:pPr>
        <w:pStyle w:val="TextBody"/>
        <w:bidi w:val="0"/>
        <w:spacing w:before="20" w:after="283"/>
        <w:ind w:left="0" w:right="0" w:hanging="86"/>
        <w:jc w:val="left"/>
        <w:rPr/>
      </w:pPr>
      <w:r>
        <w:rPr/>
      </w:r>
    </w:p>
    <w:p>
      <w:pPr>
        <w:pStyle w:val="TextBody"/>
        <w:bidi w:val="0"/>
        <w:spacing w:before="200" w:after="20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4800"/>
                <wp:effectExtent l="0" t="0" r="0" b="0"/>
                <wp:wrapNone/>
                <wp:docPr id="6" name="Frame5"/>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Highlights for the first quarter include:</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Produced 174,200 BOEPD, exceeding the high end of quarterly guidance due to outperformance in the Eagle Ford Shale and strong uptime in the Gulf of America</w:t>
      </w:r>
    </w:p>
    <w:p>
      <w:pPr>
        <w:pStyle w:val="TextBody"/>
        <w:bidi w:val="0"/>
        <w:spacing w:lineRule="auto" w:line="300" w:before="0" w:after="120"/>
        <w:ind w:left="0" w:right="0" w:hanging="360"/>
        <w:jc w:val="both"/>
        <w:rPr/>
      </w:pPr>
      <w:r>
        <w:rPr>
          <w:color w:val="000000"/>
          <w:shd w:fill="FFFFFF" w:val="clear"/>
        </w:rPr>
        <w:t>•</w:t>
      </w:r>
      <w:r>
        <w:rPr>
          <w:rFonts w:ascii="Avenir Next LT Pro;sans-serif" w:hAnsi="Avenir Next LT Pro;sans-serif"/>
          <w:b w:val="false"/>
          <w:color w:val="000000"/>
          <w:sz w:val="24"/>
          <w:shd w:fill="FFFFFF" w:val="clear"/>
        </w:rPr>
        <w:t>Spud Bubale-1X, the third exploration well in C</w:t>
      </w:r>
      <w:r>
        <w:rPr>
          <w:rFonts w:ascii="Avenir Next LT Pro;sans-serif" w:hAnsi="Avenir Next LT Pro;sans-serif"/>
          <w:b w:val="false"/>
          <w:color w:val="000000"/>
          <w:sz w:val="24"/>
        </w:rPr>
        <w:t>ô</w:t>
      </w:r>
      <w:r>
        <w:rPr>
          <w:rFonts w:ascii="Avenir Next LT Pro;sans-serif" w:hAnsi="Avenir Next LT Pro;sans-serif"/>
          <w:b w:val="false"/>
          <w:color w:val="000000"/>
          <w:sz w:val="24"/>
          <w:shd w:fill="FFFFFF" w:val="clear"/>
        </w:rPr>
        <w:t xml:space="preserve">te d’Ivoire </w:t>
      </w:r>
    </w:p>
    <w:p>
      <w:pPr>
        <w:pStyle w:val="TextBody"/>
        <w:bidi w:val="0"/>
        <w:spacing w:lineRule="auto" w:line="300" w:before="0" w:after="120"/>
        <w:ind w:left="0" w:right="0" w:hanging="360"/>
        <w:jc w:val="both"/>
        <w:rPr/>
      </w:pPr>
      <w:r>
        <w:rPr>
          <w:color w:val="000000"/>
          <w:shd w:fill="FFFFFF" w:val="clear"/>
        </w:rPr>
        <w:t>•</w:t>
      </w:r>
      <w:r>
        <w:rPr>
          <w:rFonts w:ascii="Avenir Next LT Pro;sans-serif" w:hAnsi="Avenir Next LT Pro;sans-serif"/>
          <w:b w:val="false"/>
          <w:color w:val="000000"/>
          <w:sz w:val="24"/>
          <w:shd w:fill="FFFFFF" w:val="clear"/>
        </w:rPr>
        <w:t>Progressed the Hai Su Vang-3X appraisal well in Vietnam, with results from the full appraisal program anticipated in the third quarter of 2026</w:t>
      </w:r>
    </w:p>
    <w:p>
      <w:pPr>
        <w:pStyle w:val="TextBody"/>
        <w:bidi w:val="0"/>
        <w:spacing w:lineRule="auto" w:line="300" w:before="0" w:after="120"/>
        <w:ind w:left="0" w:right="0" w:hanging="360"/>
        <w:jc w:val="both"/>
        <w:rPr/>
      </w:pPr>
      <w:r>
        <w:rPr>
          <w:color w:val="000000"/>
          <w:shd w:fill="FFFFFF" w:val="clear"/>
        </w:rPr>
        <w:t>•</w:t>
      </w:r>
      <w:r>
        <w:rPr>
          <w:rFonts w:ascii="Avenir Next LT Pro;sans-serif" w:hAnsi="Avenir Next LT Pro;sans-serif"/>
          <w:b w:val="false"/>
          <w:color w:val="000000"/>
          <w:sz w:val="24"/>
          <w:shd w:fill="FFFFFF" w:val="clear"/>
        </w:rPr>
        <w:t>Spud the Chinook #8 well in the Gulf of America, a key development well expected to come online in the second half of this year with a gross initial production rate of 15 MBOEPD</w:t>
      </w:r>
    </w:p>
    <w:p>
      <w:pPr>
        <w:pStyle w:val="TextBody"/>
        <w:bidi w:val="0"/>
        <w:spacing w:lineRule="auto" w:line="300" w:before="0" w:after="120"/>
        <w:ind w:left="0" w:right="0" w:hanging="360"/>
        <w:jc w:val="both"/>
        <w:rPr/>
      </w:pPr>
      <w:r>
        <w:rPr>
          <w:color w:val="000000"/>
          <w:shd w:fill="FFFFFF" w:val="clear"/>
        </w:rPr>
        <w:t>•</w:t>
      </w:r>
      <w:r>
        <w:rPr>
          <w:rFonts w:ascii="Avenir Next LT Pro;sans-serif" w:hAnsi="Avenir Next LT Pro;sans-serif"/>
          <w:b w:val="false"/>
          <w:color w:val="000000"/>
          <w:sz w:val="24"/>
          <w:shd w:fill="FFFFFF" w:val="clear"/>
        </w:rPr>
        <w:t>Brought online 15 wells in the Eagle Ford Shale, with the wells driving a 17 percent improvement in 60-day cumulative oil production compared to wells drilled in 2025</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Subsequent to the first quarter:</w:t>
      </w:r>
    </w:p>
    <w:p>
      <w:pPr>
        <w:pStyle w:val="TextBody"/>
        <w:bidi w:val="0"/>
        <w:spacing w:lineRule="auto" w:line="300" w:before="0" w:after="120"/>
        <w:ind w:left="0" w:right="0" w:hanging="360"/>
        <w:jc w:val="both"/>
        <w:rPr/>
      </w:pPr>
      <w:r>
        <w:rPr>
          <w:color w:val="000000"/>
          <w:shd w:fill="FFFFFF" w:val="clear"/>
        </w:rPr>
        <w:t>•</w:t>
      </w:r>
      <w:r>
        <w:rPr>
          <w:rFonts w:ascii="Avenir Next LT Pro;sans-serif" w:hAnsi="Avenir Next LT Pro;sans-serif"/>
          <w:b w:val="false"/>
          <w:color w:val="000000"/>
          <w:sz w:val="24"/>
          <w:shd w:fill="FFFFFF" w:val="clear"/>
        </w:rPr>
        <w:t>Approved development of the Banjo and Cello fields, targeting first production in the fourth quarter of 2027</w:t>
      </w:r>
    </w:p>
    <w:p>
      <w:pPr>
        <w:pStyle w:val="TextBody"/>
        <w:bidi w:val="0"/>
        <w:spacing w:lineRule="auto" w:line="300" w:before="0" w:after="120"/>
        <w:ind w:left="0" w:right="0" w:hanging="360"/>
        <w:jc w:val="both"/>
        <w:rPr/>
      </w:pPr>
      <w:r>
        <w:rPr>
          <w:color w:val="000000"/>
          <w:shd w:fill="FFFFFF" w:val="clear"/>
        </w:rPr>
        <w:t>•</w:t>
      </w:r>
      <w:r>
        <w:rPr>
          <w:rFonts w:ascii="Avenir Next LT Pro;sans-serif" w:hAnsi="Avenir Next LT Pro;sans-serif"/>
          <w:b w:val="false"/>
          <w:color w:val="000000"/>
          <w:sz w:val="24"/>
          <w:shd w:fill="FFFFFF" w:val="clear"/>
        </w:rPr>
        <w:t xml:space="preserve">In late March, Murphy submitted an offer for four exploration blocks in offshore Cameroon which was accepted subsequent to quarter end; final terms are pending further discussions with the Republic of Cameroon </w:t>
      </w:r>
    </w:p>
    <w:p>
      <w:pPr>
        <w:pStyle w:val="TextBody"/>
        <w:bidi w:val="0"/>
        <w:spacing w:lineRule="auto" w:line="300" w:before="200" w:after="200"/>
        <w:jc w:val="both"/>
        <w:rPr>
          <w:color w:val="000000"/>
          <w:shd w:fill="FFFFFF" w:val="clear"/>
        </w:rPr>
      </w:pPr>
      <w:r>
        <w:rPr>
          <w:color w:val="000000"/>
          <w:shd w:fill="FFFFFF" w:val="clear"/>
        </w:rPr>
        <w:t>“</w:t>
      </w:r>
      <w:r>
        <w:rPr>
          <w:rFonts w:ascii="Avenir Next LT Pro;sans-serif" w:hAnsi="Avenir Next LT Pro;sans-serif"/>
          <w:b w:val="false"/>
          <w:color w:val="000000"/>
          <w:sz w:val="24"/>
          <w:shd w:fill="FFFFFF" w:val="clear"/>
        </w:rPr>
        <w:t>During these uncertain times, our strategy is to stay anchored to what we control—disciplined capital allocation, safe and reliable operations, and our long</w:t>
        <w:noBreakHyphen/>
        <w:t xml:space="preserve">cycle projects. In the first quarter, this focus translated into strong execution across our portfolio with meaningful progress at Lac Da Vang in Vietnam, advancement of the high-impact Chinook #8 well in the Gulf of America, and sustained outperformance from our US and Canada onshore programs,” stated Eric M. Hambly, President and Chief Executive Officer. </w:t>
      </w:r>
    </w:p>
    <w:p>
      <w:pPr>
        <w:pStyle w:val="TextBody"/>
        <w:bidi w:val="0"/>
        <w:spacing w:lineRule="auto" w:line="288" w:before="200" w:after="200"/>
        <w:jc w:val="left"/>
        <w:rPr>
          <w:rFonts w:ascii="Avenir Next LT Pro;sans-serif" w:hAnsi="Avenir Next LT Pro;sans-serif"/>
          <w:b/>
          <w:color w:val="000000"/>
          <w:sz w:val="24"/>
          <w:shd w:fill="FFFFFF" w:val="clear"/>
        </w:rPr>
      </w:pPr>
      <w:r>
        <w:rPr>
          <w:rFonts w:ascii="Avenir Next LT Pro;sans-serif" w:hAnsi="Avenir Next LT Pro;sans-serif"/>
          <w:b/>
          <w:color w:val="000000"/>
          <w:sz w:val="24"/>
          <w:shd w:fill="FFFFFF" w:val="clear"/>
        </w:rPr>
        <w:t>SHAREHOLDER RETURNS</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During the first quarter of 2026, we paid $50 million in quarterly dividends. </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While the Company elected not to repurchase shares this quarter, it retained significant flexibility, with $550 million remaining under its share repurchase authorization and 143.3 million shares outstanding as of March 31, 2026.</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FINANCIAL POSITION</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had approximately $2.38 billion of liquidity on March 31, 2026, comprised of the undrawn $2.00 billion senior unsecured credit facility and approximately $380 million of cash and cash equivalents, inclusive of NCI. During the quarter, Murphy paid down $100 million of debt under the senior unsecured credit facility.</w:t>
      </w:r>
    </w:p>
    <w:p>
      <w:pPr>
        <w:pStyle w:val="TextBody"/>
        <w:bidi w:val="0"/>
        <w:spacing w:before="200" w:after="20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4800"/>
                <wp:effectExtent l="0" t="0" r="0" b="0"/>
                <wp:wrapNone/>
                <wp:docPr id="7" name="Frame6"/>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w:t>
                      </w:r>
                    </w:p>
                  </w:txbxContent>
                </v:textbox>
                <w10:wrap type="none"/>
              </v:rect>
            </w:pict>
          </mc:Fallback>
        </mc:AlternateContent>
      </w:r>
    </w:p>
    <w:p>
      <w:pPr>
        <w:pStyle w:val="TextBody"/>
        <w:bidi w:val="0"/>
        <w:spacing w:before="200" w:after="200"/>
        <w:jc w:val="right"/>
        <w:rPr/>
      </w:pPr>
      <w:r>
        <w:rPr/>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As of March 31, 2026, Murphy’s total debt of $1.55 billion was comprised of long-term, fixed-rate notes, with no drawings under the senior unsecured credit facility. The fixed-rate notes had a weighted average maturity of 8.9 years and a weighted average coupon of 6.2 percent.</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 xml:space="preserve">ONSHORE OPERATIONS SUMMARY </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In the first quarter of 2026, the onshore business produced approximately 106 MBOEPD, which included 36 percent liquids.</w:t>
      </w:r>
    </w:p>
    <w:tbl>
      <w:tblPr>
        <w:tblW w:w="6770" w:type="dxa"/>
        <w:jc w:val="left"/>
        <w:tblInd w:w="0" w:type="dxa"/>
        <w:tblLayout w:type="fixed"/>
        <w:tblCellMar>
          <w:top w:w="28" w:type="dxa"/>
          <w:left w:w="28" w:type="dxa"/>
          <w:bottom w:w="28" w:type="dxa"/>
          <w:right w:w="28" w:type="dxa"/>
        </w:tblCellMar>
      </w:tblPr>
      <w:tblGrid>
        <w:gridCol w:w="674"/>
        <w:gridCol w:w="592"/>
        <w:gridCol w:w="593"/>
        <w:gridCol w:w="569"/>
        <w:gridCol w:w="569"/>
        <w:gridCol w:w="571"/>
        <w:gridCol w:w="979"/>
        <w:gridCol w:w="979"/>
        <w:gridCol w:w="981"/>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Onshore </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venir Next LT Pro;sans-serif" w:hAnsi="Avenir Next LT Pro;sans-serif"/>
                <w:b/>
                <w:color w:val="000000"/>
                <w:sz w:val="20"/>
              </w:rPr>
              <w:t>Oil Production</w:t>
            </w:r>
            <w:r>
              <w:rPr>
                <w:color w:val="000000"/>
              </w:rPr>
              <w:t xml:space="preserve"> </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(BOPD) </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Total Production (BOEPD)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Eagle Ford Shale</w:t>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28,500</w:t>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39,900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Tupper Montney</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200</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61,900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Kaybob Duvernay</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2,800</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4,400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00" w:after="200"/>
        <w:jc w:val="both"/>
        <w:rPr/>
      </w:pPr>
      <w:r>
        <w:rPr>
          <w:rFonts w:ascii="Avenir Next LT Pro;sans-serif" w:hAnsi="Avenir Next LT Pro;sans-serif"/>
          <w:b/>
          <w:color w:val="000000"/>
          <w:sz w:val="24"/>
        </w:rPr>
        <w:t>Eagle Ford Shale</w:t>
      </w:r>
      <w:r>
        <w:rPr>
          <w:color w:val="000000"/>
        </w:rPr>
        <w:t xml:space="preserve"> – </w:t>
      </w:r>
      <w:r>
        <w:rPr>
          <w:rFonts w:ascii="Avenir Next LT Pro;sans-serif" w:hAnsi="Avenir Next LT Pro;sans-serif"/>
          <w:b w:val="false"/>
          <w:color w:val="000000"/>
          <w:sz w:val="24"/>
        </w:rPr>
        <w:t>Brought online fifteen new we</w:t>
      </w:r>
      <w:r>
        <w:rPr>
          <w:rFonts w:ascii="Avenir Next LT Pro;sans-serif" w:hAnsi="Avenir Next LT Pro;sans-serif"/>
          <w:b w:val="false"/>
          <w:color w:val="000000"/>
          <w:sz w:val="24"/>
          <w:shd w:fill="FFFFFF" w:val="clear"/>
        </w:rPr>
        <w:t>lls, including twelve in Karnes and three in Catarina. An additional twenty wells are expected to come online in Catarina during the remainder of 2026.</w:t>
      </w:r>
    </w:p>
    <w:p>
      <w:pPr>
        <w:pStyle w:val="TextBody"/>
        <w:bidi w:val="0"/>
        <w:spacing w:lineRule="auto" w:line="300" w:before="200" w:after="200"/>
        <w:jc w:val="both"/>
        <w:rPr/>
      </w:pPr>
      <w:r>
        <w:rPr>
          <w:rFonts w:ascii="Avenir Next LT Pro;sans-serif" w:hAnsi="Avenir Next LT Pro;sans-serif"/>
          <w:b/>
          <w:color w:val="000000"/>
          <w:sz w:val="24"/>
        </w:rPr>
        <w:t>Onshore Cana</w:t>
      </w:r>
      <w:r>
        <w:rPr>
          <w:rFonts w:ascii="Avenir Next LT Pro;sans-serif" w:hAnsi="Avenir Next LT Pro;sans-serif"/>
          <w:b/>
          <w:color w:val="000000"/>
          <w:sz w:val="24"/>
          <w:shd w:fill="FFFFFF" w:val="clear"/>
        </w:rPr>
        <w:t>da</w:t>
      </w:r>
      <w:r>
        <w:rPr>
          <w:color w:val="000000"/>
          <w:shd w:fill="FFFFFF" w:val="clear"/>
        </w:rPr>
        <w:t xml:space="preserve"> – </w:t>
      </w:r>
      <w:r>
        <w:rPr>
          <w:rFonts w:ascii="Avenir Next LT Pro;sans-serif" w:hAnsi="Avenir Next LT Pro;sans-serif"/>
          <w:b w:val="false"/>
          <w:color w:val="000000"/>
          <w:sz w:val="24"/>
          <w:shd w:fill="FFFFFF" w:val="clear"/>
        </w:rPr>
        <w:t>Progressed drilling a four-well pad in Kaybob Duvernay and brought wells online subsequent to quarter end. In Tupper Montney, progressed an eight-well pad with wells expected to come online in the third quarter of 2026.</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OFFSHORE OPERATIONS SUMMARY</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Excluding NCI, the offshore business produced approximately 68 MBOEPD in the first quarter of 2026, which included 88 percent liquids.</w:t>
      </w:r>
    </w:p>
    <w:tbl>
      <w:tblPr>
        <w:tblW w:w="7570" w:type="dxa"/>
        <w:jc w:val="left"/>
        <w:tblInd w:w="0" w:type="dxa"/>
        <w:tblLayout w:type="fixed"/>
        <w:tblCellMar>
          <w:top w:w="28" w:type="dxa"/>
          <w:left w:w="28" w:type="dxa"/>
          <w:bottom w:w="28" w:type="dxa"/>
          <w:right w:w="28" w:type="dxa"/>
        </w:tblCellMar>
      </w:tblPr>
      <w:tblGrid>
        <w:gridCol w:w="597"/>
        <w:gridCol w:w="525"/>
        <w:gridCol w:w="528"/>
        <w:gridCol w:w="869"/>
        <w:gridCol w:w="869"/>
        <w:gridCol w:w="871"/>
        <w:gridCol w:w="979"/>
        <w:gridCol w:w="979"/>
        <w:gridCol w:w="981"/>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Offshore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Oil Production (BOPD) </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Total Production (BOEPD)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Gulf of America</w:t>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46,600</w:t>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58,800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9,000</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00" w:after="200"/>
        <w:jc w:val="both"/>
        <w:rPr/>
      </w:pPr>
      <w:r>
        <w:rPr>
          <w:rFonts w:ascii="Avenir Next LT Pro;sans-serif" w:hAnsi="Avenir Next LT Pro;sans-serif"/>
          <w:b/>
          <w:color w:val="000000"/>
          <w:sz w:val="24"/>
          <w:shd w:fill="FFFFFF" w:val="clear"/>
        </w:rPr>
        <w:t>Gulf of America</w:t>
      </w:r>
      <w:r>
        <w:rPr>
          <w:color w:val="000000"/>
          <w:shd w:fill="FFFFFF" w:val="clear"/>
        </w:rPr>
        <w:t xml:space="preserve"> – </w:t>
      </w:r>
      <w:r>
        <w:rPr>
          <w:rFonts w:ascii="Avenir Next LT Pro;sans-serif" w:hAnsi="Avenir Next LT Pro;sans-serif"/>
          <w:b w:val="false"/>
          <w:color w:val="000000"/>
          <w:sz w:val="24"/>
          <w:shd w:fill="FFFFFF" w:val="clear"/>
        </w:rPr>
        <w:t>Spud the Chinook #8 development well, targeting first oil in the second half of 2026 with a gross initial production rate of 15 MBOEPD.</w:t>
      </w:r>
    </w:p>
    <w:p>
      <w:pPr>
        <w:pStyle w:val="TextBody"/>
        <w:bidi w:val="0"/>
        <w:spacing w:lineRule="auto" w:line="300" w:before="200" w:after="200"/>
        <w:jc w:val="both"/>
        <w:rPr/>
      </w:pPr>
      <w:r>
        <w:rPr>
          <w:rFonts w:ascii="Avenir Next LT Pro;sans-serif" w:hAnsi="Avenir Next LT Pro;sans-serif"/>
          <w:b/>
          <w:color w:val="000000"/>
          <w:sz w:val="24"/>
          <w:shd w:fill="FFFFFF" w:val="clear"/>
        </w:rPr>
        <w:t>Vietnam</w:t>
      </w:r>
      <w:r>
        <w:rPr>
          <w:color w:val="000000"/>
          <w:shd w:fill="FFFFFF" w:val="clear"/>
        </w:rPr>
        <w:t xml:space="preserve"> – </w:t>
      </w:r>
      <w:r>
        <w:rPr>
          <w:rFonts w:ascii="Avenir Next LT Pro;sans-serif" w:hAnsi="Avenir Next LT Pro;sans-serif"/>
          <w:b w:val="false"/>
          <w:color w:val="000000"/>
          <w:sz w:val="24"/>
          <w:shd w:fill="FFFFFF" w:val="clear"/>
        </w:rPr>
        <w:t xml:space="preserve">Progressed construction of the Floating Storage and Offloading vessel (FSO), which is now ready to launch and will be delivered to location in the third quarter of 2026 in line with schedule. The project is on track for first oil in the fourth quarter of this year. </w:t>
      </w:r>
    </w:p>
    <w:p>
      <w:pPr>
        <w:pStyle w:val="TextBody"/>
        <w:bidi w:val="0"/>
        <w:spacing w:before="200" w:after="200"/>
        <w:jc w:val="both"/>
        <w:rPr/>
      </w:pPr>
      <w:r>
        <w:rPr/>
      </w:r>
    </w:p>
    <w:p>
      <w:pPr>
        <w:pStyle w:val="TextBody"/>
        <w:bidi w:val="0"/>
        <w:spacing w:before="200" w:after="20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4800"/>
                <wp:effectExtent l="0" t="0" r="0" b="0"/>
                <wp:wrapNone/>
                <wp:docPr id="8" name="Frame7"/>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3</w:t>
                      </w:r>
                    </w:p>
                  </w:txbxContent>
                </v:textbox>
                <w10:wrap type="none"/>
              </v:rect>
            </w:pict>
          </mc:Fallback>
        </mc:AlternateContent>
      </w:r>
    </w:p>
    <w:p>
      <w:pPr>
        <w:pStyle w:val="TextBody"/>
        <w:bidi w:val="0"/>
        <w:spacing w:before="200" w:after="200"/>
        <w:jc w:val="right"/>
        <w:rPr/>
      </w:pPr>
      <w:r>
        <w:rPr/>
      </w:r>
    </w:p>
    <w:p>
      <w:pPr>
        <w:pStyle w:val="TextBody"/>
        <w:bidi w:val="0"/>
        <w:spacing w:lineRule="auto" w:line="240"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2Q 2026 PRODUCTION AND CAPITAL EXPENDITURE GUIDANCE</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The table below illustrates second quarter 2026 guidance.</w:t>
      </w:r>
    </w:p>
    <w:tbl>
      <w:tblPr>
        <w:tblW w:w="10205" w:type="dxa"/>
        <w:jc w:val="left"/>
        <w:tblInd w:w="0" w:type="dxa"/>
        <w:tblLayout w:type="fixed"/>
        <w:tblCellMar>
          <w:top w:w="28" w:type="dxa"/>
          <w:left w:w="28" w:type="dxa"/>
          <w:bottom w:w="28" w:type="dxa"/>
          <w:right w:w="28" w:type="dxa"/>
        </w:tblCellMar>
      </w:tblPr>
      <w:tblGrid>
        <w:gridCol w:w="677"/>
        <w:gridCol w:w="595"/>
        <w:gridCol w:w="595"/>
        <w:gridCol w:w="595"/>
        <w:gridCol w:w="595"/>
        <w:gridCol w:w="597"/>
        <w:gridCol w:w="421"/>
        <w:gridCol w:w="421"/>
        <w:gridCol w:w="425"/>
        <w:gridCol w:w="131"/>
        <w:gridCol w:w="131"/>
        <w:gridCol w:w="131"/>
        <w:gridCol w:w="366"/>
        <w:gridCol w:w="366"/>
        <w:gridCol w:w="368"/>
        <w:gridCol w:w="131"/>
        <w:gridCol w:w="131"/>
        <w:gridCol w:w="131"/>
        <w:gridCol w:w="557"/>
        <w:gridCol w:w="557"/>
        <w:gridCol w:w="559"/>
        <w:gridCol w:w="131"/>
        <w:gridCol w:w="131"/>
        <w:gridCol w:w="131"/>
        <w:gridCol w:w="386"/>
        <w:gridCol w:w="386"/>
        <w:gridCol w:w="560"/>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2Q 2026 Guidance </w:t>
            </w:r>
          </w:p>
        </w:tc>
      </w:tr>
      <w:tr>
        <w:trPr/>
        <w:tc>
          <w:tcPr>
            <w:tcW w:w="36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Producing Asset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Oil</w:t>
              <w:br/>
              <w:t>(BOPD)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NGLs</w:t>
              <w:br/>
              <w:t>(BOPD)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Natural Gas</w:t>
              <w:br/>
              <w:t>(MCFD)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br/>
              <w:t>(BOEPD)</w:t>
            </w:r>
          </w:p>
        </w:tc>
      </w:tr>
      <w:tr>
        <w:trPr/>
        <w:tc>
          <w:tcPr>
            <w:tcW w:w="36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Eagle Ford Shale</w:t>
            </w:r>
          </w:p>
        </w:tc>
        <w:tc>
          <w:tcPr>
            <w:tcW w:w="12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27,600</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5,600</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29,900</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38,200</w:t>
            </w:r>
          </w:p>
        </w:tc>
      </w:tr>
      <w:tr>
        <w:trPr/>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Gulf of America, excl. NCI </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44,800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45,300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56,100</w:t>
            </w:r>
          </w:p>
        </w:tc>
      </w:tr>
      <w:tr>
        <w:trPr/>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Tupper Montney</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329,400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55,000</w:t>
            </w:r>
          </w:p>
        </w:tc>
      </w:tr>
      <w:tr>
        <w:trPr/>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Kaybob Duvernay</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4,600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9,300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6,700</w:t>
            </w:r>
          </w:p>
        </w:tc>
      </w:tr>
      <w:tr>
        <w:trPr/>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Offshore Canada</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8,800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8,800</w:t>
            </w:r>
          </w:p>
        </w:tc>
      </w:tr>
      <w:tr>
        <w:trPr/>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200</w:t>
            </w:r>
          </w:p>
        </w:tc>
      </w:tr>
      <w:tr>
        <w:trPr/>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Net Production, excl. NCI </w:t>
            </w:r>
            <w:r>
              <w:rPr>
                <w:rFonts w:ascii="Avenir Next LT Pro;sans-serif" w:hAnsi="Avenir Next LT Pro;sans-serif"/>
                <w:b w:val="false"/>
                <w:color w:val="000000"/>
                <w:sz w:val="13"/>
              </w:rPr>
              <w:t>1</w:t>
            </w:r>
            <w:r>
              <w:rPr>
                <w:color w:val="000000"/>
              </w:rPr>
              <w:t xml:space="preserve"> </w:t>
            </w:r>
            <w:r>
              <w:rPr>
                <w:rFonts w:ascii="Avenir Next LT Pro;sans-serif" w:hAnsi="Avenir Next LT Pro;sans-serif"/>
                <w:b w:val="false"/>
                <w:color w:val="000000"/>
                <w:sz w:val="20"/>
              </w:rPr>
              <w:t>(BOEPD)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161,000 to 169,000</w:t>
            </w:r>
          </w:p>
        </w:tc>
      </w:tr>
      <w:tr>
        <w:trPr/>
        <w:tc>
          <w:tcPr>
            <w:tcW w:w="492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Capital Expenditures, excl. NCI </w:t>
            </w:r>
            <w:r>
              <w:rPr>
                <w:rFonts w:ascii="Avenir Next LT Pro;sans-serif" w:hAnsi="Avenir Next LT Pro;sans-serif"/>
                <w:b w:val="false"/>
                <w:color w:val="000000"/>
                <w:sz w:val="13"/>
              </w:rPr>
              <w:t xml:space="preserve">2 </w:t>
            </w:r>
            <w:r>
              <w:rPr>
                <w:rFonts w:ascii="Avenir Next LT Pro;sans-serif" w:hAnsi="Avenir Next LT Pro;sans-serif"/>
                <w:b w:val="false"/>
                <w:color w:val="000000"/>
                <w:sz w:val="20"/>
              </w:rPr>
              <w:t>($MM)</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$350 - $430</w:t>
            </w:r>
          </w:p>
        </w:tc>
      </w:tr>
      <w:tr>
        <w:trPr/>
        <w:tc>
          <w:tcPr>
            <w:tcW w:w="49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 ($ MM)</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$70 - $110</w:t>
            </w:r>
          </w:p>
        </w:tc>
      </w:tr>
      <w:tr>
        <w:trPr/>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Full Year 2026 Guidance</w:t>
            </w:r>
          </w:p>
        </w:tc>
      </w:tr>
      <w:tr>
        <w:trPr/>
        <w:tc>
          <w:tcPr>
            <w:tcW w:w="492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Net Production, excl. NCI </w:t>
            </w:r>
            <w:r>
              <w:rPr>
                <w:rFonts w:ascii="Avenir Next LT Pro;sans-serif" w:hAnsi="Avenir Next LT Pro;sans-serif"/>
                <w:b w:val="false"/>
                <w:color w:val="000000"/>
                <w:sz w:val="13"/>
              </w:rPr>
              <w:t xml:space="preserve">3 </w:t>
            </w:r>
            <w:r>
              <w:rPr>
                <w:rFonts w:ascii="Avenir Next LT Pro;sans-serif" w:hAnsi="Avenir Next LT Pro;sans-serif"/>
                <w:b w:val="false"/>
                <w:color w:val="000000"/>
                <w:sz w:val="20"/>
              </w:rPr>
              <w:t xml:space="preserve">(BOEPD) </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167,000 to 175,000</w:t>
            </w:r>
          </w:p>
        </w:tc>
      </w:tr>
      <w:tr>
        <w:trPr/>
        <w:tc>
          <w:tcPr>
            <w:tcW w:w="492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Capital Expenditures, excl. NCI </w:t>
            </w:r>
            <w:r>
              <w:rPr>
                <w:rFonts w:ascii="Avenir Next LT Pro;sans-serif" w:hAnsi="Avenir Next LT Pro;sans-serif"/>
                <w:b w:val="false"/>
                <w:color w:val="000000"/>
                <w:sz w:val="13"/>
              </w:rPr>
              <w:t>4</w:t>
            </w:r>
            <w:r>
              <w:rPr>
                <w:color w:val="000000"/>
              </w:rPr>
              <w:t xml:space="preserve"> </w:t>
            </w:r>
            <w:r>
              <w:rPr>
                <w:rFonts w:ascii="Avenir Next LT Pro;sans-serif" w:hAnsi="Avenir Next LT Pro;sans-serif"/>
                <w:b w:val="false"/>
                <w:color w:val="000000"/>
                <w:sz w:val="20"/>
              </w:rPr>
              <w:t>($ MM)</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$1,200 to $1,300</w:t>
            </w:r>
          </w:p>
        </w:tc>
      </w:tr>
      <w:tr>
        <w:trPr/>
        <w:tc>
          <w:tcPr>
            <w:tcW w:w="492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 ($ MM)</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$220 - $300</w:t>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1" w:type="dxa"/>
            <w:gridSpan w:val="21"/>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86"/>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noncontrolling interest of MP GOM of 5,200 BOPD of oil, 200 BOPD of NGLs and 1,700 MCFD natural gas</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86"/>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Excludes noncontrolling interest of MP GOM of $20 million</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86"/>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Excludes noncontrolling interest of MP GOM of 5,700 BOPD of oil, 200 BOPD of NGLs and 1,700 MCFD natural gas</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86"/>
              <w:jc w:val="left"/>
              <w:rPr/>
            </w:pPr>
            <w:r>
              <w:rPr>
                <w:rFonts w:ascii="Avenir Next LT Pro;sans-serif" w:hAnsi="Avenir Next LT Pro;sans-serif"/>
                <w:b w:val="false"/>
                <w:color w:val="000000"/>
                <w:sz w:val="12"/>
              </w:rPr>
              <w:t>4</w:t>
            </w:r>
            <w:r>
              <w:rPr>
                <w:color w:val="000000"/>
              </w:rPr>
              <w:t xml:space="preserve"> </w:t>
            </w:r>
            <w:r>
              <w:rPr>
                <w:rFonts w:ascii="Avenir Next LT Pro;sans-serif" w:hAnsi="Avenir Next LT Pro;sans-serif"/>
                <w:b w:val="false"/>
                <w:color w:val="000000"/>
                <w:sz w:val="18"/>
              </w:rPr>
              <w:t>Excludes noncontrolling interest of MP GOM of $53 million</w:t>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8338" w:type="dxa"/>
            <w:gridSpan w:val="24"/>
            <w:tcBorders/>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8338" w:type="dxa"/>
            <w:gridSpan w:val="24"/>
            <w:tcBorders/>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8338" w:type="dxa"/>
            <w:gridSpan w:val="24"/>
            <w:tcBorders/>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8338"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300" w:before="20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The table below details the 2026 onshore well delivery plan by quarter.</w:t>
      </w:r>
    </w:p>
    <w:tbl>
      <w:tblPr>
        <w:tblW w:w="9437" w:type="dxa"/>
        <w:jc w:val="left"/>
        <w:tblInd w:w="0" w:type="dxa"/>
        <w:tblLayout w:type="fixed"/>
        <w:tblCellMar>
          <w:top w:w="28" w:type="dxa"/>
          <w:left w:w="28" w:type="dxa"/>
          <w:bottom w:w="28" w:type="dxa"/>
          <w:right w:w="28" w:type="dxa"/>
        </w:tblCellMar>
      </w:tblPr>
      <w:tblGrid>
        <w:gridCol w:w="124"/>
        <w:gridCol w:w="109"/>
        <w:gridCol w:w="109"/>
        <w:gridCol w:w="420"/>
        <w:gridCol w:w="420"/>
        <w:gridCol w:w="420"/>
        <w:gridCol w:w="420"/>
        <w:gridCol w:w="420"/>
        <w:gridCol w:w="420"/>
        <w:gridCol w:w="389"/>
        <w:gridCol w:w="389"/>
        <w:gridCol w:w="391"/>
        <w:gridCol w:w="384"/>
        <w:gridCol w:w="384"/>
        <w:gridCol w:w="386"/>
        <w:gridCol w:w="384"/>
        <w:gridCol w:w="384"/>
        <w:gridCol w:w="386"/>
        <w:gridCol w:w="384"/>
        <w:gridCol w:w="384"/>
        <w:gridCol w:w="386"/>
        <w:gridCol w:w="469"/>
        <w:gridCol w:w="469"/>
        <w:gridCol w:w="471"/>
        <w:gridCol w:w="127"/>
        <w:gridCol w:w="127"/>
        <w:gridCol w:w="127"/>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2026 Onshore Wells Online</w:t>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1Q 2026A</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2Q 2026E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3Q 2026E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4Q 2026E</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2026E Total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Eagle Ford Shale</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Kaybob Duvernay</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0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Tupper Montney</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0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Non-Op Eagle Ford Shale</w:t>
            </w:r>
          </w:p>
        </w:tc>
        <w:tc>
          <w:tcPr>
            <w:tcW w:w="116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w:t>
            </w:r>
          </w:p>
        </w:tc>
        <w:tc>
          <w:tcPr>
            <w:tcW w:w="140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40" w:after="40"/>
        <w:ind w:left="0" w:right="0" w:hanging="27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Note: All well counts are shown gross. Eagle Ford Shale non-operated working interest </w:t>
      </w:r>
    </w:p>
    <w:p>
      <w:pPr>
        <w:pStyle w:val="TextBody"/>
        <w:bidi w:val="0"/>
        <w:spacing w:lineRule="auto" w:line="300" w:before="40" w:after="40"/>
        <w:ind w:left="0" w:right="0" w:hanging="270"/>
        <w:jc w:val="left"/>
        <w:rPr>
          <w:rFonts w:ascii="Avenir Next LT Pro;sans-serif" w:hAnsi="Avenir Next LT Pro;sans-serif"/>
          <w:b w:val="false"/>
          <w:color w:val="000000"/>
          <w:sz w:val="18"/>
          <w:shd w:fill="FFFFFF" w:val="clear"/>
        </w:rPr>
      </w:pPr>
      <w:r>
        <w:rPr>
          <w:rFonts w:ascii="Avenir Next LT Pro;sans-serif" w:hAnsi="Avenir Next LT Pro;sans-serif"/>
          <w:b w:val="false"/>
          <w:color w:val="000000"/>
          <w:sz w:val="18"/>
          <w:shd w:fill="FFFFFF" w:val="clear"/>
        </w:rPr>
        <w:t>averages 17 percent.</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CONFERENCE CALL AND WEBCAST SCHEDULED FOR MAY 7, 2026</w:t>
      </w:r>
    </w:p>
    <w:p>
      <w:pPr>
        <w:pStyle w:val="TextBody"/>
        <w:bidi w:val="0"/>
        <w:spacing w:lineRule="auto" w:line="300" w:before="200" w:after="200"/>
        <w:jc w:val="both"/>
        <w:rPr/>
      </w:pPr>
      <w:r>
        <w:rPr>
          <w:rFonts w:ascii="Avenir Next LT Pro;sans-serif" w:hAnsi="Avenir Next LT Pro;sans-serif"/>
          <w:b w:val="false"/>
          <w:color w:val="000000"/>
          <w:sz w:val="24"/>
        </w:rPr>
        <w:t>Murphy will host a conference call to discuss first quarter 2026 financial and operating results on Thursday, May 7, 2026, at 9:00 a.m. ET. The call can be accessed either via the Internet through the events calendar on the Murphy Oil Corporation Investor Relations website at http://ir.murphyoilcorp.com or via telephone by dialing toll fr</w:t>
      </w:r>
      <w:r>
        <w:rPr>
          <w:rFonts w:ascii="Avenir Next LT Pro;sans-serif" w:hAnsi="Avenir Next LT Pro;sans-serif"/>
          <w:b w:val="false"/>
          <w:color w:val="000000"/>
          <w:sz w:val="24"/>
          <w:shd w:fill="FFFFFF" w:val="clear"/>
        </w:rPr>
        <w:t xml:space="preserve">ee 1-800-715-9871, conference ID 9924118. </w:t>
      </w:r>
      <w:r>
        <w:rPr>
          <w:rFonts w:ascii="Avenir Next LT Pro;sans-serif" w:hAnsi="Avenir Next LT Pro;sans-serif"/>
          <w:b w:val="false"/>
          <w:color w:val="000000"/>
          <w:sz w:val="24"/>
        </w:rPr>
        <w:t xml:space="preserve">For additional information, please refer to the First Quarter 2026 Earnings Presentation and Quarterly Stockholder </w:t>
      </w:r>
    </w:p>
    <w:p>
      <w:pPr>
        <w:pStyle w:val="TextBody"/>
        <w:bidi w:val="0"/>
        <w:spacing w:before="200" w:after="20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4800"/>
                <wp:effectExtent l="0" t="0" r="0" b="0"/>
                <wp:wrapNone/>
                <wp:docPr id="9" name="Frame8"/>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4</w:t>
                      </w:r>
                    </w:p>
                  </w:txbxContent>
                </v:textbox>
                <w10:wrap type="none"/>
              </v:rect>
            </w:pict>
          </mc:Fallback>
        </mc:AlternateContent>
      </w:r>
    </w:p>
    <w:p>
      <w:pPr>
        <w:pStyle w:val="TextBody"/>
        <w:bidi w:val="0"/>
        <w:spacing w:before="200" w:after="200"/>
        <w:jc w:val="right"/>
        <w:rPr/>
      </w:pPr>
      <w:r>
        <w:rPr/>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Update available under the News and Events section of the Investor Relations website.</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FINANCIAL DATA</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Summary financial data and operating statistics for first quarter 2026, with comparisons to the same period from the previous year, are contained in the attached schedules. Additionally, a schedule indicating the impacts of items affecting comparability of results between periods and a reconciliation of the non-GAAP financial measures of adjusted net income from continuing operations attributable to Murphy, EBITDA, EBITDAX, adjusted EBITDA, adjusted EBITDAX, free cash flow and adjusted free cash flow to the most directly comparable GAAP financial measures for such periods are also included.</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ABOUT MURPHY OIL CORPORATION</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Oil Corporation is an independent oil and natural gas company with a multi-basin onshore and offshore portfolio and significant exploration opportunities. The Company has more than a century-long history of demonstrating strong execution and innovative, full-cycle development capabilities with a focus on value creation that drives shareholder returns. Murphy’s foresight and financial discipline, along with its culture of adaptability and accountability, will allow the Company to continue its outstanding legacy and exceptional reputation. The Company’s current operations include extensive inventory located onshore in the Eagle Ford Shale, Tupper Montney and Kaybob Duvernay, as well as offshore in the Gulf of America and Canada. Murphy also strives to create long-term shareholder value through offshore exploration and development in the Gulf of America, Vietnam and Côte d’Ivoire. Additional information can be found on the Company’s website at www.murphyoilcorp.com.</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FORWARD-LOOKING STATEMENTS</w:t>
      </w:r>
    </w:p>
    <w:p>
      <w:pPr>
        <w:pStyle w:val="TextBody"/>
        <w:bidi w:val="0"/>
        <w:spacing w:lineRule="auto" w:line="276"/>
        <w:jc w:val="both"/>
        <w:rPr>
          <w:rFonts w:ascii="Avenir Next LT Pro;sans-serif" w:hAnsi="Avenir Next LT Pro;sans-serif"/>
          <w:b w:val="false"/>
          <w:i/>
          <w:color w:val="000000"/>
          <w:sz w:val="24"/>
        </w:rPr>
      </w:pPr>
      <w:r>
        <w:rPr>
          <w:rFonts w:ascii="Avenir Next LT Pro;sans-serif" w:hAnsi="Avenir Next LT Pro;sans-serif"/>
          <w:b w:val="false"/>
          <w:i/>
          <w:color w:val="000000"/>
          <w:sz w:val="24"/>
        </w:rPr>
        <w:t xml:space="preserve">This news release contains forward-looking statements within the meaning of the Private Securities Litigation Reform Act of 1995. Forward-looking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w:t>
      </w:r>
    </w:p>
    <w:p>
      <w:pPr>
        <w:pStyle w:val="TextBody"/>
        <w:bidi w:val="0"/>
        <w:spacing w:before="200" w:after="20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4800"/>
                <wp:effectExtent l="0" t="0" r="0" b="0"/>
                <wp:wrapNone/>
                <wp:docPr id="10" name="Frame9"/>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5</w:t>
                      </w:r>
                    </w:p>
                  </w:txbxContent>
                </v:textbox>
                <w10:wrap type="none"/>
              </v:rect>
            </w:pict>
          </mc:Fallback>
        </mc:AlternateContent>
      </w:r>
    </w:p>
    <w:p>
      <w:pPr>
        <w:pStyle w:val="TextBody"/>
        <w:bidi w:val="0"/>
        <w:spacing w:before="200" w:after="200"/>
        <w:jc w:val="right"/>
        <w:rPr/>
      </w:pPr>
      <w:r>
        <w:rPr/>
      </w:r>
    </w:p>
    <w:p>
      <w:pPr>
        <w:pStyle w:val="TextBody"/>
        <w:bidi w:val="0"/>
        <w:spacing w:lineRule="auto" w:line="276" w:before="0" w:after="0"/>
        <w:jc w:val="both"/>
        <w:rPr>
          <w:rFonts w:ascii="Avenir Next LT Pro;sans-serif" w:hAnsi="Avenir Next LT Pro;sans-serif"/>
          <w:b w:val="false"/>
          <w:i/>
          <w:color w:val="000000"/>
          <w:sz w:val="24"/>
        </w:rPr>
      </w:pPr>
      <w:r>
        <w:rPr>
          <w:rFonts w:ascii="Avenir Next LT Pro;sans-serif" w:hAnsi="Avenir Next LT Pro;sans-serif"/>
          <w:b w:val="false"/>
          <w:i/>
          <w:color w:val="000000"/>
          <w:sz w:val="24"/>
        </w:rPr>
        <w:t>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 and demand levels, actions taken by major oil exporters and the resulting impacts on commodity prices; geopolitical concerns (including the current conflict in Iran);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markets of health pandemics and related government responses; natural hazards impacting our operations or markets; any other deterioration in our business, markets or prospects; cyber attacks and other cybersecurity risks; any failure to obtain necessary regulatory approvals; the impact of current and future laws, rulings and governmental regulations;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“Risk Factors” in our most recent Annual Report on Form 10-K filed with the U.S. Securities and Exchange Commission (SEC) and any subsequent Quarterly Report on Form 10-Q or Current Report on Form 8-K that we file, available from the SEC’s website and from Murphy Oil Corporation’s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news release. Each forward-looking statement contained in this news release speaks only as of the date of this news release. Except as required by applicable law, Murphy Oil Corporation undertakes no duty to publicly update or revise any forward-looking statement, whether as a result of new information, future events or otherwise.</w:t>
      </w:r>
    </w:p>
    <w:p>
      <w:pPr>
        <w:pStyle w:val="TextBody"/>
        <w:bidi w:val="0"/>
        <w:spacing w:lineRule="auto" w:line="288" w:before="200" w:after="200"/>
        <w:jc w:val="both"/>
        <w:rPr>
          <w:rFonts w:ascii="Avenir Next LT Pro;sans-serif" w:hAnsi="Avenir Next LT Pro;sans-serif"/>
          <w:b/>
          <w:color w:val="000000"/>
          <w:sz w:val="24"/>
        </w:rPr>
      </w:pPr>
      <w:r>
        <w:rPr>
          <w:rFonts w:ascii="Avenir Next LT Pro;sans-serif" w:hAnsi="Avenir Next LT Pro;sans-serif"/>
          <w:b/>
          <w:color w:val="000000"/>
          <w:sz w:val="24"/>
        </w:rPr>
        <w:t>NON-GAAP FINANCIAL MEASURES</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This news release contains certain non-GAAP financial measures that management believes are useful tools for internal use and the investment community in evaluating Murphy Oil Corporation’s overall financial performance. These non-GAAP financial measures are broadly used to value and compare companies in the crude oil and natural gas industry. Not all companies define these measures in the same way. In addition, these non-GAAP financial measures are not a substitute for financial measures prepared in accordance with US generally accepted accounting principles (GAAP) and should therefore be considered only as supplemental to such GAAP financial measures. Please see the attached schedules for reconciliations of the </w:t>
      </w:r>
    </w:p>
    <w:p>
      <w:pPr>
        <w:pStyle w:val="TextBody"/>
        <w:bidi w:val="0"/>
        <w:spacing w:before="200" w:after="20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4800"/>
                <wp:effectExtent l="0" t="0" r="0" b="0"/>
                <wp:wrapNone/>
                <wp:docPr id="11" name="Frame10"/>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6</w:t>
                      </w:r>
                    </w:p>
                  </w:txbxContent>
                </v:textbox>
                <w10:wrap type="none"/>
              </v:rect>
            </w:pict>
          </mc:Fallback>
        </mc:AlternateContent>
      </w:r>
    </w:p>
    <w:p>
      <w:pPr>
        <w:pStyle w:val="TextBody"/>
        <w:bidi w:val="0"/>
        <w:spacing w:before="200" w:after="200"/>
        <w:jc w:val="right"/>
        <w:rPr/>
      </w:pPr>
      <w:r>
        <w:rPr/>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differences between the non-GAAP financial measures used in this news release and the most directly comparable GAAP financial measures.</w:t>
      </w:r>
    </w:p>
    <w:p>
      <w:pPr>
        <w:pStyle w:val="TextBody"/>
        <w:bidi w:val="0"/>
        <w:spacing w:lineRule="auto" w:line="300" w:before="200" w:after="200"/>
        <w:jc w:val="both"/>
        <w:rPr/>
      </w:pPr>
      <w:r>
        <w:rPr>
          <w:color w:val="000000"/>
        </w:rPr>
        <w:t xml:space="preserve">† </w:t>
      </w:r>
      <w:r>
        <w:rPr>
          <w:rFonts w:ascii="Avenir Next LT Pro;sans-serif" w:hAnsi="Avenir Next LT Pro;sans-serif"/>
          <w:b w:val="false"/>
          <w:i/>
          <w:color w:val="000000"/>
          <w:sz w:val="24"/>
        </w:rPr>
        <w:t>In accordance with GAAP, Murphy reports the 100 percent interest, including a 20 percent noncontrolling interest (NCI), in its subsidiary, MP Gulf of Mexico, LLC (MP GOM). The GAAP financials include the NCI portion of revenue, costs, assets and liabilities and cash flows. Unless otherwise noted, the financial and operating highlights and metrics discussed in this news release, but not the accompanying schedules, exclude the NCI, thereby representing only the amounts attributable to Murphy.</w:t>
      </w:r>
    </w:p>
    <w:tbl>
      <w:tblPr>
        <w:tblW w:w="4889" w:type="dxa"/>
        <w:jc w:val="center"/>
        <w:tblInd w:w="0" w:type="dxa"/>
        <w:tblLayout w:type="fixed"/>
        <w:tblCellMar>
          <w:top w:w="28" w:type="dxa"/>
          <w:left w:w="28" w:type="dxa"/>
          <w:bottom w:w="28" w:type="dxa"/>
          <w:right w:w="28" w:type="dxa"/>
        </w:tblCellMar>
      </w:tblPr>
      <w:tblGrid>
        <w:gridCol w:w="1563"/>
        <w:gridCol w:w="1374"/>
        <w:gridCol w:w="1952"/>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venir Next LT Pro;sans-serif" w:hAnsi="Avenir Next LT Pro;sans-serif"/>
                <w:b/>
                <w:color w:val="000000"/>
                <w:sz w:val="24"/>
              </w:rPr>
            </w:pPr>
            <w:r>
              <w:rPr>
                <w:rFonts w:ascii="Avenir Next LT Pro;sans-serif" w:hAnsi="Avenir Next LT Pro;sans-serif"/>
                <w:b/>
                <w:color w:val="000000"/>
                <w:sz w:val="24"/>
              </w:rPr>
              <w:t xml:space="preserve">Investor Contacts: </w:t>
            </w:r>
          </w:p>
        </w:tc>
      </w:tr>
      <w:tr>
        <w:trPr/>
        <w:tc>
          <w:tcPr>
            <w:tcW w:w="48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InvestorRelations@murphyoilcorp.com </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Atif Riaz, 281-675-9358</w:t>
            </w:r>
          </w:p>
        </w:tc>
      </w:tr>
      <w:tr>
        <w:trPr/>
        <w:tc>
          <w:tcPr>
            <w:tcW w:w="488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Beth Heller, 281-675-9363</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4800"/>
                <wp:effectExtent l="0" t="0" r="0" b="0"/>
                <wp:wrapNone/>
                <wp:docPr id="12" name="Frame11"/>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7</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CONSOLIDATED STATEMENTS OF OPERATIONS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12"/>
        <w:gridCol w:w="1907"/>
        <w:gridCol w:w="1911"/>
        <w:gridCol w:w="109"/>
        <w:gridCol w:w="109"/>
        <w:gridCol w:w="154"/>
        <w:gridCol w:w="154"/>
        <w:gridCol w:w="342"/>
        <w:gridCol w:w="1496"/>
        <w:gridCol w:w="154"/>
        <w:gridCol w:w="109"/>
        <w:gridCol w:w="109"/>
        <w:gridCol w:w="109"/>
        <w:gridCol w:w="226"/>
        <w:gridCol w:w="946"/>
        <w:gridCol w:w="158"/>
      </w:tblGrid>
      <w:tr>
        <w:trPr/>
        <w:tc>
          <w:tcPr>
            <w:tcW w:w="2212"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March 31,</w:t>
            </w:r>
          </w:p>
        </w:tc>
        <w:tc>
          <w:tcPr>
            <w:tcW w:w="1657" w:type="dxa"/>
            <w:gridSpan w:val="6"/>
            <w:tcBorders/>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2025 </w:t>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Revenue from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732,354</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672,730 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 from sales to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732,354</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672,730 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Gain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(9,459)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Gain on sale of assets and other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1,198</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2,440 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733,552</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665,711 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143,464</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205,079 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Severance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13,746</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8,650 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Transportation, gathering and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47,061</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48,851 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Exploration expenses, including undeveloped lease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82,815</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14,488 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Selling and general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34,870</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30,915 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254,376</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194,160 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14,514</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14,045 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4,441</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5,629 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595,287</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521,817 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138,265</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143,894 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Other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9,852</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2,402 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(28,977)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(23,523)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other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(19,125)</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(21,121)</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119,140</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122,773 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49,945</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32,722 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69,195</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90,051 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Loss from discontinued operations,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(542)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(633)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68,653</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89,418 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Less: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15,667</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16,382 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52,986</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73,036 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0.37</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0.51 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0.37</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0.51 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0.37</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0.50 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0.37</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0.50 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0.350</w:t>
            </w:r>
            <w:r>
              <w:rPr>
                <w:color w:val="000000"/>
              </w:rPr>
              <w:t> </w:t>
            </w:r>
          </w:p>
        </w:tc>
        <w:tc>
          <w:tcPr>
            <w:tcW w:w="154"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0.325 </w:t>
            </w:r>
          </w:p>
        </w:tc>
        <w:tc>
          <w:tcPr>
            <w:tcW w:w="15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Average common shares outstanding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143,082</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144,284 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144,381</w:t>
            </w: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145,072 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4800"/>
                <wp:effectExtent l="0" t="0" r="0" b="0"/>
                <wp:wrapNone/>
                <wp:docPr id="13" name="Frame12"/>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8</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CONSOLIDATED STATEMENTS OF CASH FLOWS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329"/>
        <w:gridCol w:w="1958"/>
        <w:gridCol w:w="1964"/>
        <w:gridCol w:w="109"/>
        <w:gridCol w:w="109"/>
        <w:gridCol w:w="139"/>
        <w:gridCol w:w="139"/>
        <w:gridCol w:w="309"/>
        <w:gridCol w:w="1352"/>
        <w:gridCol w:w="139"/>
        <w:gridCol w:w="109"/>
        <w:gridCol w:w="109"/>
        <w:gridCol w:w="109"/>
        <w:gridCol w:w="226"/>
        <w:gridCol w:w="946"/>
        <w:gridCol w:w="159"/>
      </w:tblGrid>
      <w:tr>
        <w:trPr/>
        <w:tc>
          <w:tcPr>
            <w:tcW w:w="232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March 31,</w:t>
            </w:r>
          </w:p>
        </w:tc>
        <w:tc>
          <w:tcPr>
            <w:tcW w:w="1658" w:type="dxa"/>
            <w:gridSpan w:val="6"/>
            <w:tcBorders/>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2025 </w:t>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68,653</w:t>
            </w: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89,418 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Adjustments to reconcile net income to net cash provided by continuing operations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254,376</w:t>
            </w: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194,160 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Unsuccessful exploration well costs and previously suspended exploration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67,043</w:t>
            </w: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36,864</w:t>
            </w: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16,343 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14,514</w:t>
            </w: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14,045 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Long-term non-cash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15,433</w:t>
            </w: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9,905 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Amortization of undeveloped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2,270</w:t>
            </w: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1,654 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542</w:t>
            </w: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633 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Unrealized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8,916 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activities,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(30,539)</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(11,799)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in non-cash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(107,972)</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(22,784)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continuing operations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321,184</w:t>
            </w:r>
            <w:r>
              <w:rPr>
                <w:color w:val="000000"/>
              </w:rPr>
              <w:t>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300,681 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additions and dry hole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(387,838)</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(368,421)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Acquisition of oil and natural gas properties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(22,681)</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(1,364)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(410,519)</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(369,785)</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(227,489)</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Early redemption of debt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(2,369)</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Debt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500,000</w:t>
            </w: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Debt issuance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(7,819)</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Borrowings on revolving credit facility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175,000</w:t>
            </w: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250,000 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Repayment of revolving credit facility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(275,000)</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(50,000)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Issue costs of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(12,213)</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Repurchase of common stock, including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(777)</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(100,072)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(50,173)</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(47,026)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Distributions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(6,955)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Withholding tax on stock-based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(7,849)</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(7,673)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Finance lease obligation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(419)</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90,892</w:t>
            </w:r>
            <w:r>
              <w:rPr>
                <w:color w:val="000000"/>
              </w:rPr>
              <w:t>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38,158 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291 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1,557</w:t>
            </w:r>
            <w:r>
              <w:rPr>
                <w:color w:val="000000"/>
              </w:rPr>
              <w:t>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(30,655)</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377,196</w:t>
            </w: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423,569 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378,753</w:t>
            </w:r>
            <w:r>
              <w:rPr>
                <w:color w:val="000000"/>
              </w:rPr>
              <w:t> </w:t>
            </w:r>
          </w:p>
        </w:tc>
        <w:tc>
          <w:tcPr>
            <w:tcW w:w="1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392,914 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4800"/>
                <wp:effectExtent l="0" t="0" r="0" b="0"/>
                <wp:wrapNone/>
                <wp:docPr id="14" name="Frame13"/>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9</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CONDENSED CONSOLIDATED BALANCE SHEETS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53" w:type="dxa"/>
        <w:jc w:val="center"/>
        <w:tblInd w:w="0" w:type="dxa"/>
        <w:tblLayout w:type="fixed"/>
        <w:tblCellMar>
          <w:top w:w="28" w:type="dxa"/>
          <w:left w:w="28" w:type="dxa"/>
          <w:bottom w:w="28" w:type="dxa"/>
          <w:right w:w="28" w:type="dxa"/>
        </w:tblCellMar>
      </w:tblPr>
      <w:tblGrid>
        <w:gridCol w:w="1841"/>
        <w:gridCol w:w="1619"/>
        <w:gridCol w:w="1625"/>
        <w:gridCol w:w="241"/>
        <w:gridCol w:w="1396"/>
        <w:gridCol w:w="109"/>
        <w:gridCol w:w="109"/>
        <w:gridCol w:w="109"/>
        <w:gridCol w:w="109"/>
        <w:gridCol w:w="254"/>
        <w:gridCol w:w="1268"/>
        <w:gridCol w:w="173"/>
      </w:tblGrid>
      <w:tr>
        <w:trPr/>
        <w:tc>
          <w:tcPr>
            <w:tcW w:w="184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7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December 31,</w:t>
              <w:br/>
              <w:t>2025</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ASSETS</w:t>
            </w:r>
          </w:p>
        </w:tc>
        <w:tc>
          <w:tcPr>
            <w:tcW w:w="17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and cash equivalents</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378,753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377,196 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current assets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558,198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439,516 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assets</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936,951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816,712 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plant and equipment, net</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8,265,324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8,136,346 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lease assets, net</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738,315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805,464 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long-term assets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95,044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74,104 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assets</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10,035,634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9,832,626 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LIABILITIES AND EQUITY</w:t>
            </w:r>
          </w:p>
        </w:tc>
        <w:tc>
          <w:tcPr>
            <w:tcW w:w="17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maturities of long-term debt, finance lease</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2,547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2,514 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Accounts payable</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645,829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572,183 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lease liabilities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270,214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278,834 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current liabilities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215,596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209,218 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liabilities</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1,134,186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1,062,749 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Long-term debt, including finance lease obligation</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1,548,147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1,382,566 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 retirement obligations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972,503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970,908 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Non-current operating lease liabilities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479,161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537,773 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long-term liabilities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668,757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641,933 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liabilities</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4,802,754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4,595,929 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Shareholders' Equity</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5,098,896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5,118,380 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133,984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118,317 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liabilities and equity</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10,035,634</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9,832,626 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40"/>
        <w:ind w:left="0" w:right="0" w:hanging="86"/>
        <w:jc w:val="left"/>
        <w:rPr/>
      </w:pPr>
      <w:r>
        <w:rPr/>
      </w:r>
    </w:p>
    <w:p>
      <w:pPr>
        <w:pStyle w:val="TextBody"/>
        <w:bidi w:val="0"/>
        <w:spacing w:before="200" w:after="200"/>
        <w:jc w:val="center"/>
        <w:rPr/>
      </w:pPr>
      <w:r>
        <w:rPr/>
      </w:r>
    </w:p>
    <w:p>
      <w:pPr>
        <w:pStyle w:val="TextBody"/>
        <w:bidi w:val="0"/>
        <w:spacing w:before="40" w:after="40"/>
        <w:ind w:left="0" w:right="0" w:hanging="8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4800"/>
                <wp:effectExtent l="0" t="0" r="0" b="0"/>
                <wp:wrapNone/>
                <wp:docPr id="15" name="Frame14"/>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10</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SCHEDULE OF ADJUSTED NET INCOME (LOSS)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38"/>
        <w:gridCol w:w="2098"/>
        <w:gridCol w:w="2104"/>
        <w:gridCol w:w="109"/>
        <w:gridCol w:w="109"/>
        <w:gridCol w:w="174"/>
        <w:gridCol w:w="174"/>
        <w:gridCol w:w="387"/>
        <w:gridCol w:w="1039"/>
        <w:gridCol w:w="174"/>
        <w:gridCol w:w="109"/>
        <w:gridCol w:w="109"/>
        <w:gridCol w:w="109"/>
        <w:gridCol w:w="226"/>
        <w:gridCol w:w="586"/>
        <w:gridCol w:w="160"/>
      </w:tblGrid>
      <w:tr>
        <w:trPr/>
        <w:tc>
          <w:tcPr>
            <w:tcW w:w="2538"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299" w:type="dxa"/>
            <w:gridSpan w:val="6"/>
            <w:tcBorders/>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attributable to Murphy (GAAP)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53.0</w:t>
            </w: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73.0 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0.5</w:t>
            </w: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from continuing operations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53.5</w:t>
            </w: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(9.4)</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(9.4)</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Income tax (benefit) expense related to adjustments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w:t>
            </w: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after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(7.0)</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Adjusted net income from continuing operations attributable to Murphy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46.5</w:t>
            </w: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net income from continuing operations per average diluted share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39"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0.32</w:t>
            </w:r>
            <w:r>
              <w:rPr>
                <w:color w:val="000000"/>
              </w:rPr>
              <w:t> </w:t>
            </w:r>
          </w:p>
        </w:tc>
        <w:tc>
          <w:tcPr>
            <w:tcW w:w="174"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0.56 </w:t>
            </w:r>
          </w:p>
        </w:tc>
        <w:tc>
          <w:tcPr>
            <w:tcW w:w="1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w:t>
      </w:r>
      <w:r>
        <w:rPr>
          <w:color w:val="000000"/>
        </w:rPr>
        <w:t> </w:t>
      </w:r>
      <w:r>
        <w:rPr>
          <w:rFonts w:ascii="Avenir Next LT Pro;sans-serif" w:hAnsi="Avenir Next LT Pro;sans-serif"/>
          <w:b w:val="false"/>
          <w:color w:val="000000"/>
          <w:sz w:val="18"/>
        </w:rPr>
        <w:t>Excludes amounts attributable to a noncontrolling interest in MP GOM.</w:t>
      </w:r>
    </w:p>
    <w:p>
      <w:pPr>
        <w:pStyle w:val="TextBody"/>
        <w:bidi w:val="0"/>
        <w:spacing w:before="0" w:after="0"/>
        <w:jc w:val="left"/>
        <w:rPr/>
      </w:pPr>
      <w:r>
        <w:rPr/>
      </w:r>
    </w:p>
    <w:p>
      <w:pPr>
        <w:pStyle w:val="TextBody"/>
        <w:bidi w:val="0"/>
        <w:spacing w:lineRule="auto" w:line="288" w:before="0" w:after="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Non-GAAP Financial Measures</w:t>
      </w:r>
    </w:p>
    <w:p>
      <w:pPr>
        <w:pStyle w:val="TextBody"/>
        <w:bidi w:val="0"/>
        <w:spacing w:lineRule="auto" w:line="300" w:before="200" w:after="20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Presented above is a reconciliation of net income (loss) to adjusted net income from continuing operations attributable to Murphy. Adjusted net income excludes certain items that management believes affect the comparability of results between periods. Management believes this is important information to provide because it is used by management to evaluate the Company’s operational performance and trends between periods and relative to its industry competitors. Management also believes this information may be useful to investors and analysts to gain a better understanding of the Company’s financial results. Adjusted net income is a non-GAAP financial measure and should not be considered a substitute for net income (loss) as determined in accordance with GAAP.</w:t>
      </w:r>
    </w:p>
    <w:p>
      <w:pPr>
        <w:pStyle w:val="TextBody"/>
        <w:bidi w:val="0"/>
        <w:spacing w:lineRule="auto" w:line="300" w:before="200" w:after="20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The pretax and income tax impacts for adjustments in the above table are shown below by area of operation and geographical location and corporate, as applicable, and exclude the share attributable to noncontrolling interests.</w:t>
      </w:r>
    </w:p>
    <w:tbl>
      <w:tblPr>
        <w:tblW w:w="8905" w:type="dxa"/>
        <w:jc w:val="center"/>
        <w:tblInd w:w="0" w:type="dxa"/>
        <w:tblLayout w:type="fixed"/>
        <w:tblCellMar>
          <w:top w:w="28" w:type="dxa"/>
          <w:left w:w="28" w:type="dxa"/>
          <w:bottom w:w="28" w:type="dxa"/>
          <w:right w:w="28" w:type="dxa"/>
        </w:tblCellMar>
      </w:tblPr>
      <w:tblGrid>
        <w:gridCol w:w="721"/>
        <w:gridCol w:w="635"/>
        <w:gridCol w:w="639"/>
        <w:gridCol w:w="109"/>
        <w:gridCol w:w="109"/>
        <w:gridCol w:w="319"/>
        <w:gridCol w:w="319"/>
        <w:gridCol w:w="319"/>
        <w:gridCol w:w="319"/>
        <w:gridCol w:w="706"/>
        <w:gridCol w:w="1850"/>
        <w:gridCol w:w="319"/>
        <w:gridCol w:w="109"/>
        <w:gridCol w:w="109"/>
        <w:gridCol w:w="109"/>
        <w:gridCol w:w="241"/>
        <w:gridCol w:w="511"/>
        <w:gridCol w:w="109"/>
        <w:gridCol w:w="109"/>
        <w:gridCol w:w="109"/>
        <w:gridCol w:w="109"/>
        <w:gridCol w:w="241"/>
        <w:gridCol w:w="631"/>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March 31, 2026</w:t>
            </w:r>
          </w:p>
        </w:tc>
        <w:tc>
          <w:tcPr>
            <w:tcW w:w="2541" w:type="dxa"/>
            <w:gridSpan w:val="1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8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8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(9.4)</w:t>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(7.0)</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4800"/>
                <wp:effectExtent l="0" t="0" r="0" b="0"/>
                <wp:wrapNone/>
                <wp:docPr id="16" name="Frame15"/>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11</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SCHEDULE OF EBITDA, ADJUSTED EBITDA, EBITDAX AND ADJUSTED EBITDAX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43" w:type="dxa"/>
        <w:jc w:val="left"/>
        <w:tblInd w:w="0" w:type="dxa"/>
        <w:tblLayout w:type="fixed"/>
        <w:tblCellMar>
          <w:top w:w="28" w:type="dxa"/>
          <w:left w:w="28" w:type="dxa"/>
          <w:bottom w:w="28" w:type="dxa"/>
          <w:right w:w="28" w:type="dxa"/>
        </w:tblCellMar>
      </w:tblPr>
      <w:tblGrid>
        <w:gridCol w:w="2185"/>
        <w:gridCol w:w="1923"/>
        <w:gridCol w:w="1936"/>
        <w:gridCol w:w="109"/>
        <w:gridCol w:w="109"/>
        <w:gridCol w:w="191"/>
        <w:gridCol w:w="191"/>
        <w:gridCol w:w="423"/>
        <w:gridCol w:w="1372"/>
        <w:gridCol w:w="191"/>
        <w:gridCol w:w="109"/>
        <w:gridCol w:w="109"/>
        <w:gridCol w:w="109"/>
        <w:gridCol w:w="226"/>
        <w:gridCol w:w="706"/>
        <w:gridCol w:w="154"/>
      </w:tblGrid>
      <w:tr>
        <w:trPr/>
        <w:tc>
          <w:tcPr>
            <w:tcW w:w="2185"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attributable to Murphy (GAAP)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53.0</w:t>
            </w:r>
            <w:r>
              <w:rPr>
                <w:color w:val="000000"/>
              </w:rPr>
              <w:t>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49.9</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29.0</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Depreciation, depletion and amortization expense</w:t>
            </w:r>
            <w:r>
              <w:rPr>
                <w:color w:val="000000"/>
              </w:rPr>
              <w:t xml:space="preserv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246.9</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EBITDA attributable to Murphy (Non-GAAP)</w:t>
            </w:r>
            <w:r>
              <w:rPr>
                <w:color w:val="000000"/>
              </w:rPr>
              <w:t xml:space="preserve">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378.8</w:t>
            </w:r>
            <w:r>
              <w:rPr>
                <w:color w:val="000000"/>
              </w:rPr>
              <w:t>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316.6 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Exploration expenses </w:t>
            </w:r>
            <w:r>
              <w:rPr>
                <w:rFonts w:ascii="Avenir Next LT Pro;sans-serif" w:hAnsi="Avenir Next LT Pro;sans-serif"/>
                <w:b w:val="false"/>
                <w:color w:val="000000"/>
                <w:sz w:val="13"/>
              </w:rPr>
              <w:t xml:space="preserve">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82.8</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EBITDAX attributable to Murphy (Non-GAAP)</w:t>
            </w:r>
            <w:r>
              <w:rPr>
                <w:color w:val="000000"/>
              </w:rPr>
              <w:t xml:space="preserve">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461.6</w:t>
            </w:r>
            <w:r>
              <w:rPr>
                <w:color w:val="000000"/>
              </w:rPr>
              <w:t>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EBITDA attributable to Murphy (Non-GAAP)</w:t>
            </w:r>
            <w:r>
              <w:rPr>
                <w:color w:val="000000"/>
              </w:rPr>
              <w:t xml:space="preserve">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378.8</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(9.4)</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Accretion of asset retirement obligations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13.0</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0.5</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Adjusted EBITDA attributable to Murphy (Non-GAAP)</w:t>
            </w:r>
            <w:r>
              <w:rPr>
                <w:color w:val="000000"/>
              </w:rPr>
              <w:t xml:space="preserve">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382.9</w:t>
            </w:r>
            <w:r>
              <w:rPr>
                <w:color w:val="000000"/>
              </w:rPr>
              <w:t>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Exploration expenses </w:t>
            </w:r>
            <w:r>
              <w:rPr>
                <w:rFonts w:ascii="Avenir Next LT Pro;sans-serif" w:hAnsi="Avenir Next LT Pro;sans-serif"/>
                <w:b w:val="false"/>
                <w:color w:val="000000"/>
                <w:sz w:val="13"/>
              </w:rPr>
              <w:t xml:space="preserve">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82.8</w:t>
            </w:r>
            <w:r>
              <w:rPr>
                <w:color w:val="000000"/>
              </w:rPr>
              <w:t> </w:t>
            </w:r>
          </w:p>
        </w:tc>
        <w:tc>
          <w:tcPr>
            <w:tcW w:w="19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Adjusted EBITDAX attributable to Murphy </w:t>
            </w:r>
          </w:p>
          <w:p>
            <w:pPr>
              <w:pStyle w:val="TableContents"/>
              <w:bidi w:val="0"/>
              <w:spacing w:lineRule="auto" w:line="240" w:before="0" w:after="0"/>
              <w:jc w:val="left"/>
              <w:rPr/>
            </w:pPr>
            <w:r>
              <w:rPr>
                <w:rFonts w:ascii="Avenir Next LT Pro;sans-serif" w:hAnsi="Avenir Next LT Pro;sans-serif"/>
                <w:b/>
                <w:color w:val="000000"/>
                <w:sz w:val="20"/>
              </w:rPr>
              <w:t>(Non-GAAP)</w:t>
            </w:r>
            <w:r>
              <w:rPr>
                <w:color w:val="000000"/>
              </w:rPr>
              <w:t xml:space="preserve">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465.7</w:t>
            </w:r>
            <w:r>
              <w:rPr>
                <w:color w:val="000000"/>
              </w:rPr>
              <w:t> </w:t>
            </w:r>
          </w:p>
        </w:tc>
        <w:tc>
          <w:tcPr>
            <w:tcW w:w="1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353.1 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1 </w:t>
      </w:r>
      <w:r>
        <w:rPr>
          <w:rFonts w:ascii="Avenir Next LT Pro;sans-serif" w:hAnsi="Avenir Next LT Pro;sans-serif"/>
          <w:b w:val="false"/>
          <w:color w:val="000000"/>
          <w:sz w:val="18"/>
        </w:rPr>
        <w:t>Excludes amounts attributable to a noncontrolling interest in MP GOM.</w:t>
      </w:r>
    </w:p>
    <w:p>
      <w:pPr>
        <w:pStyle w:val="TextBody"/>
        <w:bidi w:val="0"/>
        <w:spacing w:before="40" w:after="40"/>
        <w:ind w:left="0" w:right="0" w:hanging="86"/>
        <w:jc w:val="left"/>
        <w:rPr/>
      </w:pPr>
      <w:r>
        <w:rPr/>
      </w:r>
    </w:p>
    <w:p>
      <w:pPr>
        <w:pStyle w:val="TextBody"/>
        <w:bidi w:val="0"/>
        <w:spacing w:lineRule="auto" w:line="288" w:before="0" w:after="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Non-GAAP Financial Measures</w:t>
      </w:r>
    </w:p>
    <w:p>
      <w:pPr>
        <w:pStyle w:val="TextBody"/>
        <w:bidi w:val="0"/>
        <w:spacing w:lineRule="auto" w:line="300" w:before="200" w:after="20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Presented above is a reconciliation of net income (loss) to earnings before interest, taxes, depreciation and amortization (EBITDA), adjusted EBITDA, earnings before interest, taxes, depreciation and amortization, and exploration expenses (EBITDAX) and adjusted EBITDAX. Management believes EBITDA, adjusted EBITDA, EBITDAX and adjusted EBITDAX are important information to provide because they are used by management to evaluate the Company’s operational performance and trends between periods and relative to its industry competitors. Adjusted EBITDAX excludes certain items that management believes affect the comparability of results between periods. Management also believes this information may be useful to investors and analysts to gain a better understanding of the Company’s financial results. EBITDA, adjusted EBITDA, EBITDAX and adjusted EBITDAX are non-GAAP financial measures and should not be considered a substitute for net income (loss) or Cash provided by operating activities as determined in accordance with GAAP.</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4800"/>
                <wp:effectExtent l="0" t="0" r="0" b="0"/>
                <wp:wrapNone/>
                <wp:docPr id="17" name="Frame16"/>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12</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SCHEDULE OF FREE CASH FLOW AND ADJUSTED FREE CASH FLOW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22"/>
        <w:gridCol w:w="1971"/>
        <w:gridCol w:w="1983"/>
        <w:gridCol w:w="109"/>
        <w:gridCol w:w="109"/>
        <w:gridCol w:w="178"/>
        <w:gridCol w:w="178"/>
        <w:gridCol w:w="395"/>
        <w:gridCol w:w="1284"/>
        <w:gridCol w:w="178"/>
        <w:gridCol w:w="109"/>
        <w:gridCol w:w="109"/>
        <w:gridCol w:w="109"/>
        <w:gridCol w:w="226"/>
        <w:gridCol w:w="784"/>
        <w:gridCol w:w="161"/>
      </w:tblGrid>
      <w:tr>
        <w:trPr/>
        <w:tc>
          <w:tcPr>
            <w:tcW w:w="232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98" w:type="dxa"/>
            <w:gridSpan w:val="6"/>
            <w:tcBorders/>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Net cash provided by continuing operations activities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321.2</w:t>
            </w:r>
            <w:r>
              <w:rPr>
                <w:color w:val="000000"/>
              </w:rPr>
              <w:t>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300.7 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Exclude: increase in non-cash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108.0</w:t>
            </w:r>
            <w:r>
              <w:rPr>
                <w:color w:val="000000"/>
              </w:rPr>
              <w:t>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cash flow excluding working capital adjustments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429.2</w:t>
            </w:r>
            <w:r>
              <w:rPr>
                <w:color w:val="000000"/>
              </w:rPr>
              <w:t>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323.5 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Less: property additions and dry hole costs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(387.8)</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(368.4)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Free cash flow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41.4</w:t>
            </w:r>
            <w:r>
              <w:rPr>
                <w:color w:val="000000"/>
              </w:rPr>
              <w:t>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(44.9)</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(50.2)</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distributions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debt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(22.4)</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withholding tax on stock-based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(7.8)</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acquisition of oil and natural gas properties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(22.7)</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free cash flow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8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(61.7)</w:t>
            </w:r>
          </w:p>
        </w:tc>
        <w:tc>
          <w:tcPr>
            <w:tcW w:w="1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(108.0)</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Property additions for the three months ended March 31, 2025 include a payment of $125.0 million for the purchase of a floating production, storage, and offloading vessel in the Gulf of America, including amounts attributable to a noncontrolling interest in MP GOM.</w:t>
      </w:r>
    </w:p>
    <w:p>
      <w:pPr>
        <w:pStyle w:val="TextBody"/>
        <w:bidi w:val="0"/>
        <w:spacing w:before="40" w:after="40"/>
        <w:ind w:left="0" w:right="0" w:hanging="86"/>
        <w:jc w:val="left"/>
        <w:rPr/>
      </w:pPr>
      <w:r>
        <w:rPr/>
      </w:r>
    </w:p>
    <w:p>
      <w:pPr>
        <w:pStyle w:val="TextBody"/>
        <w:bidi w:val="0"/>
        <w:spacing w:lineRule="auto" w:line="288" w:before="0" w:after="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Non-GAAP Financial Measures</w:t>
      </w:r>
    </w:p>
    <w:p>
      <w:pPr>
        <w:pStyle w:val="TextBody"/>
        <w:bidi w:val="0"/>
        <w:spacing w:lineRule="auto" w:line="300" w:before="200" w:after="20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Presented above is a reconciliation of net cash provided by continuing operations activities to free cash flow (FCF) and adjusted FCF. Management believes FCF and adjusted FCF are important information to provide because they are additional measures of liquidity and are used by management to evaluate the Company’s ability to internally generate cash, excluding the timing impacts of working capital, and to measure funds available for investing and financing activities. Management also believes this information may be useful to investors and analysts to monitor the Company’s financial health over time. FCF and adjusted FCF are non-GAAP financial measures and should not be considered a substitute for net cash provided by operating, investing, or financing activities as determined in accordance with GAAP.</w:t>
      </w:r>
    </w:p>
    <w:p>
      <w:pPr>
        <w:pStyle w:val="TextBody"/>
        <w:bidi w:val="0"/>
        <w:spacing w:before="20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4800"/>
                <wp:effectExtent l="0" t="0" r="0" b="0"/>
                <wp:wrapNone/>
                <wp:docPr id="18" name="Frame17"/>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13</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FUNCTIONAL RESULTS OF OPERATIONS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91"/>
        <w:gridCol w:w="1484"/>
        <w:gridCol w:w="1493"/>
        <w:gridCol w:w="249"/>
        <w:gridCol w:w="808"/>
        <w:gridCol w:w="114"/>
        <w:gridCol w:w="109"/>
        <w:gridCol w:w="109"/>
        <w:gridCol w:w="109"/>
        <w:gridCol w:w="241"/>
        <w:gridCol w:w="781"/>
        <w:gridCol w:w="109"/>
        <w:gridCol w:w="109"/>
        <w:gridCol w:w="109"/>
        <w:gridCol w:w="109"/>
        <w:gridCol w:w="231"/>
        <w:gridCol w:w="722"/>
        <w:gridCol w:w="113"/>
        <w:gridCol w:w="109"/>
        <w:gridCol w:w="109"/>
        <w:gridCol w:w="109"/>
        <w:gridCol w:w="226"/>
        <w:gridCol w:w="706"/>
        <w:gridCol w:w="156"/>
      </w:tblGrid>
      <w:tr>
        <w:trPr/>
        <w:tc>
          <w:tcPr>
            <w:tcW w:w="179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Three Months Ended</w:t>
              <w:br/>
              <w:t>March 31, 2025</w:t>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Income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Income</w:t>
              <w:br/>
              <w:t>(Loss)</w:t>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11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¹</w:t>
            </w:r>
          </w:p>
        </w:tc>
        <w:tc>
          <w:tcPr>
            <w:tcW w:w="24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575.5</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156.6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22"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509.5 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0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155.2</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165.7 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(82.7)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and production</w:t>
            </w:r>
          </w:p>
        </w:tc>
        <w:tc>
          <w:tcPr>
            <w:tcW w:w="10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733.6</w:t>
            </w:r>
            <w:r>
              <w:rPr>
                <w:color w:val="000000"/>
              </w:rPr>
              <w:t>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105.6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675.2 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Corporate </w:t>
            </w:r>
          </w:p>
        </w:tc>
        <w:tc>
          <w:tcPr>
            <w:tcW w:w="10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from continuing operations</w:t>
            </w:r>
          </w:p>
        </w:tc>
        <w:tc>
          <w:tcPr>
            <w:tcW w:w="10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733.6</w:t>
            </w:r>
            <w:r>
              <w:rPr>
                <w:color w:val="000000"/>
              </w:rPr>
              <w:t>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69.2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665.7 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Discontinued operations, net of tax </w:t>
            </w:r>
          </w:p>
        </w:tc>
        <w:tc>
          <w:tcPr>
            <w:tcW w:w="10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including noncontrolling interest</w:t>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733.6</w:t>
            </w:r>
            <w:r>
              <w:rPr>
                <w:color w:val="000000"/>
              </w:rPr>
              <w:t>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68.7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665.7 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Net income attributable to noncontrolling interest</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53.0</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73.0 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00" w:after="200"/>
        <w:jc w:val="both"/>
        <w:rPr/>
      </w:pPr>
      <w:r>
        <w:rPr>
          <w:rFonts w:ascii="Avenir Next LT Pro;sans-serif" w:hAnsi="Avenir Next LT Pro;sans-serif"/>
          <w:b w:val="false"/>
          <w:color w:val="000000"/>
          <w:sz w:val="12"/>
        </w:rPr>
        <w:t>1</w:t>
      </w:r>
      <w:r>
        <w:rPr>
          <w:color w:val="000000"/>
        </w:rPr>
        <w:t> </w:t>
      </w:r>
      <w:r>
        <w:rPr>
          <w:rFonts w:ascii="Avenir Next LT Pro;sans-serif" w:hAnsi="Avenir Next LT Pro;sans-serif"/>
          <w:b w:val="false"/>
          <w:color w:val="000000"/>
          <w:sz w:val="18"/>
        </w:rPr>
        <w:t>Includes results attributable to a noncontrolling interest in MP GOM.</w:t>
      </w:r>
    </w:p>
    <w:p>
      <w:pPr>
        <w:pStyle w:val="TextBody"/>
        <w:bidi w:val="0"/>
        <w:spacing w:before="12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4800"/>
                <wp:effectExtent l="0" t="0" r="0" b="0"/>
                <wp:wrapNone/>
                <wp:docPr id="19" name="Frame18"/>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14</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PRODUCTION-RELATED EXPENSES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339"/>
        <w:gridCol w:w="2014"/>
        <w:gridCol w:w="2022"/>
        <w:gridCol w:w="109"/>
        <w:gridCol w:w="109"/>
        <w:gridCol w:w="177"/>
        <w:gridCol w:w="177"/>
        <w:gridCol w:w="392"/>
        <w:gridCol w:w="1273"/>
        <w:gridCol w:w="177"/>
        <w:gridCol w:w="109"/>
        <w:gridCol w:w="109"/>
        <w:gridCol w:w="109"/>
        <w:gridCol w:w="226"/>
        <w:gridCol w:w="706"/>
        <w:gridCol w:w="157"/>
      </w:tblGrid>
      <w:tr>
        <w:trPr/>
        <w:tc>
          <w:tcPr>
            <w:tcW w:w="233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6" w:type="dxa"/>
            <w:gridSpan w:val="6"/>
            <w:tcBorders/>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(Dollars per barrel of oil equivalents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9.02</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3.40</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31.58</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United States – Offshore</w:t>
            </w:r>
            <w:r>
              <w:rPr>
                <w:color w:val="000000"/>
              </w:rPr>
              <w:t xml:space="preserv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11.17</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21.37 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0.13</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0.08 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17.69</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15.42 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5.53</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0.14</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0.06 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4.42</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Lease operating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17.42</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16.89 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11.22</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Total E&amp;P continuing operations</w:t>
            </w:r>
            <w:r>
              <w:rPr>
                <w:color w:val="000000"/>
              </w:rPr>
              <w:t xml:space="preserv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Lease operating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8.89</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0.85</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Depreciation, depletion and amortization expense</w:t>
            </w:r>
            <w:r>
              <w:rPr>
                <w:color w:val="000000"/>
              </w:rPr>
              <w:t xml:space="preserv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15.62</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oil and gas continuing operations – excluding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Lease operating expense</w:t>
            </w:r>
            <w:r>
              <w:rPr>
                <w:color w:val="000000"/>
              </w:rPr>
              <w:t xml:space="preserve"> </w:t>
            </w:r>
            <w:r>
              <w:rPr>
                <w:rFonts w:ascii="Avenir Next LT Pro;sans-serif" w:hAnsi="Avenir Next LT Pro;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8.70</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13.74 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0.88</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Depreciation, depletion and amortization expense</w:t>
            </w:r>
            <w:r>
              <w:rPr>
                <w:color w:val="000000"/>
              </w:rPr>
              <w:t xml:space="preserv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15.67</w:t>
            </w:r>
            <w:r>
              <w:rPr>
                <w:color w:val="000000"/>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1 </w:t>
      </w:r>
      <w:r>
        <w:rPr>
          <w:rFonts w:ascii="Avenir Next LT Pro;sans-serif" w:hAnsi="Avenir Next LT Pro;sans-serif"/>
          <w:b w:val="false"/>
          <w:color w:val="000000"/>
          <w:sz w:val="18"/>
        </w:rPr>
        <w:t>Includes amounts attributable to a noncontrolling interest in MP GOM.</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2 </w:t>
      </w:r>
      <w:r>
        <w:rPr>
          <w:rFonts w:ascii="Avenir Next LT Pro;sans-serif" w:hAnsi="Avenir Next LT Pro;sans-serif"/>
          <w:b w:val="false"/>
          <w:color w:val="000000"/>
          <w:sz w:val="18"/>
        </w:rPr>
        <w:t>Excludes expenses attributable to the Corporate segment.</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Lease operating expense per barrel of oil equivalent sold for total oil and gas continuing operations, excluding NCI and workover costs, was $8.26 and $10.41 for the three months ended March 31, 2026 and 2025, respectively.</w:t>
      </w:r>
    </w:p>
    <w:p>
      <w:pPr>
        <w:pStyle w:val="TextBody"/>
        <w:bidi w:val="0"/>
        <w:spacing w:before="40" w:after="40"/>
        <w:ind w:left="0" w:right="0" w:hanging="8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4800"/>
                <wp:effectExtent l="0" t="0" r="0" b="0"/>
                <wp:wrapNone/>
                <wp:docPr id="20" name="Frame19"/>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15</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CAPITAL EXPENDITURES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390"/>
        <w:gridCol w:w="2001"/>
        <w:gridCol w:w="2013"/>
        <w:gridCol w:w="109"/>
        <w:gridCol w:w="109"/>
        <w:gridCol w:w="174"/>
        <w:gridCol w:w="174"/>
        <w:gridCol w:w="387"/>
        <w:gridCol w:w="1256"/>
        <w:gridCol w:w="174"/>
        <w:gridCol w:w="109"/>
        <w:gridCol w:w="109"/>
        <w:gridCol w:w="109"/>
        <w:gridCol w:w="226"/>
        <w:gridCol w:w="706"/>
        <w:gridCol w:w="159"/>
      </w:tblGrid>
      <w:tr>
        <w:trPr/>
        <w:tc>
          <w:tcPr>
            <w:tcW w:w="2390"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8" w:type="dxa"/>
            <w:gridSpan w:val="6"/>
            <w:tcBorders/>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259.1</w:t>
            </w: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322.1 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62.1</w:t>
            </w: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147.6</w:t>
            </w: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468.8</w:t>
            </w: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420.6 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w:t>
            </w: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capital expenditures - continuing operations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477.9</w:t>
            </w: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424.8 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capital expenditures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12.9</w:t>
            </w: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Total capital expenditures </w:t>
            </w:r>
          </w:p>
          <w:p>
            <w:pPr>
              <w:pStyle w:val="TableContents"/>
              <w:bidi w:val="0"/>
              <w:spacing w:lineRule="auto" w:line="240" w:before="0" w:after="0"/>
              <w:jc w:val="left"/>
              <w:rPr/>
            </w:pPr>
            <w:r>
              <w:rPr>
                <w:rFonts w:ascii="Avenir Next LT Pro;sans-serif" w:hAnsi="Avenir Next LT Pro;sans-serif"/>
                <w:b/>
                <w:color w:val="000000"/>
                <w:sz w:val="20"/>
              </w:rPr>
              <w:t>- continuing operations attributable to Murphy</w:t>
            </w:r>
            <w:r>
              <w:rPr>
                <w:color w:val="000000"/>
              </w:rPr>
              <w:t xml:space="preserve"> </w:t>
            </w:r>
            <w:r>
              <w:rPr>
                <w:rFonts w:ascii="Avenir Next LT Pro;sans-serif" w:hAnsi="Avenir Next LT Pro;sans-serif"/>
                <w:b/>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465.0</w:t>
            </w: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402.9 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Charged to exploration expenses </w:t>
            </w:r>
            <w:r>
              <w:rPr>
                <w:rFonts w:ascii="Avenir Next LT Pro;sans-serif" w:hAnsi="Avenir Next LT Pro;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w:t>
            </w: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Canada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76.3</w:t>
            </w: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Total charged to exploration expenses - continuing operations</w:t>
            </w:r>
            <w:r>
              <w:rPr>
                <w:color w:val="000000"/>
              </w:rPr>
              <w:t xml:space="preserve"> </w:t>
            </w:r>
            <w:r>
              <w:rPr>
                <w:rFonts w:ascii="Avenir Next LT Pro;sans-serif" w:hAnsi="Avenir Next LT Pro;sans-serif"/>
                <w:b w:val="false"/>
                <w:color w:val="000000"/>
                <w:sz w:val="13"/>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80.5</w:t>
            </w: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charged to exploration expenses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charged to exploration expenses </w:t>
            </w:r>
          </w:p>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 continuing operations attributable to Murphy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80.5</w:t>
            </w: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Total capitalized - continuing operations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384.5</w:t>
            </w:r>
            <w:r>
              <w:rPr>
                <w:color w:val="000000"/>
              </w:rPr>
              <w:t> </w:t>
            </w:r>
          </w:p>
        </w:tc>
        <w:tc>
          <w:tcPr>
            <w:tcW w:w="1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390.0 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amounts attributable to a noncontrolling interest in MP GOM.</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2</w:t>
      </w:r>
      <w:r>
        <w:rPr>
          <w:color w:val="000000"/>
        </w:rPr>
        <w:t> </w:t>
      </w:r>
      <w:r>
        <w:rPr>
          <w:rFonts w:ascii="Avenir Next LT Pro;sans-serif" w:hAnsi="Avenir Next LT Pro;sans-serif"/>
          <w:b w:val="false"/>
          <w:color w:val="000000"/>
          <w:sz w:val="18"/>
        </w:rPr>
        <w:t>For the three months ended March 31, 2026, total capital expenditures attributable to Murphy, excluding acquisition-related costs of $22.7 million, (2025: $1.4 million), is $442.3 million (2025: $401.5 million).</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3</w:t>
      </w:r>
      <w:r>
        <w:rPr>
          <w:color w:val="000000"/>
        </w:rPr>
        <w:t> </w:t>
      </w:r>
      <w:r>
        <w:rPr>
          <w:rFonts w:ascii="Avenir Next LT Pro;sans-serif" w:hAnsi="Avenir Next LT Pro;sans-serif"/>
          <w:b w:val="false"/>
          <w:color w:val="000000"/>
          <w:sz w:val="18"/>
        </w:rPr>
        <w:t xml:space="preserve">For the three months ended March 31, 2026, the total charged to exploration expense attributable to Murphy excludes amortization of undeveloped leases of $2.3 million (2025: $1.6 million). </w:t>
      </w:r>
    </w:p>
    <w:p>
      <w:pPr>
        <w:pStyle w:val="TextBody"/>
        <w:bidi w:val="0"/>
        <w:spacing w:before="40" w:after="40"/>
        <w:ind w:left="0" w:right="0" w:hanging="86"/>
        <w:jc w:val="left"/>
        <w:rPr/>
      </w:pPr>
      <w:r>
        <w:rPr/>
      </w:r>
    </w:p>
    <w:p>
      <w:pPr>
        <w:pStyle w:val="TextBody"/>
        <w:bidi w:val="0"/>
        <w:spacing w:before="40" w:after="40"/>
        <w:ind w:left="0" w:right="0" w:hanging="86"/>
        <w:jc w:val="left"/>
        <w:rPr/>
      </w:pPr>
      <w:r>
        <w:rPr/>
      </w:r>
    </w:p>
    <w:p>
      <w:pPr>
        <w:pStyle w:val="TextBody"/>
        <w:bidi w:val="0"/>
        <w:spacing w:before="40" w:after="40"/>
        <w:ind w:left="0" w:right="0" w:hanging="8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4800"/>
                <wp:effectExtent l="0" t="0" r="0" b="0"/>
                <wp:wrapNone/>
                <wp:docPr id="21" name="Frame20"/>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16</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PRODUCTION SUMMARY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26" w:type="dxa"/>
        <w:jc w:val="center"/>
        <w:tblInd w:w="0" w:type="dxa"/>
        <w:tblLayout w:type="fixed"/>
        <w:tblCellMar>
          <w:top w:w="28" w:type="dxa"/>
          <w:left w:w="28" w:type="dxa"/>
          <w:bottom w:w="28" w:type="dxa"/>
          <w:right w:w="28" w:type="dxa"/>
        </w:tblCellMar>
      </w:tblPr>
      <w:tblGrid>
        <w:gridCol w:w="1845"/>
        <w:gridCol w:w="1622"/>
        <w:gridCol w:w="1632"/>
        <w:gridCol w:w="109"/>
        <w:gridCol w:w="109"/>
        <w:gridCol w:w="473"/>
        <w:gridCol w:w="473"/>
        <w:gridCol w:w="542"/>
        <w:gridCol w:w="509"/>
        <w:gridCol w:w="476"/>
        <w:gridCol w:w="109"/>
        <w:gridCol w:w="109"/>
        <w:gridCol w:w="109"/>
        <w:gridCol w:w="473"/>
        <w:gridCol w:w="473"/>
        <w:gridCol w:w="263"/>
      </w:tblGrid>
      <w:tr>
        <w:trPr/>
        <w:tc>
          <w:tcPr>
            <w:tcW w:w="184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536" w:type="dxa"/>
            <w:gridSpan w:val="6"/>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28,497</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16,974 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51,839</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55,587 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2,932</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2,584 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9,006</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8,855 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224</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crude oil and condensate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92,498</w:t>
            </w:r>
            <w:r>
              <w:rPr>
                <w:color w:val="000000"/>
              </w:rPr>
              <w:t> </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84,255 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5,856</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4,072 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4,298</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3,804 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528</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10,682</w:t>
            </w:r>
            <w:r>
              <w:rPr>
                <w:color w:val="000000"/>
              </w:rPr>
              <w:t> </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8,414 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33,082</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26,190 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51,153</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51,150 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377,001</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346,892 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461,236</w:t>
            </w:r>
            <w:r>
              <w:rPr>
                <w:color w:val="000000"/>
              </w:rPr>
              <w:t> </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424,232 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NCI </w:t>
            </w:r>
            <w:r>
              <w:rPr>
                <w:rFonts w:ascii="Avenir Next LT Pro;sans-serif" w:hAnsi="Avenir Next LT Pro;sans-serif"/>
                <w:b/>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180,053</w:t>
            </w:r>
            <w:r>
              <w:rPr>
                <w:color w:val="000000"/>
              </w:rPr>
              <w:t> </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163,374 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(5,281)</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(5,779)</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(226)</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venir Next LT Pro;sans-serif" w:hAnsi="Avenir Next LT Pro;sans-serif"/>
                <w:b w:val="false"/>
                <w:color w:val="000000"/>
                <w:sz w:val="20"/>
              </w:rPr>
              <w:t>Net natural gas – thousands of cubic feet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(1,857)</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(1,234)</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(5,817)</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(6,154)</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NCI </w:t>
            </w:r>
            <w:r>
              <w:rPr>
                <w:rFonts w:ascii="Avenir Next LT Pro;sans-serif" w:hAnsi="Avenir Next LT Pro;sans-serif"/>
                <w:b/>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174,236</w:t>
            </w:r>
            <w:r>
              <w:rPr>
                <w:color w:val="000000"/>
              </w:rPr>
              <w:t> </w:t>
            </w:r>
          </w:p>
        </w:tc>
        <w:tc>
          <w:tcPr>
            <w:tcW w:w="4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157,220 </w:t>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1 </w:t>
      </w:r>
      <w:r>
        <w:rPr>
          <w:rFonts w:ascii="Avenir Next LT Pro;sans-serif" w:hAnsi="Avenir Next LT Pro;sans-serif"/>
          <w:b w:val="false"/>
          <w:color w:val="000000"/>
          <w:sz w:val="18"/>
        </w:rPr>
        <w:t>Includes net volumes attributable to a noncontrolling interest in MP GOM.</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2 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3 </w:t>
      </w:r>
      <w:r>
        <w:rPr>
          <w:rFonts w:ascii="Avenir Next LT Pro;sans-serif" w:hAnsi="Avenir Next LT Pro;sans-serif"/>
          <w:b w:val="false"/>
          <w:color w:val="000000"/>
          <w:sz w:val="18"/>
        </w:rPr>
        <w:t>NCI - noncontrolling interest in MP GOM.</w:t>
      </w:r>
    </w:p>
    <w:p>
      <w:pPr>
        <w:pStyle w:val="TextBody"/>
        <w:bidi w:val="0"/>
        <w:spacing w:before="40" w:after="40"/>
        <w:ind w:left="0" w:right="0" w:hanging="8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4800"/>
                <wp:effectExtent l="0" t="0" r="0" b="0"/>
                <wp:wrapNone/>
                <wp:docPr id="22" name="Frame21"/>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17</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SALES SUMMARY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26" w:type="dxa"/>
        <w:jc w:val="left"/>
        <w:tblInd w:w="0" w:type="dxa"/>
        <w:tblLayout w:type="fixed"/>
        <w:tblCellMar>
          <w:top w:w="28" w:type="dxa"/>
          <w:left w:w="28" w:type="dxa"/>
          <w:bottom w:w="28" w:type="dxa"/>
          <w:right w:w="28" w:type="dxa"/>
        </w:tblCellMar>
      </w:tblPr>
      <w:tblGrid>
        <w:gridCol w:w="1845"/>
        <w:gridCol w:w="1622"/>
        <w:gridCol w:w="1632"/>
        <w:gridCol w:w="109"/>
        <w:gridCol w:w="109"/>
        <w:gridCol w:w="473"/>
        <w:gridCol w:w="473"/>
        <w:gridCol w:w="542"/>
        <w:gridCol w:w="509"/>
        <w:gridCol w:w="476"/>
        <w:gridCol w:w="109"/>
        <w:gridCol w:w="109"/>
        <w:gridCol w:w="109"/>
        <w:gridCol w:w="473"/>
        <w:gridCol w:w="473"/>
        <w:gridCol w:w="263"/>
      </w:tblGrid>
      <w:tr>
        <w:trPr/>
        <w:tc>
          <w:tcPr>
            <w:tcW w:w="184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536" w:type="dxa"/>
            <w:gridSpan w:val="6"/>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28,497</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16,974 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52,205</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54,133 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2,932</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2,584 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7,579</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11,128 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455</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crude oil and condensate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91,668</w:t>
            </w:r>
            <w:r>
              <w:rPr>
                <w:color w:val="000000"/>
              </w:rPr>
              <w:t> </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84,819 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5,856</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4,072 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4,298</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3,804 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528</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10,682</w:t>
            </w:r>
            <w:r>
              <w:rPr>
                <w:color w:val="000000"/>
              </w:rPr>
              <w:t> </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8,414 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33,082</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26,190 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51,153</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51,150 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377,001</w:t>
            </w: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346,892 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461,236</w:t>
            </w:r>
            <w:r>
              <w:rPr>
                <w:color w:val="000000"/>
              </w:rPr>
              <w:t> </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424,232 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NCI </w:t>
            </w:r>
            <w:r>
              <w:rPr>
                <w:rFonts w:ascii="Avenir Next LT Pro;sans-serif" w:hAnsi="Avenir Next LT Pro;sans-serif"/>
                <w:b/>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179,223</w:t>
            </w:r>
            <w:r>
              <w:rPr>
                <w:color w:val="000000"/>
              </w:rPr>
              <w:t> </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163,938 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(5,333)</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(5,567)</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(226)</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venir Next LT Pro;sans-serif" w:hAnsi="Avenir Next LT Pro;sans-serif"/>
                <w:b w:val="false"/>
                <w:color w:val="000000"/>
                <w:sz w:val="20"/>
              </w:rPr>
              <w:t>Net natural gas – thousands of cubic feet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(1,857)</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(1,234)</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(5,869)</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(5,942)</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NCI </w:t>
            </w:r>
            <w:r>
              <w:rPr>
                <w:rFonts w:ascii="Avenir Next LT Pro;sans-serif" w:hAnsi="Avenir Next LT Pro;sans-serif"/>
                <w:b/>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173,354</w:t>
            </w:r>
            <w:r>
              <w:rPr>
                <w:color w:val="000000"/>
              </w:rPr>
              <w:t> </w:t>
            </w:r>
          </w:p>
        </w:tc>
        <w:tc>
          <w:tcPr>
            <w:tcW w:w="4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157,996 </w:t>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1 </w:t>
      </w:r>
      <w:r>
        <w:rPr>
          <w:rFonts w:ascii="Avenir Next LT Pro;sans-serif" w:hAnsi="Avenir Next LT Pro;sans-serif"/>
          <w:b w:val="false"/>
          <w:color w:val="000000"/>
          <w:sz w:val="18"/>
        </w:rPr>
        <w:t>Includes net volumes attributable to a noncontrolling interest in MP GOM.</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2 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3 </w:t>
      </w:r>
      <w:r>
        <w:rPr>
          <w:rFonts w:ascii="Avenir Next LT Pro;sans-serif" w:hAnsi="Avenir Next LT Pro;sans-serif"/>
          <w:b w:val="false"/>
          <w:color w:val="000000"/>
          <w:sz w:val="18"/>
        </w:rPr>
        <w:t>NCI - noncontrolling interest in MP GOM.</w:t>
      </w:r>
    </w:p>
    <w:p>
      <w:pPr>
        <w:pStyle w:val="TextBody"/>
        <w:bidi w:val="0"/>
        <w:spacing w:before="40" w:after="40"/>
        <w:ind w:left="0" w:right="0" w:hanging="8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4800"/>
                <wp:effectExtent l="0" t="0" r="0" b="0"/>
                <wp:wrapNone/>
                <wp:docPr id="23" name="Frame22"/>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18</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WEIGHTED AVERAGE PRICE SUMMARY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483" w:type="dxa"/>
        <w:jc w:val="center"/>
        <w:tblInd w:w="0" w:type="dxa"/>
        <w:tblLayout w:type="fixed"/>
        <w:tblCellMar>
          <w:top w:w="28" w:type="dxa"/>
          <w:left w:w="28" w:type="dxa"/>
          <w:bottom w:w="28" w:type="dxa"/>
          <w:right w:w="28" w:type="dxa"/>
        </w:tblCellMar>
      </w:tblPr>
      <w:tblGrid>
        <w:gridCol w:w="1623"/>
        <w:gridCol w:w="1429"/>
        <w:gridCol w:w="1432"/>
        <w:gridCol w:w="109"/>
        <w:gridCol w:w="109"/>
        <w:gridCol w:w="191"/>
        <w:gridCol w:w="191"/>
        <w:gridCol w:w="423"/>
        <w:gridCol w:w="1372"/>
        <w:gridCol w:w="191"/>
        <w:gridCol w:w="109"/>
        <w:gridCol w:w="109"/>
        <w:gridCol w:w="109"/>
        <w:gridCol w:w="226"/>
        <w:gridCol w:w="70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Crude oil and condensate – dollars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73.44</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70.97</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65.89</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Offshore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78.19</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Other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71.04</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liquids – dollars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17.60</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16.45</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27.73</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 dollars per thousand cubic feet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3.74</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5.68</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2.44</w:t>
            </w: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1 </w:t>
      </w:r>
      <w:r>
        <w:rPr>
          <w:rFonts w:ascii="Avenir Next LT Pro;sans-serif" w:hAnsi="Avenir Next LT Pro;sans-serif"/>
          <w:b w:val="false"/>
          <w:color w:val="000000"/>
          <w:sz w:val="18"/>
        </w:rPr>
        <w:t>Prices include the effect of noncontrolling interest in MP GOM.</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 xml:space="preserve">2 </w:t>
      </w:r>
      <w:r>
        <w:rPr>
          <w:rFonts w:ascii="Avenir Next LT Pro;sans-serif" w:hAnsi="Avenir Next LT Pro;sans-serif"/>
          <w:b w:val="false"/>
          <w:color w:val="000000"/>
          <w:sz w:val="18"/>
        </w:rPr>
        <w:t>U.S. dollar equivalent.</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4800"/>
                <wp:effectExtent l="0" t="0" r="0" b="0"/>
                <wp:wrapNone/>
                <wp:docPr id="24" name="Frame23"/>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19</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FIXED PRICE FORWARD SALES AND COMMODITY HEDGE POSITIONS</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AS OF MAY 4, 2026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9"/>
        <w:gridCol w:w="272"/>
        <w:gridCol w:w="275"/>
        <w:gridCol w:w="109"/>
        <w:gridCol w:w="109"/>
        <w:gridCol w:w="109"/>
        <w:gridCol w:w="450"/>
        <w:gridCol w:w="450"/>
        <w:gridCol w:w="451"/>
        <w:gridCol w:w="109"/>
        <w:gridCol w:w="109"/>
        <w:gridCol w:w="109"/>
        <w:gridCol w:w="583"/>
        <w:gridCol w:w="583"/>
        <w:gridCol w:w="592"/>
        <w:gridCol w:w="109"/>
        <w:gridCol w:w="109"/>
        <w:gridCol w:w="109"/>
        <w:gridCol w:w="376"/>
        <w:gridCol w:w="376"/>
        <w:gridCol w:w="377"/>
        <w:gridCol w:w="109"/>
        <w:gridCol w:w="109"/>
        <w:gridCol w:w="109"/>
        <w:gridCol w:w="329"/>
        <w:gridCol w:w="329"/>
        <w:gridCol w:w="331"/>
        <w:gridCol w:w="109"/>
        <w:gridCol w:w="109"/>
        <w:gridCol w:w="109"/>
        <w:gridCol w:w="324"/>
        <w:gridCol w:w="324"/>
        <w:gridCol w:w="317"/>
        <w:gridCol w:w="181"/>
        <w:gridCol w:w="181"/>
        <w:gridCol w:w="181"/>
        <w:gridCol w:w="292"/>
        <w:gridCol w:w="292"/>
        <w:gridCol w:w="395"/>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Volumes</w:t>
              <w:br/>
              <w:t>(MMCF/D)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Remaining Period</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venir Next LT Pro;sans-serif" w:hAnsi="Avenir Next LT Pro;sans-serif"/>
                <w:b/>
                <w:color w:val="000000"/>
                <w:sz w:val="20"/>
              </w:rPr>
              <w:t xml:space="preserve">Type </w:t>
            </w:r>
            <w:r>
              <w:rPr>
                <w:rFonts w:ascii="Avenir Next LT Pro;sans-serif" w:hAnsi="Avenir Next LT Pro;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C$2.94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6/30/2026</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C$2.94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9/30/2026</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12/31/2026</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1/1/2027</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12/31/2027</w:t>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Fixed price forward sale contracts listed above are accounted for as normal sales and purchases for accounting purposes.</w:t>
      </w:r>
    </w:p>
    <w:p>
      <w:pPr>
        <w:pStyle w:val="TextBody"/>
        <w:bidi w:val="0"/>
        <w:spacing w:before="100" w:after="200"/>
        <w:jc w:val="left"/>
        <w:rPr/>
      </w:pPr>
      <w:r>
        <w:rPr/>
      </w:r>
    </w:p>
    <w:p>
      <w:pPr>
        <w:pStyle w:val="TextBody"/>
        <w:bidi w:val="0"/>
        <w:spacing w:before="10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4800"/>
                <wp:effectExtent l="0" t="0" r="0" b="0"/>
                <wp:wrapNone/>
                <wp:docPr id="25" name="Frame24"/>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20</w:t>
                      </w:r>
                    </w:p>
                  </w:txbxContent>
                </v:textbox>
                <w10:wrap type="none"/>
              </v:rect>
            </w:pict>
          </mc:Fallback>
        </mc:AlternateContent>
      </w:r>
    </w:p>
    <w:p>
      <w:pPr>
        <w:pStyle w:val="TextBody"/>
        <w:bidi w:val="0"/>
        <w:spacing w:before="0" w:after="200"/>
        <w:jc w:val="right"/>
        <w:rPr/>
      </w:pPr>
      <w:r>
        <w:rPr/>
      </w:r>
    </w:p>
    <w:p>
      <w:pPr>
        <w:pStyle w:val="TextBody"/>
        <w:bidi w:val="0"/>
        <w:spacing w:lineRule="auto" w:line="333" w:before="0" w:after="80"/>
        <w:jc w:val="left"/>
        <w:rPr/>
      </w:pPr>
      <w:r>
        <w:rPr/>
        <w:drawing>
          <wp:inline distT="0" distB="0" distL="0" distR="0">
            <wp:extent cx="1743075" cy="800100"/>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
                    <a:stretch>
                      <a:fillRect/>
                    </a:stretch>
                  </pic:blipFill>
                  <pic:spPr bwMode="auto">
                    <a:xfrm>
                      <a:off x="0" y="0"/>
                      <a:ext cx="1743075" cy="800100"/>
                    </a:xfrm>
                    <a:prstGeom prst="rect">
                      <a:avLst/>
                    </a:prstGeom>
                  </pic:spPr>
                </pic:pic>
              </a:graphicData>
            </a:graphic>
          </wp:inline>
        </w:drawing>
      </w:r>
      <w:r>
        <w:rPr>
          <w:color w:val="000000"/>
        </w:rPr>
        <w:t xml:space="preserve"> </w:t>
      </w:r>
    </w:p>
    <w:p>
      <w:pPr>
        <w:pStyle w:val="TextBody"/>
        <w:bidi w:val="0"/>
        <w:spacing w:before="0" w:after="160"/>
        <w:jc w:val="both"/>
        <w:rPr/>
      </w:pPr>
      <w:r>
        <w:rPr/>
      </w:r>
    </w:p>
    <w:p>
      <w:pPr>
        <w:pStyle w:val="TextBody"/>
        <w:bidi w:val="0"/>
        <w:spacing w:before="0" w:after="200"/>
        <w:jc w:val="both"/>
        <w:rPr/>
      </w:pPr>
      <w:r>
        <w:rPr/>
      </w:r>
    </w:p>
    <w:p>
      <w:pPr>
        <w:pStyle w:val="TextBody"/>
        <w:bidi w:val="0"/>
        <w:spacing w:lineRule="auto" w:line="369" w:before="0" w:after="200"/>
        <w:jc w:val="both"/>
        <w:rPr>
          <w:rFonts w:ascii="Avenir Next LT Pro;sans-serif" w:hAnsi="Avenir Next LT Pro;sans-serif"/>
          <w:b/>
          <w:color w:val="000000"/>
          <w:sz w:val="28"/>
        </w:rPr>
      </w:pPr>
      <w:r>
        <w:rPr>
          <w:rFonts w:ascii="Avenir Next LT Pro;sans-serif" w:hAnsi="Avenir Next LT Pro;sans-serif"/>
          <w:b/>
          <w:color w:val="000000"/>
          <w:sz w:val="28"/>
        </w:rPr>
        <w:t>Quarterly Stockholder Update by Murphy Oil Corporation</w:t>
      </w:r>
    </w:p>
    <w:p>
      <w:pPr>
        <w:pStyle w:val="TextBody"/>
        <w:bidi w:val="0"/>
        <w:spacing w:lineRule="auto" w:line="369" w:before="0" w:after="200"/>
        <w:jc w:val="both"/>
        <w:rPr/>
      </w:pPr>
      <w:r>
        <w:rPr>
          <w:rFonts w:ascii="Avenir Next LT Pro;sans-serif" w:hAnsi="Avenir Next LT Pro;sans-serif"/>
          <w:b w:val="false"/>
          <w:color w:val="000000"/>
          <w:sz w:val="24"/>
        </w:rPr>
        <w:t>This letter serves as a supplement to our earnings release for the first quarter of 2026. Please see the information regarding forward-looking statements and non-GAAP financial information</w:t>
      </w:r>
      <w:r>
        <w:rPr>
          <w:rFonts w:ascii="Avenir Next LT Pro;sans-serif" w:hAnsi="Avenir Next LT Pro;sans-serif"/>
          <w:b w:val="false"/>
          <w:color w:val="000000"/>
          <w:sz w:val="16"/>
        </w:rPr>
        <w:t>1</w:t>
      </w:r>
      <w:r>
        <w:rPr>
          <w:color w:val="000000"/>
        </w:rPr>
        <w:t xml:space="preserve"> </w:t>
      </w:r>
      <w:r>
        <w:rPr>
          <w:rFonts w:ascii="Avenir Next LT Pro;sans-serif" w:hAnsi="Avenir Next LT Pro;sans-serif"/>
          <w:b w:val="false"/>
          <w:color w:val="000000"/>
          <w:sz w:val="24"/>
        </w:rPr>
        <w:t>included at the end of this letter. Unless otherwise noted, the</w:t>
      </w:r>
      <w:r>
        <w:rPr>
          <w:color w:val="000000"/>
          <w:shd w:fill="FFFFFF" w:val="clear"/>
        </w:rPr>
        <w:t xml:space="preserve"> </w:t>
      </w:r>
      <w:r>
        <w:rPr>
          <w:rFonts w:ascii="Avenir Next LT Pro;sans-serif" w:hAnsi="Avenir Next LT Pro;sans-serif"/>
          <w:b w:val="false"/>
          <w:color w:val="000000"/>
          <w:sz w:val="24"/>
          <w:shd w:fill="FFFFFF" w:val="clear"/>
        </w:rPr>
        <w:t>financial and operating highlights and metrics discussed in this letter exclude noncontrolling interest (NCI)</w:t>
      </w:r>
      <w:r>
        <w:rPr>
          <w:rFonts w:ascii="Avenir Next LT Pro;sans-serif" w:hAnsi="Avenir Next LT Pro;sans-serif"/>
          <w:b w:val="false"/>
          <w:color w:val="000000"/>
          <w:sz w:val="16"/>
          <w:shd w:fill="FFFFFF" w:val="clear"/>
        </w:rPr>
        <w:t>2</w:t>
      </w:r>
      <w:r>
        <w:rPr>
          <w:rFonts w:ascii="Avenir Next LT Pro;sans-serif" w:hAnsi="Avenir Next LT Pro;sans-serif"/>
          <w:b w:val="false"/>
          <w:color w:val="000000"/>
          <w:sz w:val="24"/>
          <w:shd w:fill="FFFFFF" w:val="clear"/>
        </w:rPr>
        <w:t>.</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HOUSTON, Texas, May 6, 2026</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Oil Corporation Stockholders,</w:t>
      </w:r>
    </w:p>
    <w:p>
      <w:pPr>
        <w:pStyle w:val="TextBody"/>
        <w:bidi w:val="0"/>
        <w:spacing w:lineRule="auto" w:line="369" w:before="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 xml:space="preserve">The first quarter of 2026 unfolded against one of the most volatile macroeconomic backdrops the energy sector has experienced in years. During the quarter, global energy markets were shaped by heightened geopolitical risks which drove a sharp increase in oil prices. While these events highlighted the importance of secure and dependable supply, they also reinforced the cyclical nature of our industry and the importance of a resilient and flexible business model. </w:t>
      </w:r>
    </w:p>
    <w:p>
      <w:pPr>
        <w:pStyle w:val="TextBody"/>
        <w:bidi w:val="0"/>
        <w:spacing w:lineRule="auto" w:line="369" w:before="0" w:after="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During these uncertain times, our strategy is to stay anchored to what we control—disciplined capital allocation, safe and reliable operations, and our long</w:t>
        <w:noBreakHyphen/>
        <w:t>cycle projects. In the first quarter, this focus translated into strong execution across our portfolio with meaningful progress at Lac Da Vang in Vietnam, advancement of the high-impact Chinook #8 well in the Gulf of America, and sustained outperformance from our US and Canada onshore programs. We also took steps to preserve our balance sheet strength, enhance liquidity, and improve our debt maturity profile.</w:t>
      </w:r>
    </w:p>
    <w:p>
      <w:pPr>
        <w:pStyle w:val="TextBody"/>
        <w:bidi w:val="0"/>
        <w:spacing w:before="0" w:after="0"/>
        <w:jc w:val="both"/>
        <w:rPr/>
      </w:pPr>
      <w:r>
        <w:rPr/>
      </w:r>
    </w:p>
    <w:p>
      <w:pPr>
        <w:pStyle w:val="TextBody"/>
        <w:bidi w:val="0"/>
        <w:spacing w:lineRule="auto" w:line="369" w:before="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 xml:space="preserve">In the quarter, our unhedged position enabled the Company to fully capture the upside from higher oil prices. Given the potential for prices to move meaningfully in either direction, we elected not to implement any oil hedges during the quarter. Our </w:t>
      </w:r>
    </w:p>
    <w:p>
      <w:pPr>
        <w:pStyle w:val="TextBody"/>
        <w:bidi w:val="0"/>
        <w:spacing w:before="0" w:after="20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7800"/>
                <wp:effectExtent l="0" t="0" r="0" b="0"/>
                <wp:wrapNone/>
                <wp:docPr id="27" name="Frame2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w:t>
                      </w:r>
                    </w:p>
                  </w:txbxContent>
                </v:textbox>
                <w10:wrap type="none"/>
              </v:rect>
            </w:pict>
          </mc:Fallback>
        </mc:AlternateContent>
      </w:r>
    </w:p>
    <w:p>
      <w:pPr>
        <w:pStyle w:val="TextBody"/>
        <w:bidi w:val="0"/>
        <w:spacing w:before="0" w:after="200"/>
        <w:jc w:val="right"/>
        <w:rPr/>
      </w:pPr>
      <w:r>
        <w:rPr/>
      </w:r>
    </w:p>
    <w:p>
      <w:pPr>
        <w:pStyle w:val="TextBody"/>
        <w:bidi w:val="0"/>
        <w:spacing w:lineRule="auto" w:line="369" w:before="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strong financial standing allows us to sustain this approach while preserving the flexibility to adapt to market changes and maximize shareholder value.</w:t>
      </w:r>
    </w:p>
    <w:p>
      <w:pPr>
        <w:pStyle w:val="TextBody"/>
        <w:bidi w:val="0"/>
        <w:spacing w:lineRule="auto" w:line="369" w:before="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With respect to our capital expenditure (CAPEX) plan, we are avoiding incremental spending tied to short-term price moves and are keeping our 2026 CAPEX guidance unchanged. As we maintain capital discipline, we are preserving investment optionality and continue to assess three focus areas that will inform our future capital guidance: (1) the macro environment and the durability of commodity prices, (2) results from our exploration and appraisal program in Côte d’Ivoire and Vietnam, and (3) activity plans from our non-operated partners.</w:t>
      </w:r>
    </w:p>
    <w:p>
      <w:pPr>
        <w:pStyle w:val="TextBody"/>
        <w:bidi w:val="0"/>
        <w:spacing w:lineRule="auto" w:line="369" w:before="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Maximizing shareholder returns continues to be at the core of our capital allocation decisions as we evaluate options to balance portfolio investments, share buybacks, and net debt reduction.</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FIRST QUARTER 2026 SUMMARY</w:t>
      </w:r>
    </w:p>
    <w:p>
      <w:pPr>
        <w:pStyle w:val="TextBody"/>
        <w:bidi w:val="0"/>
        <w:spacing w:lineRule="auto" w:line="369" w:before="0" w:after="200"/>
        <w:jc w:val="both"/>
        <w:rPr/>
      </w:pPr>
      <w:r>
        <w:rPr>
          <w:rFonts w:ascii="Avenir Next LT Pro;sans-serif" w:hAnsi="Avenir Next LT Pro;sans-serif"/>
          <w:b w:val="false"/>
          <w:color w:val="000000"/>
          <w:sz w:val="24"/>
          <w:shd w:fill="FFFFFF" w:val="clear"/>
        </w:rPr>
        <w:t>Murphy exceeded the high end of our production guidance range during the first quarter, producing 174,200 barrels of oil equivalent per day (BOEPD). Realized pricing incre</w:t>
      </w:r>
      <w:r>
        <w:rPr>
          <w:rFonts w:ascii="Avenir Next LT Pro;sans-serif" w:hAnsi="Avenir Next LT Pro;sans-serif"/>
          <w:b w:val="false"/>
          <w:color w:val="000000"/>
          <w:sz w:val="24"/>
        </w:rPr>
        <w:t>ased significantly to $72.28 per barrel of oil, a 22 percent quarter-over-quarter increase driven by geopolitical events. On the other hand, a mild winter led to weaker natural gas prices, with Murphy realizing $2.87 per thousand cubic feet (MCF) in the first quarter. Notably, despite persistent weakness in AECO prices, our diversification strategy in Canada enabled us to realize USD $2.44 per MCF in the first quarter compared to USD $1.46 per MCF AECO average.</w:t>
      </w:r>
    </w:p>
    <w:p>
      <w:pPr>
        <w:pStyle w:val="TextBody"/>
        <w:bidi w:val="0"/>
        <w:spacing w:lineRule="auto" w:line="369" w:before="0" w:after="200"/>
        <w:jc w:val="left"/>
        <w:rPr/>
      </w:pPr>
      <w:r>
        <w:rPr>
          <w:rFonts w:ascii="Avenir Next LT Pro;sans-serif" w:hAnsi="Avenir Next LT Pro;sans-serif"/>
          <w:b w:val="false"/>
          <w:color w:val="000000"/>
          <w:sz w:val="24"/>
          <w:shd w:fill="FFFFFF" w:val="clear"/>
        </w:rPr>
        <w:t>Net income in the quarter was $53.0 million, adjusted earnings before interest, taxes, depreciation and amortization (EBITDA)</w:t>
      </w:r>
      <w:r>
        <w:rPr>
          <w:rFonts w:ascii="Avenir Next LT Pro;sans-serif" w:hAnsi="Avenir Next LT Pro;sans-serif"/>
          <w:b w:val="false"/>
          <w:color w:val="000000"/>
          <w:sz w:val="16"/>
          <w:shd w:fill="FFFFFF" w:val="clear"/>
        </w:rPr>
        <w:t>1</w:t>
      </w:r>
      <w:r>
        <w:rPr>
          <w:color w:val="000000"/>
          <w:shd w:fill="FFFFFF" w:val="clear"/>
        </w:rPr>
        <w:t xml:space="preserve"> </w:t>
      </w:r>
      <w:r>
        <w:rPr>
          <w:rFonts w:ascii="Avenir Next LT Pro;sans-serif" w:hAnsi="Avenir Next LT Pro;sans-serif"/>
          <w:b w:val="false"/>
          <w:color w:val="000000"/>
          <w:sz w:val="24"/>
          <w:shd w:fill="FFFFFF" w:val="clear"/>
        </w:rPr>
        <w:t>was $382.9 million, and operating cash flow excluding working capital adjustments was $429.2 million.</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OPERATIONAL UPDATE</w:t>
      </w:r>
    </w:p>
    <w:p>
      <w:pPr>
        <w:pStyle w:val="TextBody"/>
        <w:bidi w:val="0"/>
        <w:spacing w:lineRule="auto" w:line="369" w:before="0" w:after="200"/>
        <w:jc w:val="both"/>
        <w:rPr/>
      </w:pPr>
      <w:r>
        <w:rPr>
          <w:rFonts w:ascii="Avenir Next LT Pro;sans-serif" w:hAnsi="Avenir Next LT Pro;sans-serif"/>
          <w:b w:val="false"/>
          <w:color w:val="000000"/>
          <w:sz w:val="24"/>
        </w:rPr>
        <w:t xml:space="preserve">During the first quarter, we executed as planned. </w:t>
      </w:r>
      <w:r>
        <w:rPr>
          <w:rFonts w:ascii="Avenir Next LT Pro;sans-serif" w:hAnsi="Avenir Next LT Pro;sans-serif"/>
          <w:b w:val="false"/>
          <w:color w:val="000000"/>
          <w:sz w:val="24"/>
          <w:shd w:fill="FFFFFF" w:val="clear"/>
        </w:rPr>
        <w:t xml:space="preserve">In the Eagle Ford Shale, we brought online 15 wells including 12 in Karnes and 3 in Catarina. These wells extended our track record of strong execution, delivering 17% cumulative oil outperformance versus the 2025 type curve over the first 60 days. I want to highlight our Catarina wells, where we drilled some of the longest wells in Dimmit County this quarter while achieving an 11 percent lower cost per completed lateral foot and 27 percent higher 60-day cumulative oil production compared to 2025. This is especially noteworthy as </w:t>
      </w:r>
    </w:p>
    <w:p>
      <w:pPr>
        <w:pStyle w:val="TextBody"/>
        <w:bidi w:val="0"/>
        <w:spacing w:before="0" w:after="20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7800"/>
                <wp:effectExtent l="0" t="0" r="0" b="0"/>
                <wp:wrapNone/>
                <wp:docPr id="28" name="Frame2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w:t>
                      </w:r>
                    </w:p>
                  </w:txbxContent>
                </v:textbox>
                <w10:wrap type="none"/>
              </v:rect>
            </w:pict>
          </mc:Fallback>
        </mc:AlternateContent>
      </w:r>
    </w:p>
    <w:p>
      <w:pPr>
        <w:pStyle w:val="TextBody"/>
        <w:bidi w:val="0"/>
        <w:spacing w:before="0" w:after="200"/>
        <w:jc w:val="right"/>
        <w:rPr/>
      </w:pPr>
      <w:r>
        <w:rPr/>
      </w:r>
    </w:p>
    <w:p>
      <w:pPr>
        <w:pStyle w:val="TextBody"/>
        <w:bidi w:val="0"/>
        <w:spacing w:lineRule="auto" w:line="369" w:before="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 xml:space="preserve">the remainder of our planned Eagle Ford Shale program this year is concentrated in Catarina. </w:t>
      </w:r>
    </w:p>
    <w:p>
      <w:pPr>
        <w:pStyle w:val="TextBody"/>
        <w:bidi w:val="0"/>
        <w:spacing w:lineRule="auto" w:line="369" w:before="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In onshore Canada, we brought online four Kaybob Duvernay wells subsequent to quarter end and progressed eight Tupper Montney wells scheduled to come online in the third quarter. Our 2025 Tupper Montney wells continue to be among the best performers in the history of the asset. Overall, the robust performance of our new onshore wells in both the Eagle Ford Shale and Canada further supports our development strategy, and I am proud of the team for their effective execution.</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Offshore, we spud our high-impact Chinook #8 development well in the Gulf of America. We are on track to bring the well online in the second half of the year and are excited about the economics of this well supported by our purchase of the Pioneer FPSO (Floating Production, Storage, and Offloading vessel) last year.</w:t>
      </w:r>
    </w:p>
    <w:p>
      <w:pPr>
        <w:pStyle w:val="TextBody"/>
        <w:bidi w:val="0"/>
        <w:spacing w:lineRule="auto" w:line="369" w:before="0" w:after="200"/>
        <w:jc w:val="both"/>
        <w:rPr/>
      </w:pPr>
      <w:r>
        <w:rPr>
          <w:rFonts w:ascii="Avenir Next LT Pro;sans-serif" w:hAnsi="Avenir Next LT Pro;sans-serif"/>
          <w:b w:val="false"/>
          <w:color w:val="000000"/>
          <w:sz w:val="24"/>
        </w:rPr>
        <w:t>At our Lac Da Vang (Golden Camel) development project in Vietnam, development drilling is progressing in line with p</w:t>
      </w:r>
      <w:r>
        <w:rPr>
          <w:rFonts w:ascii="Avenir Next LT Pro;sans-serif" w:hAnsi="Avenir Next LT Pro;sans-serif"/>
          <w:b w:val="false"/>
          <w:color w:val="000000"/>
          <w:sz w:val="24"/>
          <w:shd w:fill="FFFFFF" w:val="clear"/>
        </w:rPr>
        <w:t>lan and</w:t>
      </w:r>
      <w:r>
        <w:rPr>
          <w:color w:val="000000"/>
        </w:rPr>
        <w:t xml:space="preserve"> </w:t>
      </w:r>
      <w:r>
        <w:rPr>
          <w:rFonts w:ascii="Avenir Next LT Pro;sans-serif" w:hAnsi="Avenir Next LT Pro;sans-serif"/>
          <w:b w:val="false"/>
          <w:color w:val="000000"/>
          <w:sz w:val="24"/>
        </w:rPr>
        <w:t>the FSO (Floating Storage and Offloading vessel) is ready to launch. The project continues to track on schedule, with first production slated for the fourth quarter of this year. Lac Da Vang is a cornerstone of our Vietnam portfolio, and its steady progress reinforces our execution capabilities and the long</w:t>
        <w:noBreakHyphen/>
        <w:t>term growth potential in the region.</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PRODUCTION</w:t>
      </w:r>
    </w:p>
    <w:p>
      <w:pPr>
        <w:pStyle w:val="TextBody"/>
        <w:bidi w:val="0"/>
        <w:spacing w:lineRule="auto" w:line="369" w:before="0" w:after="200"/>
        <w:jc w:val="both"/>
        <w:rPr/>
      </w:pPr>
      <w:r>
        <w:rPr>
          <w:rFonts w:ascii="Avenir Next LT Pro;sans-serif" w:hAnsi="Avenir Next LT Pro;sans-serif"/>
          <w:b w:val="false"/>
          <w:color w:val="000000"/>
          <w:sz w:val="24"/>
          <w:shd w:fill="FFFFFF" w:val="clear"/>
        </w:rPr>
        <w:t>As previously noted, Murphy delivered strong operational execution in the first quarter w</w:t>
      </w:r>
      <w:r>
        <w:rPr>
          <w:rFonts w:ascii="Avenir Next LT Pro;sans-serif" w:hAnsi="Avenir Next LT Pro;sans-serif"/>
          <w:b w:val="false"/>
          <w:color w:val="000000"/>
          <w:sz w:val="24"/>
        </w:rPr>
        <w:t xml:space="preserve">ith </w:t>
      </w:r>
      <w:r>
        <w:rPr>
          <w:rFonts w:ascii="Avenir Next LT Pro;sans-serif" w:hAnsi="Avenir Next LT Pro;sans-serif"/>
          <w:b w:val="false"/>
          <w:color w:val="000000"/>
          <w:sz w:val="24"/>
          <w:shd w:fill="FFFFFF" w:val="clear"/>
        </w:rPr>
        <w:t xml:space="preserve">production averaging 174,200 BOEPD, exceeding the high end of our quarterly guidance of 172,000 BOEPD. Average oil production of 87,200 barrels of oil per day (BOPD) also exceeded guidance of 83,500 BOPD. </w:t>
      </w:r>
      <w:r>
        <w:rPr>
          <w:rFonts w:ascii="Avenir Next LT Pro;sans-serif" w:hAnsi="Avenir Next LT Pro;sans-serif"/>
          <w:b w:val="false"/>
          <w:color w:val="000000"/>
          <w:sz w:val="24"/>
        </w:rPr>
        <w:t>The outperformance this quarter was driven by better performance across our onshore assets, higher uptime at our offshore facilities, and lower planned downtime due to efficient maintenance operations.</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We expect production to dip slightly in the second quarter driven primarily by onshore well timing. We accelerated our first quarter Eagle Ford Shale wells to earlier in the quarter, and our second quarter wells will come on late in the quarter, resulting in a quarter-over-quarter decline. We remain firmly on track to meet our full year production guidance. </w:t>
      </w:r>
    </w:p>
    <w:p>
      <w:pPr>
        <w:pStyle w:val="TextBody"/>
        <w:bidi w:val="0"/>
        <w:spacing w:before="0" w:after="20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7800"/>
                <wp:effectExtent l="0" t="0" r="0" b="0"/>
                <wp:wrapNone/>
                <wp:docPr id="29" name="Frame2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3</w:t>
                      </w:r>
                    </w:p>
                  </w:txbxContent>
                </v:textbox>
                <w10:wrap type="none"/>
              </v:rect>
            </w:pict>
          </mc:Fallback>
        </mc:AlternateContent>
      </w:r>
    </w:p>
    <w:p>
      <w:pPr>
        <w:pStyle w:val="TextBody"/>
        <w:bidi w:val="0"/>
        <w:spacing w:before="0" w:after="200"/>
        <w:jc w:val="right"/>
        <w:rPr/>
      </w:pPr>
      <w:r>
        <w:rPr/>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CAPITAL EXPENDITURES</w:t>
      </w:r>
    </w:p>
    <w:p>
      <w:pPr>
        <w:pStyle w:val="TextBody"/>
        <w:bidi w:val="0"/>
        <w:spacing w:lineRule="auto" w:line="369" w:before="0" w:after="200"/>
        <w:jc w:val="both"/>
        <w:rPr/>
      </w:pPr>
      <w:r>
        <w:rPr>
          <w:rFonts w:ascii="Avenir Next LT Pro;sans-serif" w:hAnsi="Avenir Next LT Pro;sans-serif"/>
          <w:b w:val="false"/>
          <w:color w:val="000000"/>
          <w:sz w:val="24"/>
        </w:rPr>
        <w:t>CAPEX during the first quarter was $465 million, below our guidance midpoin</w:t>
      </w:r>
      <w:r>
        <w:rPr>
          <w:rFonts w:ascii="Avenir Next LT Pro;sans-serif" w:hAnsi="Avenir Next LT Pro;sans-serif"/>
          <w:b w:val="false"/>
          <w:color w:val="000000"/>
          <w:sz w:val="24"/>
          <w:shd w:fill="FFFFFF" w:val="clear"/>
        </w:rPr>
        <w:t xml:space="preserve">t of $540 million, primarily </w:t>
      </w:r>
      <w:r>
        <w:rPr>
          <w:rFonts w:ascii="Avenir Next LT Pro;sans-serif" w:hAnsi="Avenir Next LT Pro;sans-serif"/>
          <w:b w:val="false"/>
          <w:color w:val="000000"/>
          <w:sz w:val="24"/>
        </w:rPr>
        <w:t xml:space="preserve">reflecting phasing of certain exploration and appraisal costs to later in the year. </w:t>
      </w:r>
    </w:p>
    <w:p>
      <w:pPr>
        <w:pStyle w:val="TextBody"/>
        <w:bidi w:val="0"/>
        <w:spacing w:lineRule="auto" w:line="369" w:before="0" w:after="0"/>
        <w:jc w:val="both"/>
        <w:rPr/>
      </w:pPr>
      <w:r>
        <w:rPr>
          <w:rFonts w:ascii="Avenir Next LT Pro;sans-serif" w:hAnsi="Avenir Next LT Pro;sans-serif"/>
          <w:b w:val="false"/>
          <w:color w:val="000000"/>
          <w:sz w:val="24"/>
          <w:shd w:fill="FFFFFF" w:val="clear"/>
        </w:rPr>
        <w:t>Our 2026 capital program was designed to maintain financial discipline while balancing near</w:t>
        <w:noBreakHyphen/>
        <w:t>term execution with long</w:t>
        <w:noBreakHyphen/>
        <w:t>cycle value creation. This program offers us</w:t>
      </w:r>
      <w:r>
        <w:rPr>
          <w:color w:val="000000"/>
        </w:rPr>
        <w:t xml:space="preserve"> </w:t>
      </w:r>
      <w:r>
        <w:rPr>
          <w:rFonts w:ascii="Avenir Next LT Pro;sans-serif" w:hAnsi="Avenir Next LT Pro;sans-serif"/>
          <w:b w:val="false"/>
          <w:color w:val="000000"/>
          <w:sz w:val="24"/>
        </w:rPr>
        <w:t xml:space="preserve">the ability to adjust the pace of investment as the year progresses. As noted previously, we currently expect our full year CAPEX to be within the previously communicated range. </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OPERATING COSTS</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Operating expenses in the first quarter averaged $8.70 per BOE, lower than our typical range of $10 to $12 per BOE. Although higher production did contribute to a lower unit cost, this temporary reduction is primarily due to in-year cost phasing. Looking at the year as a whole, we expect our operating expenses to be in line with our previously communicated range.</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EXPLORATION AND APPRAISAL UPDATE</w:t>
      </w:r>
    </w:p>
    <w:p>
      <w:pPr>
        <w:pStyle w:val="TextBody"/>
        <w:bidi w:val="0"/>
        <w:spacing w:lineRule="auto" w:line="369" w:before="0" w:after="200"/>
        <w:jc w:val="both"/>
        <w:rPr/>
      </w:pPr>
      <w:r>
        <w:rPr>
          <w:rFonts w:ascii="Avenir Next LT Pro;sans-serif" w:hAnsi="Avenir Next LT Pro;sans-serif"/>
          <w:b w:val="false"/>
          <w:color w:val="000000"/>
          <w:sz w:val="24"/>
          <w:shd w:fill="FFFFFF" w:val="clear"/>
        </w:rPr>
        <w:t>As announced in January, we drilled a successful appraisal well at Hai Su Vang</w:t>
        <w:noBreakHyphen/>
        <w:t xml:space="preserve">2X in Vietnam. </w:t>
      </w:r>
      <w:r>
        <w:rPr>
          <w:rFonts w:ascii="Avenir Next LT Pro;sans-serif" w:hAnsi="Avenir Next LT Pro;sans-serif"/>
          <w:b w:val="false"/>
          <w:color w:val="000000"/>
          <w:sz w:val="24"/>
        </w:rPr>
        <w:t xml:space="preserve">We are currently finishing operations at the Hai Su Vang-3X appraisal well, and will next move to Hai Su Vang-4X, the final appraisal well in the program. We plan to share an updated resource range estimate at the conclusion of this appraisal campaign. Results from these wells will also inform our field development plan for Hai Su Vang, a key milestone towards formal sanctioning of the project. </w:t>
      </w:r>
    </w:p>
    <w:p>
      <w:pPr>
        <w:pStyle w:val="TextBody"/>
        <w:bidi w:val="0"/>
        <w:spacing w:lineRule="auto" w:line="369" w:before="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In Côte d’Ivoire, we continue to drill the third well in our exploration program — Bubale-1X. We will share results upon completion of drilling operations.</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In the Gulf of America, subsequent to quarter end, we have sanctioned the development of the recent Banjo and Cello field discoveries and are targeting first oil in the fourth quarter of 2027. These projects are expected to contribute 4 MBOEPD average net production in 2028, demonstrating Murphy’s ability to rapidly transition from discovery to development by leveraging existing infrastructure to accelerate value realization.</w:t>
      </w:r>
    </w:p>
    <w:p>
      <w:pPr>
        <w:pStyle w:val="TextBody"/>
        <w:bidi w:val="0"/>
        <w:spacing w:before="0" w:after="20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7800"/>
                <wp:effectExtent l="0" t="0" r="0" b="0"/>
                <wp:wrapNone/>
                <wp:docPr id="30" name="Frame2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4</w:t>
                      </w:r>
                    </w:p>
                  </w:txbxContent>
                </v:textbox>
                <w10:wrap type="none"/>
              </v:rect>
            </w:pict>
          </mc:Fallback>
        </mc:AlternateContent>
      </w:r>
    </w:p>
    <w:p>
      <w:pPr>
        <w:pStyle w:val="TextBody"/>
        <w:bidi w:val="0"/>
        <w:spacing w:before="0" w:after="200"/>
        <w:jc w:val="right"/>
        <w:rPr/>
      </w:pPr>
      <w:r>
        <w:rPr/>
      </w:r>
    </w:p>
    <w:p>
      <w:pPr>
        <w:pStyle w:val="TextBody"/>
        <w:bidi w:val="0"/>
        <w:spacing w:lineRule="auto" w:line="369" w:before="0" w:after="200"/>
        <w:jc w:val="both"/>
        <w:rPr/>
      </w:pPr>
      <w:r>
        <w:rPr>
          <w:rFonts w:ascii="Avenir Next LT Pro;sans-serif" w:hAnsi="Avenir Next LT Pro;sans-serif"/>
          <w:b w:val="false"/>
          <w:color w:val="000000"/>
          <w:sz w:val="24"/>
          <w:shd w:fill="FFFFFF" w:val="clear"/>
        </w:rPr>
        <w:t>Additionally in the Gulf of America</w:t>
      </w:r>
      <w:r>
        <w:rPr>
          <w:rFonts w:ascii="Avenir Next LT Pro;sans-serif" w:hAnsi="Avenir Next LT Pro;sans-serif"/>
          <w:b w:val="false"/>
          <w:color w:val="000000"/>
          <w:sz w:val="24"/>
        </w:rPr>
        <w:t>, the Bureau of Ocean Energy Management (BOEM) has now formally awarded us all fourteen blocks where we were named apparent high bidder during the December 2025 federal lease sale. These blocks provide a mix of lower</w:t>
        <w:noBreakHyphen/>
        <w:t>risk, infrastructure</w:t>
        <w:noBreakHyphen/>
        <w:t>led development opportunities and higher</w:t>
        <w:noBreakHyphen/>
        <w:t>impact prospects, offering both near</w:t>
        <w:noBreakHyphen/>
        <w:t>term upside and longer</w:t>
        <w:noBreakHyphen/>
        <w:t>term growth.</w:t>
      </w:r>
    </w:p>
    <w:p>
      <w:pPr>
        <w:pStyle w:val="TextBody"/>
        <w:bidi w:val="0"/>
        <w:spacing w:lineRule="auto" w:line="369" w:before="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 xml:space="preserve">At quarter end, Murphy submitted an offer for four exploration blocks in offshore Cameroon. The offer was subsequently accepted by the Republic of Cameroon, pending further discussions to finalize the Production Sharing Contracts. </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FINANCIAL PERFORMANCE, SHAREHOLDER RETURNS AND BALANCE SHEET</w:t>
      </w:r>
    </w:p>
    <w:p>
      <w:pPr>
        <w:pStyle w:val="TextBody"/>
        <w:bidi w:val="0"/>
        <w:spacing w:lineRule="auto" w:line="369" w:before="0" w:after="200"/>
        <w:jc w:val="both"/>
        <w:rPr/>
      </w:pPr>
      <w:r>
        <w:rPr>
          <w:rFonts w:ascii="Avenir Next LT Pro;sans-serif" w:hAnsi="Avenir Next LT Pro;sans-serif"/>
          <w:b w:val="false"/>
          <w:color w:val="000000"/>
          <w:sz w:val="24"/>
          <w:shd w:fill="FFFFFF" w:val="clear"/>
        </w:rPr>
        <w:t>As previously communicated, our capital allocation plan allocates a minimum of 50 percent of adjusted free cash flow</w:t>
      </w:r>
      <w:r>
        <w:rPr>
          <w:rFonts w:ascii="Avenir Next LT Pro;sans-serif" w:hAnsi="Avenir Next LT Pro;sans-serif"/>
          <w:b w:val="false"/>
          <w:color w:val="000000"/>
          <w:sz w:val="16"/>
          <w:shd w:fill="FFFFFF" w:val="clear"/>
        </w:rPr>
        <w:t>1</w:t>
      </w:r>
      <w:r>
        <w:rPr>
          <w:color w:val="000000"/>
          <w:shd w:fill="FFFFFF" w:val="clear"/>
        </w:rPr>
        <w:t xml:space="preserve"> </w:t>
      </w:r>
      <w:r>
        <w:rPr>
          <w:rFonts w:ascii="Avenir Next LT Pro;sans-serif" w:hAnsi="Avenir Next LT Pro;sans-serif"/>
          <w:b w:val="false"/>
          <w:color w:val="000000"/>
          <w:sz w:val="24"/>
          <w:shd w:fill="FFFFFF" w:val="clear"/>
        </w:rPr>
        <w:t xml:space="preserve">to share buybacks and dividend increases, with the remainder allocated to the balance sheet. During the first quarter, we distributed $50 million of dividends to shareholders. At the end of the quarter, we had $550 million remaining under our board-authorized share repurchase program. As the year progresses, we will continue to monitor the markets and will balance net debt reductions and share buybacks in line with our capital allocation plan. </w:t>
      </w:r>
    </w:p>
    <w:p>
      <w:pPr>
        <w:pStyle w:val="TextBody"/>
        <w:bidi w:val="0"/>
        <w:spacing w:lineRule="auto" w:line="369" w:before="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At the end of the first quarter, we were favorably positioned with a strong balance sheet reflecting total debt and net debt (non-GAAP) of $1.55 billion and $1.17 billion, respectively. Net debt is comprised of total debt less cash and cash equivalents of approximately $380 million. We had no outstanding balances on our unsecured revolving credit facility and, as a result of the bond transaction completed in January, our nearest debt maturity is now in 2029.</w:t>
      </w:r>
    </w:p>
    <w:p>
      <w:pPr>
        <w:pStyle w:val="TextBody"/>
        <w:bidi w:val="0"/>
        <w:spacing w:before="200" w:after="200"/>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7800"/>
                <wp:effectExtent l="0" t="0" r="0" b="0"/>
                <wp:wrapNone/>
                <wp:docPr id="31" name="Frame2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5</w:t>
                      </w:r>
                    </w:p>
                  </w:txbxContent>
                </v:textbox>
                <w10:wrap type="none"/>
              </v:rect>
            </w:pict>
          </mc:Fallback>
        </mc:AlternateContent>
      </w:r>
    </w:p>
    <w:p>
      <w:pPr>
        <w:pStyle w:val="TextBody"/>
        <w:bidi w:val="0"/>
        <w:spacing w:before="0" w:after="200"/>
        <w:jc w:val="right"/>
        <w:rPr/>
      </w:pPr>
      <w:r>
        <w:rPr/>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CLOSING</w:t>
      </w:r>
    </w:p>
    <w:p>
      <w:pPr>
        <w:pStyle w:val="TextBody"/>
        <w:bidi w:val="0"/>
        <w:spacing w:lineRule="auto" w:line="369" w:before="0" w:after="200"/>
        <w:jc w:val="both"/>
        <w:rPr/>
      </w:pPr>
      <w:r>
        <w:rPr>
          <w:rFonts w:ascii="Avenir Next LT Pro;sans-serif" w:hAnsi="Avenir Next LT Pro;sans-serif"/>
          <w:b w:val="false"/>
          <w:color w:val="000000"/>
          <w:sz w:val="24"/>
          <w:shd w:fill="FFFFFF" w:val="clear"/>
        </w:rPr>
        <w:t>As we move forward, we remain acutely aw</w:t>
      </w:r>
      <w:r>
        <w:rPr>
          <w:rFonts w:ascii="Avenir Next LT Pro;sans-serif" w:hAnsi="Avenir Next LT Pro;sans-serif"/>
          <w:b w:val="false"/>
          <w:color w:val="000000"/>
          <w:sz w:val="24"/>
        </w:rPr>
        <w:t>are of the evolving macroeconomic landscape and the dynamic nature of global energy markets. Given our flexible portfolio and resilient business model, we are confident in our ability to seize opportunities and navigate challenges, ensuring the long-term strength of our Company while maintaining our commitment to operational excellence and financial discipline.</w:t>
      </w:r>
    </w:p>
    <w:p>
      <w:pPr>
        <w:pStyle w:val="TextBody"/>
        <w:bidi w:val="0"/>
        <w:spacing w:before="0" w:after="200"/>
        <w:jc w:val="both"/>
        <w:rPr/>
      </w:pPr>
      <w:r>
        <w:rPr/>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Thank you for your continued trust as a valued Murphy Oil Corporation stockholder. </w:t>
      </w:r>
    </w:p>
    <w:p>
      <w:pPr>
        <w:pStyle w:val="TextBody"/>
        <w:bidi w:val="0"/>
        <w:spacing w:before="0" w:after="200"/>
        <w:jc w:val="both"/>
        <w:rPr/>
      </w:pPr>
      <w:r>
        <w:rPr/>
        <w:drawing>
          <wp:inline distT="0" distB="0" distL="0" distR="0">
            <wp:extent cx="2143125" cy="657225"/>
            <wp:effectExtent l="0" t="0" r="0" b="0"/>
            <wp:docPr id="3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 descr=""/>
                    <pic:cNvPicPr>
                      <a:picLocks noChangeAspect="1" noChangeArrowheads="1"/>
                    </pic:cNvPicPr>
                  </pic:nvPicPr>
                  <pic:blipFill>
                    <a:blip r:embed="rId4"/>
                    <a:stretch>
                      <a:fillRect/>
                    </a:stretch>
                  </pic:blipFill>
                  <pic:spPr bwMode="auto">
                    <a:xfrm>
                      <a:off x="0" y="0"/>
                      <a:ext cx="2143125" cy="657225"/>
                    </a:xfrm>
                    <a:prstGeom prst="rect">
                      <a:avLst/>
                    </a:prstGeom>
                  </pic:spPr>
                </pic:pic>
              </a:graphicData>
            </a:graphic>
          </wp:inline>
        </w:drawing>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Eric M. Hambly</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President and Chief Executive Officer </w:t>
      </w:r>
    </w:p>
    <w:p>
      <w:pPr>
        <w:pStyle w:val="TextBody"/>
        <w:bidi w:val="0"/>
        <w:spacing w:before="0" w:after="200"/>
        <w:jc w:val="both"/>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7800"/>
                <wp:effectExtent l="0" t="0" r="0" b="0"/>
                <wp:wrapNone/>
                <wp:docPr id="33" name="Frame3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6</w:t>
                      </w:r>
                    </w:p>
                  </w:txbxContent>
                </v:textbox>
                <w10:wrap type="none"/>
              </v:rect>
            </w:pict>
          </mc:Fallback>
        </mc:AlternateContent>
      </w:r>
    </w:p>
    <w:p>
      <w:pPr>
        <w:pStyle w:val="TextBody"/>
        <w:bidi w:val="0"/>
        <w:spacing w:before="0" w:after="200"/>
        <w:jc w:val="right"/>
        <w:rPr/>
      </w:pPr>
      <w:r>
        <w:rPr/>
      </w:r>
    </w:p>
    <w:p>
      <w:pPr>
        <w:pStyle w:val="TextBody"/>
        <w:bidi w:val="0"/>
        <w:spacing w:lineRule="atLeast" w:line="288" w:before="0" w:after="200"/>
        <w:jc w:val="left"/>
        <w:rPr>
          <w:rFonts w:ascii="Avenir Next LT Pro;sans-serif" w:hAnsi="Avenir Next LT Pro;sans-serif"/>
          <w:b/>
          <w:color w:val="000000"/>
          <w:sz w:val="24"/>
        </w:rPr>
      </w:pPr>
      <w:r>
        <w:rPr>
          <w:rFonts w:ascii="Avenir Next LT Pro;sans-serif" w:hAnsi="Avenir Next LT Pro;sans-serif"/>
          <w:b/>
          <w:color w:val="000000"/>
          <w:sz w:val="24"/>
        </w:rPr>
        <w:t>CONFERENCE CALL AND WEBCAST SCHEDULED FOR MAY 7, 2026</w:t>
      </w:r>
    </w:p>
    <w:p>
      <w:pPr>
        <w:pStyle w:val="TextBody"/>
        <w:bidi w:val="0"/>
        <w:spacing w:lineRule="atLeast" w:line="31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will host a conference call to discuss first quarter 2026 financial and operating results on Thursday, May 7, 2026, at 9:00 a.m. ET. The call can be accessed either via the Internet through the events calendar on the Murphy Oil Corporation Investor Relations website at http://ir.murphyoilcorp.com or via telephone by dialing toll free 1-800-715-9871, conference ID 9924118. For additional information, please refer to the First Quarter 2026 Earnings Presentation available under the News and Events section of the Investor Relations website.</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FORWARD-LOOKING STATEMENTS</w:t>
      </w:r>
    </w:p>
    <w:p>
      <w:pPr>
        <w:pStyle w:val="TextBody"/>
        <w:bidi w:val="0"/>
        <w:spacing w:lineRule="auto" w:line="316"/>
        <w:jc w:val="both"/>
        <w:rPr>
          <w:rFonts w:ascii="Avenir Next LT Pro;sans-serif" w:hAnsi="Avenir Next LT Pro;sans-serif"/>
          <w:b w:val="false"/>
          <w:i/>
          <w:color w:val="000000"/>
          <w:sz w:val="24"/>
        </w:rPr>
      </w:pPr>
      <w:r>
        <w:rPr>
          <w:rFonts w:ascii="Avenir Next LT Pro;sans-serif" w:hAnsi="Avenir Next LT Pro;sans-serif"/>
          <w:b w:val="false"/>
          <w:i/>
          <w:color w:val="000000"/>
          <w:sz w:val="24"/>
        </w:rPr>
        <w:t xml:space="preserve">This letter contains forward-looking statements within the meaning of the Private Securities Litigation Reform Act of 1995. Forward-looking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 and demand levels, actions taken by major oil exporters and the resulting impacts on commodity prices; geopolitical concerns (including the current conflict in Iran);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markets of health pandemics and related government responses; natural hazards impacting our operations or markets; any other </w:t>
      </w:r>
    </w:p>
    <w:p>
      <w:pPr>
        <w:pStyle w:val="TextBody"/>
        <w:bidi w:val="0"/>
        <w:spacing w:before="0" w:after="20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7800"/>
                <wp:effectExtent l="0" t="0" r="0" b="0"/>
                <wp:wrapNone/>
                <wp:docPr id="34" name="Frame3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7</w:t>
                      </w:r>
                    </w:p>
                  </w:txbxContent>
                </v:textbox>
                <w10:wrap type="none"/>
              </v:rect>
            </w:pict>
          </mc:Fallback>
        </mc:AlternateContent>
      </w:r>
    </w:p>
    <w:p>
      <w:pPr>
        <w:pStyle w:val="TextBody"/>
        <w:bidi w:val="0"/>
        <w:spacing w:before="0" w:after="200"/>
        <w:jc w:val="right"/>
        <w:rPr/>
      </w:pPr>
      <w:r>
        <w:rPr/>
      </w:r>
    </w:p>
    <w:p>
      <w:pPr>
        <w:pStyle w:val="TextBody"/>
        <w:bidi w:val="0"/>
        <w:spacing w:lineRule="auto" w:line="316" w:before="0" w:after="0"/>
        <w:jc w:val="both"/>
        <w:rPr>
          <w:rFonts w:ascii="Avenir Next LT Pro;sans-serif" w:hAnsi="Avenir Next LT Pro;sans-serif"/>
          <w:b w:val="false"/>
          <w:i/>
          <w:color w:val="000000"/>
          <w:sz w:val="24"/>
        </w:rPr>
      </w:pPr>
      <w:r>
        <w:rPr>
          <w:rFonts w:ascii="Avenir Next LT Pro;sans-serif" w:hAnsi="Avenir Next LT Pro;sans-serif"/>
          <w:b w:val="false"/>
          <w:i/>
          <w:color w:val="000000"/>
          <w:sz w:val="24"/>
        </w:rPr>
        <w:t>deterioration in our business, markets or prospects; cyber attacks and other cybersecurity risks; any failure to obtain necessary regulatory approvals; the impact of current and future laws, rulings and governmental regulations;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“Risk Factors” in our most recent Annual Report on Form 10-K filed with the U.S. Securities and Exchange Commission (SEC) and any subsequent Quarterly Report on Form 10-Q or Current Report on Form 8-K that we file, available from the SEC’s website and from Murphy Oil Corporation’s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letter. Each forward-looking statement contained in this letter speaks only as of the date of this letter. Except as required by applicable law, Murphy Oil Corporation undertakes no duty to publicly update or revise any forward-looking statement, whether as a result of new information, future events or otherwise.</w:t>
      </w:r>
    </w:p>
    <w:p>
      <w:pPr>
        <w:pStyle w:val="TextBody"/>
        <w:bidi w:val="0"/>
        <w:spacing w:lineRule="atLeast" w:line="288" w:before="200" w:after="200"/>
        <w:jc w:val="both"/>
        <w:rPr/>
      </w:pPr>
      <w:r>
        <w:rPr>
          <w:rFonts w:ascii="Avenir Next LT Pro;sans-serif" w:hAnsi="Avenir Next LT Pro;sans-serif"/>
          <w:b w:val="false"/>
          <w:i/>
          <w:color w:val="000000"/>
          <w:sz w:val="16"/>
        </w:rPr>
        <w:t xml:space="preserve">1 </w:t>
      </w:r>
      <w:r>
        <w:rPr>
          <w:rFonts w:ascii="Avenir Next LT Pro;sans-serif" w:hAnsi="Avenir Next LT Pro;sans-serif"/>
          <w:b w:val="false"/>
          <w:i/>
          <w:color w:val="000000"/>
          <w:sz w:val="24"/>
        </w:rPr>
        <w:t xml:space="preserve">This letter contains certain non-GAAP financial measures that management believes are useful tools for internal use and the investment community in evaluating Murphy Oil Corporation’s overall financial performance. These non-GAAP financial measures are broadly used to value and compare companies in the crude oil and natural gas industry. Not all companies define these measures in the same way. In addition, these non-GAAP financial measures are not a substitute for financial measures prepared in accordance with US generally accepted accounting principles (GAAP) and should therefore be considered only as supplemental to such GAAP financial measures. Please see </w:t>
      </w:r>
      <w:hyperlink w:anchor="mur-2026q1xex991.htm">
        <w:r>
          <w:rPr>
            <w:rStyle w:val="InternetLink"/>
            <w:rFonts w:ascii="Avenir Next LT Pro;sans-serif" w:hAnsi="Avenir Next LT Pro;sans-serif"/>
            <w:b w:val="false"/>
            <w:i/>
            <w:color w:val="0000FF"/>
            <w:sz w:val="24"/>
            <w:u w:val="single"/>
          </w:rPr>
          <w:t>Exhibit 99.1</w:t>
        </w:r>
      </w:hyperlink>
      <w:r>
        <w:rPr>
          <w:color w:val="000000"/>
        </w:rPr>
        <w:t xml:space="preserve"> </w:t>
      </w:r>
      <w:r>
        <w:rPr>
          <w:rFonts w:ascii="Avenir Next LT Pro;sans-serif" w:hAnsi="Avenir Next LT Pro;sans-serif"/>
          <w:b w:val="false"/>
          <w:i/>
          <w:color w:val="000000"/>
          <w:sz w:val="24"/>
        </w:rPr>
        <w:t>on Form 8-K filed on May 6, 2026, for reconciliations of the differences between the non-GAAP financial measures used in this letter and the most directly comparable GAAP financial measures.</w:t>
      </w:r>
    </w:p>
    <w:p>
      <w:pPr>
        <w:pStyle w:val="TextBody"/>
        <w:bidi w:val="0"/>
        <w:spacing w:lineRule="atLeast" w:line="288" w:before="200" w:after="200"/>
        <w:jc w:val="both"/>
        <w:rPr/>
      </w:pPr>
      <w:r>
        <w:rPr>
          <w:rFonts w:ascii="Avenir Next LT Pro;sans-serif" w:hAnsi="Avenir Next LT Pro;sans-serif"/>
          <w:b w:val="false"/>
          <w:i/>
          <w:color w:val="000000"/>
          <w:sz w:val="16"/>
        </w:rPr>
        <w:t xml:space="preserve">2 </w:t>
      </w:r>
      <w:r>
        <w:rPr>
          <w:rFonts w:ascii="Avenir Next LT Pro;sans-serif" w:hAnsi="Avenir Next LT Pro;sans-serif"/>
          <w:b w:val="false"/>
          <w:i/>
          <w:color w:val="000000"/>
          <w:sz w:val="24"/>
        </w:rPr>
        <w:t>In accordance with GAAP, Murphy reports the 100 percent interest, including a 20 percent noncontrolling interest (NCI), in its subsidiary, MP Gulf of Mexico, LLC (MP GOM). The GAAP financials include the NCI portion of revenue, costs, assets and liabilities and cash flows. Unless otherwise noted, the financial and operating highlights and metrics discussed in this letter exclude the NCI, thereby representing only the amounts attributable to Murphy.</w:t>
      </w:r>
    </w:p>
    <w:p>
      <w:pPr>
        <w:pStyle w:val="TextBody"/>
        <w:bidi w:val="0"/>
        <w:spacing w:before="0" w:after="20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7800"/>
                <wp:effectExtent l="0" t="0" r="0" b="0"/>
                <wp:wrapNone/>
                <wp:docPr id="35" name="Frame3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8</w:t>
                      </w:r>
                    </w:p>
                  </w:txbxContent>
                </v:textbox>
                <w10:wrap type="none"/>
              </v:rect>
            </w:pict>
          </mc:Fallback>
        </mc:AlternateContent>
      </w:r>
    </w:p>
    <w:p>
      <w:pPr>
        <w:pStyle w:val="TextBody"/>
        <w:bidi w:val="0"/>
        <w:spacing w:before="0" w:after="200"/>
        <w:jc w:val="right"/>
        <w:rPr/>
      </w:pPr>
      <w:r>
        <w:rPr/>
      </w:r>
    </w:p>
    <w:tbl>
      <w:tblPr>
        <w:tblW w:w="4816" w:type="dxa"/>
        <w:jc w:val="left"/>
        <w:tblInd w:w="0" w:type="dxa"/>
        <w:tblLayout w:type="fixed"/>
        <w:tblCellMar>
          <w:top w:w="28" w:type="dxa"/>
          <w:left w:w="28" w:type="dxa"/>
          <w:bottom w:w="28" w:type="dxa"/>
          <w:right w:w="28" w:type="dxa"/>
        </w:tblCellMar>
      </w:tblPr>
      <w:tblGrid>
        <w:gridCol w:w="1540"/>
        <w:gridCol w:w="1353"/>
        <w:gridCol w:w="1923"/>
      </w:tblGrid>
      <w:tr>
        <w:trPr/>
        <w:tc>
          <w:tcPr>
            <w:tcW w:w="154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venir Next LT Pro;sans-serif" w:hAnsi="Avenir Next LT Pro;sans-serif"/>
                <w:b/>
                <w:color w:val="000000"/>
                <w:sz w:val="24"/>
              </w:rPr>
            </w:pPr>
            <w:r>
              <w:rPr>
                <w:rFonts w:ascii="Avenir Next LT Pro;sans-serif" w:hAnsi="Avenir Next LT Pro;sans-serif"/>
                <w:b/>
                <w:color w:val="000000"/>
                <w:sz w:val="24"/>
              </w:rPr>
              <w:t>Investor Contacts:</w:t>
            </w:r>
          </w:p>
        </w:tc>
      </w:tr>
      <w:tr>
        <w:trPr/>
        <w:tc>
          <w:tcPr>
            <w:tcW w:w="481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InvestorRelations@murphyoilcorp.com</w:t>
            </w:r>
          </w:p>
        </w:tc>
      </w:tr>
      <w:tr>
        <w:trPr/>
        <w:tc>
          <w:tcPr>
            <w:tcW w:w="481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Atif Riaz, 281-675-9358</w:t>
            </w:r>
          </w:p>
        </w:tc>
      </w:tr>
      <w:tr>
        <w:trPr/>
        <w:tc>
          <w:tcPr>
            <w:tcW w:w="4816"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43" w:after="20"/>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Beth Heller, 281-675-9363</w:t>
            </w:r>
          </w:p>
        </w:tc>
      </w:tr>
    </w:tbl>
    <w:p>
      <w:pPr>
        <w:pStyle w:val="TextBody"/>
        <w:bidi w:val="0"/>
        <w:spacing w:before="0" w:after="1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7800"/>
                <wp:effectExtent l="0" t="0" r="0" b="0"/>
                <wp:wrapNone/>
                <wp:docPr id="36" name="Frame3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venir Next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8248</Words>
  <Characters>46754</Characters>
  <CharactersWithSpaces>54326</CharactersWithSpaces>
  <Paragraphs>1295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