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center"/>
        <w:rPr>
          <w:rFonts w:ascii="Avenir Next LT Pro;sans-serif" w:hAnsi="Avenir Next LT Pro;sans-serif"/>
          <w:b/>
          <w:color w:val="000000"/>
          <w:sz w:val="22"/>
        </w:rPr>
      </w:pPr>
      <w:r>
        <w:rPr>
          <w:rFonts w:ascii="Avenir Next LT Pro;sans-serif" w:hAnsi="Avenir Next LT Pro;sans-serif"/>
          <w:b/>
          <w:color w:val="000000"/>
          <w:sz w:val="22"/>
        </w:rPr>
        <w:t>UNITED STATES</w:t>
      </w:r>
    </w:p>
    <w:p>
      <w:pPr>
        <w:pStyle w:val="TextBody"/>
        <w:bidi w:val="0"/>
        <w:spacing w:lineRule="auto" w:line="288" w:before="120" w:after="120"/>
        <w:jc w:val="center"/>
        <w:rPr>
          <w:rFonts w:ascii="Avenir Next LT Pro;sans-serif" w:hAnsi="Avenir Next LT Pro;sans-serif"/>
          <w:b/>
          <w:color w:val="000000"/>
          <w:sz w:val="22"/>
        </w:rPr>
      </w:pPr>
      <w:r>
        <w:rPr>
          <w:rFonts w:ascii="Avenir Next LT Pro;sans-serif" w:hAnsi="Avenir Next LT Pro;sans-serif"/>
          <w:b/>
          <w:color w:val="000000"/>
          <w:sz w:val="22"/>
        </w:rPr>
        <w:t>SECURITIES AND EXCHANGE COMMISSION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Washington, D.C. </w:t>
      </w:r>
      <w:bookmarkStart w:id="0" w:name="i4e4d314b47b54f8f9bc8ecc1a96a65d6_1834"/>
      <w:bookmarkEnd w:id="0"/>
      <w:r>
        <w:rPr>
          <w:rFonts w:ascii="Avenir Next LT Pro;sans-serif" w:hAnsi="Avenir Next LT Pro;sans-serif"/>
          <w:b/>
          <w:color w:val="000000"/>
          <w:sz w:val="20"/>
        </w:rPr>
        <w:t>20549</w:t>
      </w:r>
    </w:p>
    <w:p>
      <w:pPr>
        <w:pStyle w:val="TextBody"/>
        <w:bidi w:val="0"/>
        <w:spacing w:lineRule="auto" w:line="288" w:before="120" w:after="120"/>
        <w:jc w:val="center"/>
        <w:rPr>
          <w:rFonts w:ascii="Avenir Next LT Pro;sans-serif" w:hAnsi="Avenir Next LT Pro;sans-serif"/>
          <w:b/>
          <w:color w:val="000000"/>
          <w:sz w:val="24"/>
        </w:rPr>
      </w:pPr>
      <w:r>
        <w:rPr>
          <w:rFonts w:ascii="Avenir Next LT Pro;sans-serif" w:hAnsi="Avenir Next LT Pro;sans-serif"/>
          <w:b/>
          <w:color w:val="000000"/>
          <w:sz w:val="24"/>
        </w:rPr>
        <w:t>FORM 10-Q  </w:t>
      </w:r>
    </w:p>
    <w:tbl>
      <w:tblPr>
        <w:tblW w:w="10205" w:type="dxa"/>
        <w:jc w:val="center"/>
        <w:tblInd w:w="0" w:type="dxa"/>
        <w:tblLayout w:type="fixed"/>
        <w:tblCellMar>
          <w:top w:w="28" w:type="dxa"/>
          <w:left w:w="28" w:type="dxa"/>
          <w:bottom w:w="28" w:type="dxa"/>
          <w:right w:w="28" w:type="dxa"/>
        </w:tblCellMar>
      </w:tblPr>
      <w:tblGrid>
        <w:gridCol w:w="222"/>
        <w:gridCol w:w="195"/>
        <w:gridCol w:w="195"/>
        <w:gridCol w:w="2790"/>
        <w:gridCol w:w="2790"/>
        <w:gridCol w:w="4013"/>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venir Next LT Pro;sans-serif" w:hAnsi="Avenir Next LT Pro;sans-serif"/>
                <w:b/>
                <w:color w:val="000000"/>
                <w:sz w:val="18"/>
              </w:rPr>
            </w:pPr>
            <w:r>
              <w:rPr>
                <w:rFonts w:ascii="Avenir Next LT Pro;sans-serif" w:hAnsi="Avenir Next LT Pro;sans-serif"/>
                <w:b/>
                <w:color w:val="000000"/>
                <w:sz w:val="18"/>
              </w:rPr>
              <w:t>(Mark One)</w:t>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QUARTERLY REPORT PURSUANT TO SECTION 13 OR 15(d) OF THE SECURITIES EXCHANGE ACT OF 1934</w:t>
            </w:r>
          </w:p>
        </w:tc>
      </w:tr>
    </w:tbl>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For the quarterly period ended September 30, 2025</w:t>
      </w:r>
    </w:p>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TRANSITION REPORT PURSUANT TO SECTION 13 OR 15(d) OF THE SECURITIES EXCHANGE ACT OF 1934</w:t>
            </w:r>
          </w:p>
        </w:tc>
      </w:tr>
    </w:tbl>
    <w:p>
      <w:pPr>
        <w:pStyle w:val="TextBody"/>
        <w:bidi w:val="0"/>
        <w:spacing w:lineRule="auto" w:line="288" w:before="80" w:after="80"/>
        <w:jc w:val="center"/>
        <w:rPr/>
      </w:pPr>
      <w:r>
        <w:rPr>
          <w:rFonts w:ascii="Avenir Next LT Pro;sans-serif" w:hAnsi="Avenir Next LT Pro;sans-serif"/>
          <w:b/>
          <w:color w:val="000000"/>
          <w:sz w:val="19"/>
        </w:rPr>
        <w:t>For the transition period from</w:t>
      </w:r>
      <w:r>
        <w:rPr>
          <w:color w:val="000000"/>
        </w:rPr>
        <w:t xml:space="preserve">              </w:t>
      </w:r>
      <w:r>
        <w:rPr>
          <w:rFonts w:ascii="Avenir Next LT Pro;sans-serif" w:hAnsi="Avenir Next LT Pro;sans-serif"/>
          <w:b/>
          <w:color w:val="000000"/>
          <w:sz w:val="19"/>
        </w:rPr>
        <w:t>to</w:t>
      </w:r>
    </w:p>
    <w:p>
      <w:pPr>
        <w:pStyle w:val="TextBody"/>
        <w:bidi w:val="0"/>
        <w:spacing w:lineRule="auto" w:line="288" w:before="80" w:after="80"/>
        <w:jc w:val="center"/>
        <w:rPr>
          <w:rFonts w:ascii="Avenir Next LT Pro;sans-serif" w:hAnsi="Avenir Next LT Pro;sans-serif"/>
          <w:b/>
          <w:color w:val="000000"/>
          <w:sz w:val="19"/>
        </w:rPr>
      </w:pPr>
      <w:r>
        <w:rPr>
          <w:rFonts w:ascii="Avenir Next LT Pro;sans-serif" w:hAnsi="Avenir Next LT Pro;sans-serif"/>
          <w:b/>
          <w:color w:val="000000"/>
          <w:sz w:val="19"/>
        </w:rPr>
        <w:t xml:space="preserve">Commission file number 1-8590 </w:t>
      </w:r>
    </w:p>
    <w:p>
      <w:pPr>
        <w:pStyle w:val="TextBody"/>
        <w:bidi w:val="0"/>
        <w:spacing w:before="120" w:after="120"/>
        <w:jc w:val="center"/>
        <w:rPr/>
      </w:pPr>
      <w:r>
        <w:rPr/>
        <w:drawing>
          <wp:inline distT="0" distB="0" distL="0" distR="0">
            <wp:extent cx="199072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1190625"/>
                    </a:xfrm>
                    <a:prstGeom prst="rect">
                      <a:avLst/>
                    </a:prstGeom>
                  </pic:spPr>
                </pic:pic>
              </a:graphicData>
            </a:graphic>
          </wp:inline>
        </w:drawing>
      </w:r>
      <w:bookmarkStart w:id="1" w:name="i-1"/>
      <w:bookmarkEnd w:id="1"/>
    </w:p>
    <w:p>
      <w:pPr>
        <w:pStyle w:val="TextBody"/>
        <w:bidi w:val="0"/>
        <w:spacing w:lineRule="auto" w:line="288" w:before="120" w:after="120"/>
        <w:jc w:val="center"/>
        <w:rPr>
          <w:rFonts w:ascii="Avenir Next LT Pro;sans-serif" w:hAnsi="Avenir Next LT Pro;sans-serif"/>
          <w:b/>
          <w:color w:val="000000"/>
          <w:sz w:val="36"/>
        </w:rPr>
      </w:pPr>
      <w:r>
        <w:rPr>
          <w:rFonts w:ascii="Avenir Next LT Pro;sans-serif" w:hAnsi="Avenir Next LT Pro;sans-serif"/>
          <w:b/>
          <w:color w:val="000000"/>
          <w:sz w:val="36"/>
        </w:rPr>
        <w:t xml:space="preserve">MURPHY OIL CORPORATION </w:t>
      </w:r>
    </w:p>
    <w:p>
      <w:pPr>
        <w:pStyle w:val="TextBody"/>
        <w:bidi w:val="0"/>
        <w:spacing w:lineRule="auto" w:line="288" w:before="0" w:after="0"/>
        <w:jc w:val="center"/>
        <w:rPr>
          <w:rFonts w:ascii="Avenir Next LT Pro;sans-serif" w:hAnsi="Avenir Next LT Pro;sans-serif"/>
          <w:b/>
          <w:color w:val="000000"/>
          <w:sz w:val="16"/>
        </w:rPr>
      </w:pPr>
      <w:r>
        <w:rPr>
          <w:rFonts w:ascii="Avenir Next LT Pro;sans-serif" w:hAnsi="Avenir Next LT Pro;sans-serif"/>
          <w:b/>
          <w:color w:val="000000"/>
          <w:sz w:val="16"/>
        </w:rPr>
        <w:t>(Exact name of registrant as specified in its charter)</w:t>
      </w:r>
    </w:p>
    <w:tbl>
      <w:tblPr>
        <w:tblW w:w="9569" w:type="dxa"/>
        <w:jc w:val="center"/>
        <w:tblInd w:w="0" w:type="dxa"/>
        <w:tblLayout w:type="fixed"/>
        <w:tblCellMar>
          <w:top w:w="28" w:type="dxa"/>
          <w:left w:w="28" w:type="dxa"/>
          <w:bottom w:w="28" w:type="dxa"/>
          <w:right w:w="28" w:type="dxa"/>
        </w:tblCellMar>
      </w:tblPr>
      <w:tblGrid>
        <w:gridCol w:w="1067"/>
        <w:gridCol w:w="939"/>
        <w:gridCol w:w="939"/>
        <w:gridCol w:w="939"/>
        <w:gridCol w:w="939"/>
        <w:gridCol w:w="951"/>
        <w:gridCol w:w="1112"/>
        <w:gridCol w:w="1112"/>
        <w:gridCol w:w="1571"/>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Delaware</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71-0361522</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(State or other jurisdiction of 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(I.R.S. Employer Identification Number)</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9805 Katy Fwy, Suite G-200</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77024</w:t>
            </w:r>
          </w:p>
        </w:tc>
      </w:tr>
      <w:tr>
        <w:trPr/>
        <w:tc>
          <w:tcPr>
            <w:tcW w:w="29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Houston,</w:t>
            </w:r>
          </w:p>
        </w:tc>
        <w:tc>
          <w:tcPr>
            <w:tcW w:w="2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Texas</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(Zip Code)</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(Address of principal executive offices)</w:t>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(281)</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675-9000</w:t>
            </w:r>
          </w:p>
        </w:tc>
      </w:tr>
      <w:tr>
        <w:trPr/>
        <w:tc>
          <w:tcPr>
            <w:tcW w:w="9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(Registrant’s telephone number, including area code)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Securities registered pursuant to Section 12(b) of the Act:</w:t>
      </w:r>
    </w:p>
    <w:tbl>
      <w:tblPr>
        <w:tblW w:w="8083" w:type="dxa"/>
        <w:jc w:val="center"/>
        <w:tblInd w:w="0" w:type="dxa"/>
        <w:tblLayout w:type="fixed"/>
        <w:tblCellMar>
          <w:top w:w="28" w:type="dxa"/>
          <w:left w:w="28" w:type="dxa"/>
          <w:bottom w:w="28" w:type="dxa"/>
          <w:right w:w="28" w:type="dxa"/>
        </w:tblCellMar>
      </w:tblPr>
      <w:tblGrid>
        <w:gridCol w:w="1011"/>
        <w:gridCol w:w="887"/>
        <w:gridCol w:w="892"/>
        <w:gridCol w:w="474"/>
        <w:gridCol w:w="474"/>
        <w:gridCol w:w="476"/>
        <w:gridCol w:w="1133"/>
        <w:gridCol w:w="1133"/>
        <w:gridCol w:w="1603"/>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venir Next LT Pro;sans-serif" w:hAnsi="Avenir Next LT Pro;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Trading Symbol</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Name of each exchange on which registered</w:t>
            </w:r>
          </w:p>
        </w:tc>
      </w:tr>
      <w:tr>
        <w:trPr/>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Common Stock, $1.00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MUR</w:t>
            </w:r>
          </w:p>
        </w:tc>
        <w:tc>
          <w:tcPr>
            <w:tcW w:w="3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New York Stock Exchange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9"/>
        <w:gridCol w:w="531"/>
        <w:gridCol w:w="109"/>
        <w:gridCol w:w="109"/>
        <w:gridCol w:w="109"/>
        <w:gridCol w:w="430"/>
        <w:gridCol w:w="430"/>
        <w:gridCol w:w="431"/>
        <w:gridCol w:w="109"/>
        <w:gridCol w:w="109"/>
        <w:gridCol w:w="109"/>
        <w:gridCol w:w="540"/>
        <w:gridCol w:w="540"/>
        <w:gridCol w:w="541"/>
        <w:gridCol w:w="109"/>
        <w:gridCol w:w="109"/>
        <w:gridCol w:w="109"/>
        <w:gridCol w:w="690"/>
        <w:gridCol w:w="690"/>
        <w:gridCol w:w="691"/>
        <w:gridCol w:w="109"/>
        <w:gridCol w:w="109"/>
        <w:gridCol w:w="109"/>
        <w:gridCol w:w="625"/>
        <w:gridCol w:w="625"/>
        <w:gridCol w:w="628"/>
        <w:gridCol w:w="109"/>
        <w:gridCol w:w="109"/>
        <w:gridCol w:w="15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Emerging growth company</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shell company (as defined in Rule 12b-2 of the Act).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 xml:space="preserve">Number of shares of Common Stock, $1.00 par value, outstanding at October 31, 2025 was 142,738,809.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MURPHY OIL CORPORATION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TABLE OF CONTENTS</w:t>
      </w:r>
    </w:p>
    <w:tbl>
      <w:tblPr>
        <w:tblW w:w="9395" w:type="dxa"/>
        <w:jc w:val="left"/>
        <w:tblInd w:w="0" w:type="dxa"/>
        <w:tblLayout w:type="fixed"/>
        <w:tblCellMar>
          <w:top w:w="28" w:type="dxa"/>
          <w:left w:w="28" w:type="dxa"/>
          <w:bottom w:w="28" w:type="dxa"/>
          <w:right w:w="28" w:type="dxa"/>
        </w:tblCellMar>
      </w:tblPr>
      <w:tblGrid>
        <w:gridCol w:w="3138"/>
        <w:gridCol w:w="2752"/>
        <w:gridCol w:w="2765"/>
        <w:gridCol w:w="195"/>
        <w:gridCol w:w="195"/>
        <w:gridCol w:w="196"/>
        <w:gridCol w:w="154"/>
      </w:tblGrid>
      <w:tr>
        <w:trPr/>
        <w:tc>
          <w:tcPr>
            <w:tcW w:w="313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13">
              <w:r>
                <w:rPr>
                  <w:rStyle w:val="InternetLink"/>
                  <w:rFonts w:ascii="Avenir Next LT Pro;sans-serif" w:hAnsi="Avenir Next LT Pro;sans-serif"/>
                  <w:b w:val="false"/>
                  <w:color w:val="0000FF"/>
                  <w:sz w:val="20"/>
                  <w:u w:val="single"/>
                </w:rPr>
                <w:t>Part I – Financial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3">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16">
              <w:r>
                <w:rPr>
                  <w:rStyle w:val="InternetLink"/>
                  <w:rFonts w:ascii="Avenir Next LT Pro;sans-serif" w:hAnsi="Avenir Next LT Pro;sans-serif"/>
                  <w:b w:val="false"/>
                  <w:color w:val="0000FF"/>
                  <w:sz w:val="20"/>
                  <w:u w:val="single"/>
                </w:rPr>
                <w:t>Item 1.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6">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2cbe45e68324468f8220138092d5739d_19">
              <w:r>
                <w:rPr>
                  <w:rStyle w:val="InternetLink"/>
                  <w:rFonts w:ascii="Avenir Next LT Pro;sans-serif" w:hAnsi="Avenir Next LT Pro;sans-serif"/>
                  <w:b w:val="false"/>
                  <w:color w:val="0000FF"/>
                  <w:sz w:val="20"/>
                  <w:u w:val="single"/>
                </w:rPr>
                <w:t>Consolidated Balance Sheets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9">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2cbe45e68324468f8220138092d5739d_22">
              <w:r>
                <w:rPr>
                  <w:rStyle w:val="InternetLink"/>
                  <w:rFonts w:ascii="Avenir Next LT Pro;sans-serif" w:hAnsi="Avenir Next LT Pro;sans-serif"/>
                  <w:b w:val="false"/>
                  <w:color w:val="0000FF"/>
                  <w:sz w:val="20"/>
                  <w:u w:val="single"/>
                </w:rPr>
                <w:t>Consolidated Statements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2">
              <w:r>
                <w:rPr>
                  <w:rStyle w:val="InternetLink"/>
                  <w:rFonts w:ascii="Avenir Next LT Pro;sans-serif" w:hAnsi="Avenir Next LT Pro;sans-serif"/>
                  <w:b w:val="false"/>
                  <w:strike w:val="false"/>
                  <w:dstrike w:val="false"/>
                  <w:color w:val="242424"/>
                  <w:sz w:val="20"/>
                  <w:u w:val="none"/>
                  <w:effect w:val="none"/>
                </w:rPr>
                <w:t>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2cbe45e68324468f8220138092d5739d_25">
              <w:r>
                <w:rPr>
                  <w:rStyle w:val="InternetLink"/>
                  <w:rFonts w:ascii="Avenir Next LT Pro;sans-serif" w:hAnsi="Avenir Next LT Pro;sans-serif"/>
                  <w:b w:val="false"/>
                  <w:color w:val="0000FF"/>
                  <w:sz w:val="20"/>
                  <w:u w:val="single"/>
                </w:rPr>
                <w:t>Consolidated Statements of Comprehensive Income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5">
              <w:r>
                <w:rPr>
                  <w:rStyle w:val="InternetLink"/>
                  <w:rFonts w:ascii="Avenir Next LT Pro;sans-serif" w:hAnsi="Avenir Next LT Pro;sans-serif"/>
                  <w:b w:val="false"/>
                  <w:strike w:val="false"/>
                  <w:dstrike w:val="false"/>
                  <w:color w:val="242424"/>
                  <w:sz w:val="20"/>
                  <w:u w:val="none"/>
                  <w:effect w:val="none"/>
                </w:rPr>
                <w:t>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2cbe45e68324468f8220138092d5739d_28">
              <w:r>
                <w:rPr>
                  <w:rStyle w:val="InternetLink"/>
                  <w:rFonts w:ascii="Avenir Next LT Pro;sans-serif" w:hAnsi="Avenir Next LT Pro;sans-serif"/>
                  <w:b w:val="false"/>
                  <w:color w:val="0000FF"/>
                  <w:sz w:val="20"/>
                  <w:u w:val="single"/>
                </w:rPr>
                <w:t>Consolidated Statements of Cash Flows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8">
              <w:r>
                <w:rPr>
                  <w:rStyle w:val="InternetLink"/>
                  <w:rFonts w:ascii="Avenir Next LT Pro;sans-serif" w:hAnsi="Avenir Next LT Pro;sans-serif"/>
                  <w:b w:val="false"/>
                  <w:strike w:val="false"/>
                  <w:dstrike w:val="false"/>
                  <w:color w:val="242424"/>
                  <w:sz w:val="20"/>
                  <w:u w:val="none"/>
                  <w:effect w:val="none"/>
                </w:rPr>
                <w:t>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2cbe45e68324468f8220138092d5739d_31">
              <w:r>
                <w:rPr>
                  <w:rStyle w:val="InternetLink"/>
                  <w:rFonts w:ascii="Avenir Next LT Pro;sans-serif" w:hAnsi="Avenir Next LT Pro;sans-serif"/>
                  <w:b w:val="false"/>
                  <w:color w:val="0000FF"/>
                  <w:sz w:val="20"/>
                  <w:u w:val="single"/>
                </w:rPr>
                <w:t>Consolidated Statements of Stockholders’ Equity</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31">
              <w:r>
                <w:rPr>
                  <w:rStyle w:val="InternetLink"/>
                  <w:rFonts w:ascii="Avenir Next LT Pro;sans-serif" w:hAnsi="Avenir Next LT Pro;sans-serif"/>
                  <w:b w:val="false"/>
                  <w:strike w:val="false"/>
                  <w:dstrike w:val="false"/>
                  <w:color w:val="242424"/>
                  <w:sz w:val="20"/>
                  <w:u w:val="none"/>
                  <w:effect w:val="none"/>
                </w:rPr>
                <w:t>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2cbe45e68324468f8220138092d5739d_34">
              <w:r>
                <w:rPr>
                  <w:rStyle w:val="InternetLink"/>
                  <w:rFonts w:ascii="Avenir Next LT Pro;sans-serif" w:hAnsi="Avenir Next LT Pro;sans-serif"/>
                  <w:b w:val="false"/>
                  <w:color w:val="0000FF"/>
                  <w:sz w:val="20"/>
                  <w:u w:val="single"/>
                </w:rPr>
                <w:t>Notes to Consolidated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34">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37">
              <w:r>
                <w:rPr>
                  <w:rStyle w:val="InternetLink"/>
                  <w:rFonts w:ascii="Avenir Next LT Pro;sans-serif" w:hAnsi="Avenir Next LT Pro;sans-serif"/>
                  <w:b w:val="false"/>
                  <w:color w:val="0000FF"/>
                  <w:sz w:val="20"/>
                  <w:u w:val="single"/>
                </w:rPr>
                <w:t>Note A – Basis of Presentation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37">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43">
              <w:r>
                <w:rPr>
                  <w:rStyle w:val="InternetLink"/>
                  <w:rFonts w:ascii="Avenir Next LT Pro;sans-serif" w:hAnsi="Avenir Next LT Pro;sans-serif"/>
                  <w:b w:val="false"/>
                  <w:color w:val="0000FF"/>
                  <w:sz w:val="20"/>
                  <w:u w:val="single"/>
                </w:rPr>
                <w:t>Note B – New Accounting Principles and Recent Accounting Pronouncements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43">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46">
              <w:r>
                <w:rPr>
                  <w:rStyle w:val="InternetLink"/>
                  <w:rFonts w:ascii="Avenir Next LT Pro;sans-serif" w:hAnsi="Avenir Next LT Pro;sans-serif"/>
                  <w:b w:val="false"/>
                  <w:color w:val="0000FF"/>
                  <w:sz w:val="20"/>
                  <w:u w:val="single"/>
                </w:rPr>
                <w:t>Note C – Revenue from Contracts with Customers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46">
              <w:r>
                <w:rPr>
                  <w:rStyle w:val="InternetLink"/>
                  <w:rFonts w:ascii="Avenir Next LT Pro;sans-serif" w:hAnsi="Avenir Next LT Pro;sans-serif"/>
                  <w:b w:val="false"/>
                  <w:strike w:val="false"/>
                  <w:dstrike w:val="false"/>
                  <w:color w:val="242424"/>
                  <w:sz w:val="20"/>
                  <w:u w:val="none"/>
                  <w:effect w:val="none"/>
                </w:rPr>
                <w:t>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52">
              <w:bookmarkStart w:id="2" w:name="i83f0b5439aaa498f8f66ad086e7d9142_12-0-1"/>
              <w:bookmarkEnd w:id="2"/>
              <w:r>
                <w:rPr>
                  <w:rStyle w:val="InternetLink"/>
                  <w:rFonts w:ascii="Avenir Next LT Pro;sans-serif" w:hAnsi="Avenir Next LT Pro;sans-serif"/>
                  <w:b w:val="false"/>
                  <w:color w:val="0000FF"/>
                  <w:sz w:val="20"/>
                  <w:u w:val="single"/>
                </w:rPr>
                <w:t>Note D – Property, Plant and Equipment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52">
              <w:r>
                <w:rPr>
                  <w:rStyle w:val="InternetLink"/>
                  <w:rFonts w:ascii="Avenir Next LT Pro;sans-serif" w:hAnsi="Avenir Next LT Pro;sans-serif"/>
                  <w:b w:val="false"/>
                  <w:strike w:val="false"/>
                  <w:dstrike w:val="false"/>
                  <w:color w:val="242424"/>
                  <w:sz w:val="20"/>
                  <w:u w:val="none"/>
                  <w:effect w:val="none"/>
                </w:rPr>
                <w:t>10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64">
              <w:r>
                <w:rPr>
                  <w:rStyle w:val="InternetLink"/>
                  <w:rFonts w:ascii="Avenir Next LT Pro;sans-serif" w:hAnsi="Avenir Next LT Pro;sans-serif"/>
                  <w:b w:val="false"/>
                  <w:color w:val="0000FF"/>
                  <w:sz w:val="20"/>
                  <w:u w:val="single"/>
                </w:rPr>
                <w:t>Note E – Financing Arrangements and Debt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64">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70">
              <w:r>
                <w:rPr>
                  <w:rStyle w:val="InternetLink"/>
                  <w:rFonts w:ascii="Avenir Next LT Pro;sans-serif" w:hAnsi="Avenir Next LT Pro;sans-serif"/>
                  <w:b w:val="false"/>
                  <w:color w:val="0000FF"/>
                  <w:sz w:val="20"/>
                  <w:u w:val="single"/>
                </w:rPr>
                <w:t>Note F – Other Financial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70">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73">
              <w:r>
                <w:rPr>
                  <w:rStyle w:val="InternetLink"/>
                  <w:rFonts w:ascii="Avenir Next LT Pro;sans-serif" w:hAnsi="Avenir Next LT Pro;sans-serif"/>
                  <w:b w:val="false"/>
                  <w:color w:val="000080"/>
                  <w:sz w:val="20"/>
                  <w:u w:val="single"/>
                </w:rPr>
                <w:t xml:space="preserve">Note G </w:t>
              </w:r>
            </w:hyperlink>
            <w:r>
              <w:rPr>
                <w:rFonts w:ascii="Avenir Next LT Pro;sans-serif" w:hAnsi="Avenir Next LT Pro;sans-serif"/>
                <w:b w:val="false"/>
                <w:color w:val="0000FF"/>
                <w:sz w:val="20"/>
                <w:u w:val="single"/>
              </w:rPr>
              <w:t>–</w:t>
            </w:r>
            <w:hyperlink w:anchor="i2cbe45e68324468f8220138092d5739d_73">
              <w:r>
                <w:rPr>
                  <w:rStyle w:val="InternetLink"/>
                  <w:rFonts w:ascii="Avenir Next LT Pro;sans-serif" w:hAnsi="Avenir Next LT Pro;sans-serif"/>
                  <w:b w:val="false"/>
                  <w:color w:val="000080"/>
                  <w:sz w:val="20"/>
                  <w:u w:val="single"/>
                </w:rPr>
                <w:t xml:space="preserve"> Asset Retirement Obligations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73">
              <w:r>
                <w:rPr>
                  <w:rStyle w:val="InternetLink"/>
                  <w:rFonts w:ascii="Avenir Next LT Pro;sans-serif" w:hAnsi="Avenir Next LT Pro;sans-serif"/>
                  <w:b w:val="false"/>
                  <w:strike w:val="false"/>
                  <w:dstrike w:val="false"/>
                  <w:color w:val="242424"/>
                  <w:sz w:val="20"/>
                  <w:u w:val="none"/>
                  <w:effect w:val="non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76">
              <w:r>
                <w:rPr>
                  <w:rStyle w:val="InternetLink"/>
                  <w:rFonts w:ascii="Avenir Next LT Pro;sans-serif" w:hAnsi="Avenir Next LT Pro;sans-serif"/>
                  <w:b w:val="false"/>
                  <w:color w:val="0000FF"/>
                  <w:sz w:val="20"/>
                  <w:u w:val="single"/>
                </w:rPr>
                <w:t>Note H – Employee and Retiree Benefit Plans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76">
              <w:r>
                <w:rPr>
                  <w:rStyle w:val="InternetLink"/>
                  <w:rFonts w:ascii="Avenir Next LT Pro;sans-serif" w:hAnsi="Avenir Next LT Pro;sans-serif"/>
                  <w:b w:val="false"/>
                  <w:strike w:val="false"/>
                  <w:dstrike w:val="false"/>
                  <w:color w:val="242424"/>
                  <w:sz w:val="20"/>
                  <w:u w:val="none"/>
                  <w:effect w:val="non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79">
              <w:r>
                <w:rPr>
                  <w:rStyle w:val="InternetLink"/>
                  <w:rFonts w:ascii="Avenir Next LT Pro;sans-serif" w:hAnsi="Avenir Next LT Pro;sans-serif"/>
                  <w:b w:val="false"/>
                  <w:color w:val="0000FF"/>
                  <w:sz w:val="20"/>
                  <w:u w:val="single"/>
                </w:rPr>
                <w:t>Note I – Incentive Plans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79">
              <w:r>
                <w:rPr>
                  <w:rStyle w:val="InternetLink"/>
                  <w:rFonts w:ascii="Avenir Next LT Pro;sans-serif" w:hAnsi="Avenir Next LT Pro;sans-serif"/>
                  <w:b w:val="false"/>
                  <w:strike w:val="false"/>
                  <w:dstrike w:val="false"/>
                  <w:color w:val="242424"/>
                  <w:sz w:val="20"/>
                  <w:u w:val="none"/>
                  <w:effect w:val="none"/>
                </w:rPr>
                <w:t>14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85">
              <w:r>
                <w:rPr>
                  <w:rStyle w:val="InternetLink"/>
                  <w:rFonts w:ascii="Avenir Next LT Pro;sans-serif" w:hAnsi="Avenir Next LT Pro;sans-serif"/>
                  <w:b w:val="false"/>
                  <w:color w:val="0000FF"/>
                  <w:sz w:val="20"/>
                  <w:u w:val="single"/>
                </w:rPr>
                <w:t>Note J – Net Income (Loss) Per Common Share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85">
              <w:r>
                <w:rPr>
                  <w:rStyle w:val="InternetLink"/>
                  <w:rFonts w:ascii="Avenir Next LT Pro;sans-serif" w:hAnsi="Avenir Next LT Pro;sans-serif"/>
                  <w:b w:val="false"/>
                  <w:strike w:val="false"/>
                  <w:dstrike w:val="false"/>
                  <w:color w:val="242424"/>
                  <w:sz w:val="20"/>
                  <w:u w:val="none"/>
                  <w:effect w:val="non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91">
              <w:r>
                <w:rPr>
                  <w:rStyle w:val="InternetLink"/>
                  <w:rFonts w:ascii="Avenir Next LT Pro;sans-serif" w:hAnsi="Avenir Next LT Pro;sans-serif"/>
                  <w:b w:val="false"/>
                  <w:color w:val="0000FF"/>
                  <w:sz w:val="20"/>
                  <w:u w:val="single"/>
                </w:rPr>
                <w:t>Note K – Income Taxes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91">
              <w:r>
                <w:rPr>
                  <w:rStyle w:val="InternetLink"/>
                  <w:rFonts w:ascii="Avenir Next LT Pro;sans-serif" w:hAnsi="Avenir Next LT Pro;sans-serif"/>
                  <w:b w:val="false"/>
                  <w:strike w:val="false"/>
                  <w:dstrike w:val="false"/>
                  <w:color w:val="242424"/>
                  <w:sz w:val="20"/>
                  <w:u w:val="none"/>
                  <w:effect w:val="non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97">
              <w:r>
                <w:rPr>
                  <w:rStyle w:val="InternetLink"/>
                  <w:rFonts w:ascii="Avenir Next LT Pro;sans-serif" w:hAnsi="Avenir Next LT Pro;sans-serif"/>
                  <w:b w:val="false"/>
                  <w:color w:val="0000FF"/>
                  <w:sz w:val="20"/>
                  <w:u w:val="single"/>
                </w:rPr>
                <w:t>Note L – Financial Instruments and Risk Management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97">
              <w:r>
                <w:rPr>
                  <w:rStyle w:val="InternetLink"/>
                  <w:rFonts w:ascii="Avenir Next LT Pro;sans-serif" w:hAnsi="Avenir Next LT Pro;sans-serif"/>
                  <w:b w:val="false"/>
                  <w:strike w:val="false"/>
                  <w:dstrike w:val="false"/>
                  <w:color w:val="242424"/>
                  <w:sz w:val="20"/>
                  <w:u w:val="none"/>
                  <w:effect w:val="none"/>
                </w:rPr>
                <w:t>17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103">
              <w:r>
                <w:rPr>
                  <w:rStyle w:val="InternetLink"/>
                  <w:rFonts w:ascii="Avenir Next LT Pro;sans-serif" w:hAnsi="Avenir Next LT Pro;sans-serif"/>
                  <w:b w:val="false"/>
                  <w:color w:val="0000FF"/>
                  <w:sz w:val="20"/>
                  <w:u w:val="single"/>
                </w:rPr>
                <w:t>Note M – Accumulated Other Comprehensive Loss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03">
              <w:r>
                <w:rPr>
                  <w:rStyle w:val="InternetLink"/>
                  <w:rFonts w:ascii="Avenir Next LT Pro;sans-serif" w:hAnsi="Avenir Next LT Pro;sans-serif"/>
                  <w:b w:val="false"/>
                  <w:strike w:val="false"/>
                  <w:dstrike w:val="false"/>
                  <w:color w:val="242424"/>
                  <w:sz w:val="20"/>
                  <w:u w:val="none"/>
                  <w:effect w:val="non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109">
              <w:r>
                <w:rPr>
                  <w:rStyle w:val="InternetLink"/>
                  <w:rFonts w:ascii="Avenir Next LT Pro;sans-serif" w:hAnsi="Avenir Next LT Pro;sans-serif"/>
                  <w:b w:val="false"/>
                  <w:color w:val="0000FF"/>
                  <w:sz w:val="20"/>
                  <w:u w:val="single"/>
                </w:rPr>
                <w:t>Note N – Environmental and Other Contingencies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09">
              <w:r>
                <w:rPr>
                  <w:rStyle w:val="InternetLink"/>
                  <w:rFonts w:ascii="Avenir Next LT Pro;sans-serif" w:hAnsi="Avenir Next LT Pro;sans-serif"/>
                  <w:b w:val="false"/>
                  <w:strike w:val="false"/>
                  <w:dstrike w:val="false"/>
                  <w:color w:val="242424"/>
                  <w:sz w:val="20"/>
                  <w:u w:val="none"/>
                  <w:effect w:val="none"/>
                </w:rPr>
                <w:t>21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112">
              <w:r>
                <w:rPr>
                  <w:rStyle w:val="InternetLink"/>
                  <w:rFonts w:ascii="Avenir Next LT Pro;sans-serif" w:hAnsi="Avenir Next LT Pro;sans-serif"/>
                  <w:b w:val="false"/>
                  <w:color w:val="000080"/>
                  <w:sz w:val="20"/>
                  <w:u w:val="single"/>
                </w:rPr>
                <w:t xml:space="preserve">Note O </w:t>
              </w:r>
            </w:hyperlink>
            <w:r>
              <w:rPr>
                <w:rFonts w:ascii="Avenir Next LT Pro;sans-serif" w:hAnsi="Avenir Next LT Pro;sans-serif"/>
                <w:b w:val="false"/>
                <w:color w:val="0000FF"/>
                <w:sz w:val="20"/>
                <w:u w:val="single"/>
              </w:rPr>
              <w:t>–</w:t>
            </w:r>
            <w:hyperlink w:anchor="i2cbe45e68324468f8220138092d5739d_112">
              <w:r>
                <w:rPr>
                  <w:rStyle w:val="InternetLink"/>
                  <w:rFonts w:ascii="Avenir Next LT Pro;sans-serif" w:hAnsi="Avenir Next LT Pro;sans-serif"/>
                  <w:b w:val="false"/>
                  <w:color w:val="000080"/>
                  <w:sz w:val="20"/>
                  <w:u w:val="single"/>
                </w:rPr>
                <w:t xml:space="preserve"> Common Stock Issued and Outstanding</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12">
              <w:r>
                <w:rPr>
                  <w:rStyle w:val="InternetLink"/>
                  <w:rFonts w:ascii="Avenir Next LT Pro;sans-serif" w:hAnsi="Avenir Next LT Pro;sans-serif"/>
                  <w:b w:val="false"/>
                  <w:strike w:val="false"/>
                  <w:dstrike w:val="false"/>
                  <w:color w:val="242424"/>
                  <w:sz w:val="20"/>
                  <w:u w:val="none"/>
                  <w:effect w:val="none"/>
                </w:rPr>
                <w:t>22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115">
              <w:r>
                <w:rPr>
                  <w:rStyle w:val="InternetLink"/>
                  <w:rFonts w:ascii="Avenir Next LT Pro;sans-serif" w:hAnsi="Avenir Next LT Pro;sans-serif"/>
                  <w:b w:val="false"/>
                  <w:color w:val="0000FF"/>
                  <w:sz w:val="20"/>
                  <w:u w:val="single"/>
                </w:rPr>
                <w:t>Note P – Business Segments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15">
              <w:r>
                <w:rPr>
                  <w:rStyle w:val="InternetLink"/>
                  <w:rFonts w:ascii="Avenir Next LT Pro;sans-serif" w:hAnsi="Avenir Next LT Pro;sans-serif"/>
                  <w:b w:val="false"/>
                  <w:strike w:val="false"/>
                  <w:dstrike w:val="false"/>
                  <w:color w:val="242424"/>
                  <w:sz w:val="20"/>
                  <w:u w:val="none"/>
                  <w:effect w:val="none"/>
                </w:rPr>
                <w:t>23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2cbe45e68324468f8220138092d5739d_124">
              <w:r>
                <w:rPr>
                  <w:rStyle w:val="InternetLink"/>
                  <w:rFonts w:ascii="Avenir Next LT Pro;sans-serif" w:hAnsi="Avenir Next LT Pro;sans-serif"/>
                  <w:b w:val="false"/>
                  <w:color w:val="0000FF"/>
                  <w:sz w:val="20"/>
                  <w:u w:val="single"/>
                </w:rPr>
                <w:t>Note Q – Leases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24">
              <w:r>
                <w:rPr>
                  <w:rStyle w:val="InternetLink"/>
                  <w:rFonts w:ascii="Avenir Next LT Pro;sans-serif" w:hAnsi="Avenir Next LT Pro;sans-serif"/>
                  <w:b w:val="false"/>
                  <w:strike w:val="false"/>
                  <w:dstrike w:val="false"/>
                  <w:color w:val="000000"/>
                  <w:sz w:val="20"/>
                  <w:u w:val="none"/>
                  <w:effect w:val="none"/>
                </w:rPr>
                <w:t>28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139">
              <w:r>
                <w:rPr>
                  <w:rStyle w:val="InternetLink"/>
                  <w:rFonts w:ascii="Avenir Next LT Pro;sans-serif" w:hAnsi="Avenir Next LT Pro;sans-serif"/>
                  <w:b w:val="false"/>
                  <w:color w:val="0000FF"/>
                  <w:sz w:val="20"/>
                  <w:u w:val="single"/>
                </w:rPr>
                <w:t xml:space="preserve">Item 2.  Management’s Discussion and Analysis of Financial Condition and Results of </w:t>
              </w:r>
            </w:hyperlink>
          </w:p>
          <w:p>
            <w:pPr>
              <w:pStyle w:val="TableContents"/>
              <w:bidi w:val="0"/>
              <w:spacing w:lineRule="auto" w:line="240" w:before="0" w:after="0"/>
              <w:jc w:val="left"/>
              <w:rPr/>
            </w:pPr>
            <w:r>
              <w:rPr>
                <w:color w:val="000000"/>
              </w:rPr>
              <w:t>              </w:t>
            </w:r>
            <w:hyperlink w:anchor="i2cbe45e68324468f8220138092d5739d_139">
              <w:r>
                <w:rPr>
                  <w:rStyle w:val="InternetLink"/>
                  <w:rFonts w:ascii="Avenir Next LT Pro;sans-serif" w:hAnsi="Avenir Next LT Pro;sans-serif"/>
                  <w:b w:val="false"/>
                  <w:color w:val="0000FF"/>
                  <w:sz w:val="20"/>
                  <w:u w:val="single"/>
                </w:rPr>
                <w:t>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139">
              <w:r>
                <w:rPr>
                  <w:rStyle w:val="InternetLink"/>
                  <w:rFonts w:ascii="Avenir Next LT Pro;sans-serif" w:hAnsi="Avenir Next LT Pro;sans-serif"/>
                  <w:b w:val="false"/>
                  <w:strike w:val="false"/>
                  <w:dstrike w:val="false"/>
                  <w:color w:val="000000"/>
                  <w:sz w:val="20"/>
                  <w:u w:val="none"/>
                  <w:effect w:val="none"/>
                </w:rPr>
                <w:t>29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29">
              <w:r>
                <w:rPr>
                  <w:rStyle w:val="InternetLink"/>
                  <w:rFonts w:ascii="Avenir Next LT Pro;sans-serif" w:hAnsi="Avenir Next LT Pro;sans-serif"/>
                  <w:b w:val="false"/>
                  <w:color w:val="0000FF"/>
                  <w:sz w:val="20"/>
                  <w:u w:val="single"/>
                </w:rPr>
                <w:t>Item 3.  Quantitative and Qualitative Disclosures About Market Risk</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29">
              <w:r>
                <w:rPr>
                  <w:rStyle w:val="InternetLink"/>
                  <w:rFonts w:ascii="Avenir Next LT Pro;sans-serif" w:hAnsi="Avenir Next LT Pro;sans-serif"/>
                  <w:b w:val="false"/>
                  <w:strike w:val="false"/>
                  <w:dstrike w:val="false"/>
                  <w:color w:val="242424"/>
                  <w:sz w:val="20"/>
                  <w:u w:val="none"/>
                  <w:effect w:val="none"/>
                </w:rPr>
                <w:t>49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35">
              <w:r>
                <w:rPr>
                  <w:rStyle w:val="InternetLink"/>
                  <w:rFonts w:ascii="Avenir Next LT Pro;sans-serif" w:hAnsi="Avenir Next LT Pro;sans-serif"/>
                  <w:b w:val="false"/>
                  <w:color w:val="0000FF"/>
                  <w:sz w:val="20"/>
                  <w:u w:val="single"/>
                </w:rPr>
                <w:t>Item 4.  Controls and Procedures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35">
              <w:r>
                <w:rPr>
                  <w:rStyle w:val="InternetLink"/>
                  <w:rFonts w:ascii="Avenir Next LT Pro;sans-serif" w:hAnsi="Avenir Next LT Pro;sans-serif"/>
                  <w:b w:val="false"/>
                  <w:strike w:val="false"/>
                  <w:dstrike w:val="false"/>
                  <w:color w:val="242424"/>
                  <w:sz w:val="20"/>
                  <w:u w:val="none"/>
                  <w:effect w:val="none"/>
                </w:rPr>
                <w:t>49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38">
              <w:r>
                <w:rPr>
                  <w:rStyle w:val="InternetLink"/>
                  <w:rFonts w:ascii="Avenir Next LT Pro;sans-serif" w:hAnsi="Avenir Next LT Pro;sans-serif"/>
                  <w:b w:val="false"/>
                  <w:color w:val="0000FF"/>
                  <w:sz w:val="20"/>
                  <w:u w:val="single"/>
                </w:rPr>
                <w:t>Part II – Other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38">
              <w:r>
                <w:rPr>
                  <w:rStyle w:val="InternetLink"/>
                  <w:rFonts w:ascii="Avenir Next LT Pro;sans-serif" w:hAnsi="Avenir Next LT Pro;sans-serif"/>
                  <w:b w:val="false"/>
                  <w:strike w:val="false"/>
                  <w:dstrike w:val="false"/>
                  <w:color w:val="242424"/>
                  <w:sz w:val="20"/>
                  <w:u w:val="none"/>
                  <w:effect w:val="none"/>
                </w:rPr>
                <w:t>50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41">
              <w:r>
                <w:rPr>
                  <w:rStyle w:val="InternetLink"/>
                  <w:rFonts w:ascii="Avenir Next LT Pro;sans-serif" w:hAnsi="Avenir Next LT Pro;sans-serif"/>
                  <w:b w:val="false"/>
                  <w:color w:val="0000FF"/>
                  <w:sz w:val="20"/>
                  <w:u w:val="single"/>
                </w:rPr>
                <w:t>Item 1.  Legal Proceedings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41">
              <w:r>
                <w:rPr>
                  <w:rStyle w:val="InternetLink"/>
                  <w:rFonts w:ascii="Avenir Next LT Pro;sans-serif" w:hAnsi="Avenir Next LT Pro;sans-serif"/>
                  <w:b w:val="false"/>
                  <w:strike w:val="false"/>
                  <w:dstrike w:val="false"/>
                  <w:color w:val="242424"/>
                  <w:sz w:val="20"/>
                  <w:u w:val="none"/>
                  <w:effect w:val="none"/>
                </w:rPr>
                <w:t>50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44">
              <w:r>
                <w:rPr>
                  <w:rStyle w:val="InternetLink"/>
                  <w:rFonts w:ascii="Avenir Next LT Pro;sans-serif" w:hAnsi="Avenir Next LT Pro;sans-serif"/>
                  <w:b w:val="false"/>
                  <w:color w:val="0000FF"/>
                  <w:sz w:val="20"/>
                  <w:u w:val="single"/>
                </w:rPr>
                <w:t>Item 1A.  Risk Factors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44">
              <w:r>
                <w:rPr>
                  <w:rStyle w:val="InternetLink"/>
                  <w:rFonts w:ascii="Avenir Next LT Pro;sans-serif" w:hAnsi="Avenir Next LT Pro;sans-serif"/>
                  <w:b w:val="false"/>
                  <w:strike w:val="false"/>
                  <w:dstrike w:val="false"/>
                  <w:color w:val="242424"/>
                  <w:sz w:val="20"/>
                  <w:u w:val="none"/>
                  <w:effect w:val="none"/>
                </w:rPr>
                <w:t>50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56">
              <w:r>
                <w:rPr>
                  <w:rStyle w:val="InternetLink"/>
                  <w:rFonts w:ascii="Avenir Next LT Pro;sans-serif" w:hAnsi="Avenir Next LT Pro;sans-serif"/>
                  <w:b w:val="false"/>
                  <w:color w:val="0000FF"/>
                  <w:sz w:val="20"/>
                  <w:u w:val="single"/>
                </w:rPr>
                <w:t>Item 5. 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56">
              <w:r>
                <w:rPr>
                  <w:rStyle w:val="InternetLink"/>
                  <w:rFonts w:ascii="Avenir Next LT Pro;sans-serif" w:hAnsi="Avenir Next LT Pro;sans-serif"/>
                  <w:b w:val="false"/>
                  <w:strike w:val="false"/>
                  <w:dstrike w:val="false"/>
                  <w:color w:val="242424"/>
                  <w:sz w:val="20"/>
                  <w:u w:val="none"/>
                  <w:effect w:val="none"/>
                </w:rPr>
                <w:t>51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59">
              <w:r>
                <w:rPr>
                  <w:rStyle w:val="InternetLink"/>
                  <w:rFonts w:ascii="Avenir Next LT Pro;sans-serif" w:hAnsi="Avenir Next LT Pro;sans-serif"/>
                  <w:b w:val="false"/>
                  <w:color w:val="0000FF"/>
                  <w:sz w:val="20"/>
                  <w:u w:val="single"/>
                </w:rPr>
                <w:t>Item 6.  Exhibits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59">
              <w:r>
                <w:rPr>
                  <w:rStyle w:val="InternetLink"/>
                  <w:rFonts w:ascii="Avenir Next LT Pro;sans-serif" w:hAnsi="Avenir Next LT Pro;sans-serif"/>
                  <w:b w:val="false"/>
                  <w:strike w:val="false"/>
                  <w:dstrike w:val="false"/>
                  <w:color w:val="242424"/>
                  <w:sz w:val="20"/>
                  <w:u w:val="none"/>
                  <w:effect w:val="none"/>
                </w:rPr>
                <w:t>51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be45e68324468f8220138092d5739d_262">
              <w:r>
                <w:rPr>
                  <w:rStyle w:val="InternetLink"/>
                  <w:rFonts w:ascii="Avenir Next LT Pro;sans-serif" w:hAnsi="Avenir Next LT Pro;sans-serif"/>
                  <w:b w:val="false"/>
                  <w:color w:val="0000FF"/>
                  <w:sz w:val="20"/>
                  <w:u w:val="single"/>
                </w:rPr>
                <w:t>Signature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cbe45e68324468f8220138092d5739d_262">
              <w:r>
                <w:rPr>
                  <w:rStyle w:val="InternetLink"/>
                  <w:rFonts w:ascii="Avenir Next LT Pro;sans-serif" w:hAnsi="Avenir Next LT Pro;sans-serif"/>
                  <w:b w:val="false"/>
                  <w:strike w:val="false"/>
                  <w:dstrike w:val="false"/>
                  <w:color w:val="242424"/>
                  <w:sz w:val="20"/>
                  <w:u w:val="none"/>
                  <w:effect w:val="none"/>
                </w:rPr>
                <w:t>52</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4155"/>
                <wp:effectExtent l="0" t="0" r="0" b="0"/>
                <wp:wrapNone/>
                <wp:docPr id="3" name="Frame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v:textbox>
                <w10:wrap type="none"/>
              </v:rect>
            </w:pict>
          </mc:Fallback>
        </mc:AlternateContent>
      </w:r>
    </w:p>
    <w:p>
      <w:pPr>
        <w:pStyle w:val="TextBody"/>
        <w:bidi w:val="0"/>
        <w:spacing w:lineRule="auto" w:line="417"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BALANCE SHEETS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2581"/>
        <w:gridCol w:w="2064"/>
        <w:gridCol w:w="2070"/>
        <w:gridCol w:w="247"/>
        <w:gridCol w:w="1294"/>
        <w:gridCol w:w="111"/>
        <w:gridCol w:w="109"/>
        <w:gridCol w:w="109"/>
        <w:gridCol w:w="109"/>
        <w:gridCol w:w="226"/>
        <w:gridCol w:w="1128"/>
        <w:gridCol w:w="157"/>
      </w:tblGrid>
      <w:tr>
        <w:trPr/>
        <w:tc>
          <w:tcPr>
            <w:tcW w:w="2581"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share amounts)</w:t>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December 31,</w:t>
              <w:br/>
              <w:t>2024</w:t>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ASSETS</w:t>
            </w:r>
          </w:p>
        </w:tc>
        <w:tc>
          <w:tcPr>
            <w:tcW w:w="1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assets</w:t>
            </w:r>
          </w:p>
        </w:tc>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425,960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423,569 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Accounts receivable, net </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283,744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272,530 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Inventories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62,147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Prepaid expenses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35,629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34,322 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assets</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807,480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785,279 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plant and equipment, at cost less accumulated depreciation, depletion and amortization of $14,762,292 in 2025 and $13,811,539 in 2024</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8,085,731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8,054,653 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assets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781,291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777,536 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charges and other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58,260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50,011 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9,732,762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9,667,479 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LIABILITIES AND EQUITY</w:t>
            </w:r>
          </w:p>
        </w:tc>
        <w:tc>
          <w:tcPr>
            <w:tcW w:w="16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liabilities</w:t>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maturities of long-term debt, finance lease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918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Accounts payable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429,658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472,165 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taxes payable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20,987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taxes payable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31,573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31,685 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210,769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253,208 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accrued liabilities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117,965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117,802 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 retirement obligations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45,876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48,080 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liabilities</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857,746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942,814 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debt, including finance lease obligation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1,425,235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1,274,502 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Asset retirement obligations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1,001,919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960,804 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credits and other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249,521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274,345 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Non-current operating lease liabilities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582,082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537,381 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366,607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335,790 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4,483,110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4,325,636 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Equity</w:t>
            </w:r>
          </w:p>
        </w:tc>
        <w:tc>
          <w:tcPr>
            <w:tcW w:w="16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Cumulative Preferred Stock, par $100, authorized 400,000 shares, none issued</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Common Stock, par $1.00, authorized 450,000,000 shares, issued 195,100,628 shares at September 30, 2025 and 195,100,628 shares at December 31, 2024</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Capital in excess of par value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850,964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848,950 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Retained earnings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6,725,833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6,773,289 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Accumulated other comprehensive loss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(574,931)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(628,072)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Treasury stock</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(2,075,580)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(1,995,018)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Murphy Shareholders' Equity</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5,121,387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5,194,250 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Noncontrolling interest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128,265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147,593 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equity</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5,249,652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5,341,843 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 and equity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9,732,762</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9,667,479 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4155"/>
                <wp:effectExtent l="0" t="0" r="0" b="0"/>
                <wp:wrapNone/>
                <wp:docPr id="4" name="Frame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v:textbox>
                <w10:wrap type="none"/>
              </v:rect>
            </w:pict>
          </mc:Fallback>
        </mc:AlternateContent>
      </w:r>
    </w:p>
    <w:p>
      <w:pPr>
        <w:pStyle w:val="TextBody"/>
        <w:bidi w:val="0"/>
        <w:spacing w:lineRule="auto" w:line="417"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OPERATIONS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82"/>
        <w:gridCol w:w="1019"/>
        <w:gridCol w:w="1022"/>
        <w:gridCol w:w="241"/>
        <w:gridCol w:w="1051"/>
        <w:gridCol w:w="109"/>
        <w:gridCol w:w="109"/>
        <w:gridCol w:w="109"/>
        <w:gridCol w:w="109"/>
        <w:gridCol w:w="226"/>
        <w:gridCol w:w="946"/>
        <w:gridCol w:w="109"/>
        <w:gridCol w:w="109"/>
        <w:gridCol w:w="109"/>
        <w:gridCol w:w="109"/>
        <w:gridCol w:w="241"/>
        <w:gridCol w:w="1261"/>
        <w:gridCol w:w="109"/>
        <w:gridCol w:w="109"/>
        <w:gridCol w:w="109"/>
        <w:gridCol w:w="109"/>
        <w:gridCol w:w="226"/>
        <w:gridCol w:w="1126"/>
        <w:gridCol w:w="156"/>
      </w:tblGrid>
      <w:tr>
        <w:trPr/>
        <w:tc>
          <w:tcPr>
            <w:tcW w:w="138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Nine Months Ended</w:t>
              <w:br/>
              <w:t>September 30,</w:t>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per share amounts)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Revenues and other income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Revenue from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720,966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753,169 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2,076,761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2,345,282 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Sales of purchased natural gas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 from sales to customers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720,966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753,169 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2,076,761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2,349,024 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(loss) on derivative instruments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7,071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sale of assets and other operating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revenues and other income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732,985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758,331 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2,094,266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2,357,514 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Costs and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Lease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184,353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604,986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716,778 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Severance and ad valorem taxes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Transportation, gathering and processing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151,067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157,461 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Costs of purchased natural gas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Exploration expenses, including undeveloped lease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57,389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118,390 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Selling and general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30,858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98,692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78,925 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283,465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736,949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650,309 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43,153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Impairment of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costs and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727,192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579,305 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1,852,368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1,840,109 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income from continuing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241,898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517,405 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Other income (loss)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income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(14,631)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33,870 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Interest expense,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(73,302)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(62,265)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other loss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(9,455)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(87,933)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(28,395)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continuing operations before income taxes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153,965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489,010 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64,855 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continuing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116,054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424,155 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discontinued operations, net of income taxes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 including noncontrolling interest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116,226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422,032 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Net income (loss) attributable to noncontrolling interest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(LOSS) ATTRIBUTABLE TO MURPHY</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139,094 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356,835 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9"/>
              </w:rPr>
            </w:pPr>
            <w:r>
              <w:rPr>
                <w:rFonts w:ascii="Avenir Next LT Pro;sans-serif" w:hAnsi="Avenir Next LT Pro;sans-serif"/>
                <w:b/>
                <w:color w:val="000000"/>
                <w:sz w:val="19"/>
              </w:rPr>
              <w:t>NET INCOME (LOSS) PER COMMON SHARE – BASIC</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9"/>
              </w:rPr>
            </w:pPr>
            <w:r>
              <w:rPr>
                <w:rFonts w:ascii="Avenir Next LT Pro;sans-serif" w:hAnsi="Avenir Next LT Pro;sans-serif"/>
                <w:b/>
                <w:color w:val="000000"/>
                <w:sz w:val="19"/>
              </w:rPr>
              <w:t>NET INCOME (LOSS) PER COMMON SHARE – DILUTED</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per common share</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0.325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0.975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0.900 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Average common shares outstanding (thousands)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Basic</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142,731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151,401 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Diluted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142,731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152,437 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4155"/>
                <wp:effectExtent l="0" t="0" r="0" b="0"/>
                <wp:wrapNone/>
                <wp:docPr id="5" name="Frame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v:textbox>
                <w10:wrap type="none"/>
              </v:rect>
            </w:pict>
          </mc:Fallback>
        </mc:AlternateContent>
      </w:r>
    </w:p>
    <w:p>
      <w:pPr>
        <w:pStyle w:val="TextBody"/>
        <w:bidi w:val="0"/>
        <w:spacing w:lineRule="auto" w:line="417"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COMPREHENSIVE INCOME (LOSS)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9"/>
        <w:gridCol w:w="1077"/>
        <w:gridCol w:w="1080"/>
        <w:gridCol w:w="241"/>
        <w:gridCol w:w="977"/>
        <w:gridCol w:w="109"/>
        <w:gridCol w:w="109"/>
        <w:gridCol w:w="109"/>
        <w:gridCol w:w="109"/>
        <w:gridCol w:w="226"/>
        <w:gridCol w:w="946"/>
        <w:gridCol w:w="109"/>
        <w:gridCol w:w="109"/>
        <w:gridCol w:w="109"/>
        <w:gridCol w:w="109"/>
        <w:gridCol w:w="241"/>
        <w:gridCol w:w="1051"/>
        <w:gridCol w:w="109"/>
        <w:gridCol w:w="109"/>
        <w:gridCol w:w="109"/>
        <w:gridCol w:w="109"/>
        <w:gridCol w:w="226"/>
        <w:gridCol w:w="946"/>
        <w:gridCol w:w="157"/>
      </w:tblGrid>
      <w:tr>
        <w:trPr/>
        <w:tc>
          <w:tcPr>
            <w:tcW w:w="17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Nine Months Ended</w:t>
              <w:br/>
              <w:t>September 30,</w:t>
            </w:r>
          </w:p>
        </w:tc>
      </w:tr>
      <w:tr>
        <w:trPr/>
        <w:tc>
          <w:tcPr>
            <w:tcW w:w="3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 including noncontrolling interest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116,226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422,032 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comprehensive income (loss), net of tax</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gain (loss) from foreign currency translation</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(38,027)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Other comprehensive income (loss) </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(37,153)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53,141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(31,590)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Comprehensive income including noncontrolling interest</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(45,469)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170,050 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169,367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390,442 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Comprehensive income (loss) attributable to noncontrolling interest</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23,883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65,197 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COMPREHENSIVE INCOME ATTRIBUTABLE TO MURPHY</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(40,126)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158,032 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145,484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325,245 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4155"/>
                <wp:effectExtent l="0" t="0" r="0" b="0"/>
                <wp:wrapNone/>
                <wp:docPr id="6" name="Frame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v:textbox>
                <w10:wrap type="none"/>
              </v:rect>
            </w:pict>
          </mc:Fallback>
        </mc:AlternateContent>
      </w:r>
    </w:p>
    <w:p>
      <w:pPr>
        <w:pStyle w:val="TextBody"/>
        <w:bidi w:val="0"/>
        <w:spacing w:lineRule="auto" w:line="417"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CASH FLOWS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35"/>
        <w:gridCol w:w="2255"/>
        <w:gridCol w:w="2260"/>
        <w:gridCol w:w="241"/>
        <w:gridCol w:w="1051"/>
        <w:gridCol w:w="109"/>
        <w:gridCol w:w="109"/>
        <w:gridCol w:w="109"/>
        <w:gridCol w:w="109"/>
        <w:gridCol w:w="226"/>
        <w:gridCol w:w="946"/>
        <w:gridCol w:w="155"/>
      </w:tblGrid>
      <w:tr>
        <w:trPr/>
        <w:tc>
          <w:tcPr>
            <w:tcW w:w="263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Nine Months Ended</w:t>
              <w:br/>
              <w:t>September 30,</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Operating Activities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 including noncontrolling interest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116,226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422,032 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Adjustments to reconcile net income to net cash provided by continuing operations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736,949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650,309 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43,153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39,068 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non-cash compensation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23,305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Amortization of undeveloped leases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Unrealized (gain) loss on 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Unsuccessful exploration well costs and previously suspended exploration costs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69,548 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Impairment of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activities,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(47,428)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(38,260)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decrease (increase) in non-cash working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998,162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1,295,430 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Investing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(827,007)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(733,289)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Acquisition of oil and natural gas properties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(851,412)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(733,289)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Borrowings on revolving credit facility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Repayment of revolving credit facility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of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(102,620)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(300,132)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(139,799)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(136,208)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Withholding tax on stock-based incentive awards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(25,310)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(43,211)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(96,618)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Finance lease obligation payments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Issue costs of revolving debt facility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(143,860)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(608,770)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Effect of exchange rate changes on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(45,851)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 at beginning of period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423,569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317,074 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Cash and cash equivalents at end of period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425,960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271,223 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80"/>
        <w:jc w:val="left"/>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4155"/>
                <wp:effectExtent l="0" t="0" r="0" b="0"/>
                <wp:wrapNone/>
                <wp:docPr id="7" name="Frame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v:textbox>
                <w10:wrap type="none"/>
              </v:rect>
            </w:pict>
          </mc:Fallback>
        </mc:AlternateContent>
      </w:r>
    </w:p>
    <w:p>
      <w:pPr>
        <w:pStyle w:val="TextBody"/>
        <w:bidi w:val="0"/>
        <w:spacing w:lineRule="auto" w:line="417"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STOCKHOLDERS’ EQUITY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38"/>
        <w:gridCol w:w="797"/>
        <w:gridCol w:w="799"/>
        <w:gridCol w:w="241"/>
        <w:gridCol w:w="1261"/>
        <w:gridCol w:w="109"/>
        <w:gridCol w:w="109"/>
        <w:gridCol w:w="109"/>
        <w:gridCol w:w="109"/>
        <w:gridCol w:w="226"/>
        <w:gridCol w:w="1126"/>
        <w:gridCol w:w="109"/>
        <w:gridCol w:w="109"/>
        <w:gridCol w:w="109"/>
        <w:gridCol w:w="109"/>
        <w:gridCol w:w="241"/>
        <w:gridCol w:w="1261"/>
        <w:gridCol w:w="109"/>
        <w:gridCol w:w="109"/>
        <w:gridCol w:w="109"/>
        <w:gridCol w:w="109"/>
        <w:gridCol w:w="226"/>
        <w:gridCol w:w="1126"/>
        <w:gridCol w:w="155"/>
      </w:tblGrid>
      <w:tr>
        <w:trPr/>
        <w:tc>
          <w:tcPr>
            <w:tcW w:w="143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Nine Months Ended</w:t>
              <w:br/>
              <w:t>September 30,</w:t>
            </w:r>
          </w:p>
        </w:tc>
      </w:tr>
      <w:tr>
        <w:trPr/>
        <w:tc>
          <w:tcPr>
            <w:tcW w:w="3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number of shares)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2024</w:t>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9"/>
              </w:rPr>
            </w:pPr>
            <w:r>
              <w:rPr>
                <w:rFonts w:ascii="Avenir Next LT Pro;sans-serif" w:hAnsi="Avenir Next LT Pro;sans-serif"/>
                <w:b/>
                <w:color w:val="000000"/>
                <w:sz w:val="19"/>
              </w:rPr>
              <w:t>Common Stock</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and end of period – par $1.00, authorized 450,000,000 shares at September 30, 2025 and September 30, 2024, issued 195,100,628 shares at September 30, 2025 and September 30, 2024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Capital in Excess of Par Value</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841,833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826,861 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848,950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880,297 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Restricted stock transactions and other</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(27,977)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(70,539)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Share-based compensation</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29,991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850,964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835,655 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850,964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835,655 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Retained Earnings</w:t>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6,775,193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6,672,275 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6,773,289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6,546,079 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 attributable to Murphy</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356,835 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(44,663)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(139,799)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(136,208)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6,725,833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6,766,706 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6,725,833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6,766,706 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Accumulated Other Comprehensive Loss</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(537,778)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(571,645)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(628,072)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(521,117)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Foreign currency translation, net of income taxes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(38,027)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 net of income taxes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(574,931)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(552,707)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(574,931)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(552,707)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Treasury Stock</w:t>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(2,075,823)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(1,798,872)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(1,995,018)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(1,737,566)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(196,187)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(100,876)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(302,681)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Awarded restricted stock, net of forfeitures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 – 52,368,808 shares of common stock at September 30, 2025 and 49,257,269 shares of common stock at September 30, 2024, at cost</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(2,075,580)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(1,995,018)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(2,075,580)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(1,995,018)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Murphy Shareholders’ Equity</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5,121,387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5,249,737 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5,121,387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5,249,737 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Noncontrolling Interest</w:t>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158,654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147,593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186,859 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(loss) attributable to noncontrolling interest</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 owners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128,265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155,438 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128,265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155,438 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Total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5,249,652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5,405,175 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5,249,652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5,405,175 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4155"/>
                <wp:effectExtent l="0" t="0" r="0" b="0"/>
                <wp:wrapNone/>
                <wp:docPr id="8" name="Frame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v:textbox>
                <w10:wrap type="none"/>
              </v:rect>
            </w:pict>
          </mc:Fallback>
        </mc:AlternateContent>
      </w:r>
    </w:p>
    <w:p>
      <w:pPr>
        <w:pStyle w:val="TextBody"/>
        <w:bidi w:val="0"/>
        <w:spacing w:lineRule="auto" w:line="417"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NOTES TO CONSOLIDATED FINANCIAL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These notes are an integral part of the financial statements of Murphy Oil Corporation and Consolidated Subsidiaries (the Company or Murphy) on pages </w:t>
      </w:r>
      <w:hyperlink w:anchor="i2cbe45e68324468f8220138092d5739d_16">
        <w:r>
          <w:rPr>
            <w:rStyle w:val="InternetLink"/>
            <w:rFonts w:ascii="Avenir Next LT Pro;sans-serif" w:hAnsi="Avenir Next LT Pro;sans-serif"/>
            <w:b w:val="false"/>
            <w:color w:val="0000FF"/>
            <w:sz w:val="20"/>
            <w:u w:val="single"/>
          </w:rPr>
          <w:t>2</w:t>
        </w:r>
      </w:hyperlink>
      <w:r>
        <w:rPr>
          <w:color w:val="000000"/>
        </w:rPr>
        <w:t xml:space="preserve"> </w:t>
      </w:r>
      <w:r>
        <w:rPr>
          <w:rFonts w:ascii="Avenir Next LT Pro;sans-serif" w:hAnsi="Avenir Next LT Pro;sans-serif"/>
          <w:b w:val="false"/>
          <w:color w:val="000000"/>
          <w:sz w:val="20"/>
        </w:rPr>
        <w:t xml:space="preserve">through </w:t>
      </w:r>
      <w:hyperlink w:anchor="i2cbe45e68324468f8220138092d5739d_31">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A – Basis of Presentation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unaudited financial statements presented herein, in the opinion of Murphy’s management, include all adjustments necessary to present fairly the Company’s financial position as at September 30, 2025 and December 31, 2024, and the results of operations, cash flows and changes in stockholders’ equity for the interim periods ended September 30, 2025 and 2024,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Consolidated financial statements and notes to consolidated financial statements included in this Form 10-Q report should be read in conjunction with the Company’s 2024 Form 10-K report, as certain notes and other pertinent information have been abbreviated or omitted in this report. Financial results for the three-month and nine-month periods ended September 30, 2025 are not necessarily indicative of future results.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B – New Accounting Principles and Recent Accounting Pronouncements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Accounting Principles Adopted</w:t>
      </w:r>
    </w:p>
    <w:p>
      <w:pPr>
        <w:pStyle w:val="TextBody"/>
        <w:bidi w:val="0"/>
        <w:spacing w:lineRule="auto" w:line="288" w:before="120" w:after="120"/>
        <w:jc w:val="left"/>
        <w:rPr/>
      </w:pPr>
      <w:r>
        <w:rPr>
          <w:rFonts w:ascii="Avenir Next LT Pro;sans-serif" w:hAnsi="Avenir Next LT Pro;sans-serif"/>
          <w:b w:val="false"/>
          <w:i/>
          <w:color w:val="000000"/>
          <w:sz w:val="20"/>
        </w:rPr>
        <w:t>Reportable Segment Disclosures.</w:t>
      </w:r>
      <w:r>
        <w:rPr>
          <w:color w:val="000000"/>
        </w:rPr>
        <w:t xml:space="preserve"> </w:t>
      </w:r>
      <w:r>
        <w:rPr>
          <w:rFonts w:ascii="Avenir Next LT Pro;sans-serif" w:hAnsi="Avenir Next LT Pro;sans-serif"/>
          <w:b w:val="false"/>
          <w:color w:val="000000"/>
          <w:sz w:val="20"/>
        </w:rPr>
        <w:t xml:space="preserve">In November 2023, the Financial Accounting Standards Board (FASB) issued </w:t>
      </w:r>
      <w:r>
        <w:rPr>
          <w:rFonts w:ascii="Avenir Next LT Pro;sans-serif" w:hAnsi="Avenir Next LT Pro;sans-serif"/>
          <w:b w:val="false"/>
          <w:i/>
          <w:color w:val="000000"/>
          <w:sz w:val="20"/>
        </w:rPr>
        <w:t>Accounting Standards Update (ASU) 2023-07 Segment Reporting (Topic 280): Improvements to Reportable Segment Disclosures</w:t>
      </w:r>
      <w:r>
        <w:rPr>
          <w:rFonts w:ascii="Avenir Next LT Pro;sans-serif" w:hAnsi="Avenir Next LT Pro;sans-serif"/>
          <w:b w:val="false"/>
          <w:color w:val="000000"/>
          <w:sz w:val="20"/>
        </w:rPr>
        <w:t xml:space="preserve">. The standard requires additional disclosures about operating segments, including segment expense information provided to the chief operating decision maker, and extends certain disclosure requirements to interim periods. The Company adopted this standard in the fourth quarter of 2024. The adoption did not impact the determination of significant segments and had no material impact on the Company’s consolidated financial statements. These new disclosure requirements are applied retrospectively to all prior periods included in the financial statements. Refer to </w:t>
      </w:r>
      <w:hyperlink w:anchor="i2cbe45e68324468f8220138092d5739d_115">
        <w:r>
          <w:rPr>
            <w:rStyle w:val="InternetLink"/>
            <w:rFonts w:ascii="Avenir Next LT Pro;sans-serif" w:hAnsi="Avenir Next LT Pro;sans-serif"/>
            <w:b w:val="false"/>
            <w:color w:val="0000FF"/>
            <w:sz w:val="20"/>
            <w:u w:val="single"/>
          </w:rPr>
          <w:t>Note P</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Recent Accounting Pronouncements</w:t>
      </w:r>
    </w:p>
    <w:p>
      <w:pPr>
        <w:pStyle w:val="TextBody"/>
        <w:bidi w:val="0"/>
        <w:spacing w:lineRule="auto" w:line="288" w:before="120" w:after="120"/>
        <w:jc w:val="left"/>
        <w:rPr/>
      </w:pPr>
      <w:r>
        <w:rPr>
          <w:rFonts w:ascii="Avenir Next LT Pro;sans-serif" w:hAnsi="Avenir Next LT Pro;sans-serif"/>
          <w:b w:val="false"/>
          <w:i/>
          <w:color w:val="000000"/>
          <w:sz w:val="20"/>
        </w:rPr>
        <w:t>Expense Disaggregation Disclosures.</w:t>
      </w:r>
      <w:r>
        <w:rPr>
          <w:color w:val="000000"/>
        </w:rPr>
        <w:t xml:space="preserve"> </w:t>
      </w:r>
      <w:r>
        <w:rPr>
          <w:rFonts w:ascii="Avenir Next LT Pro;sans-serif" w:hAnsi="Avenir Next LT Pro;sans-serif"/>
          <w:b w:val="false"/>
          <w:color w:val="000000"/>
          <w:sz w:val="20"/>
        </w:rPr>
        <w:t xml:space="preserve">In November 2024, the FASB issued </w:t>
      </w:r>
      <w:r>
        <w:rPr>
          <w:rFonts w:ascii="Avenir Next LT Pro;sans-serif" w:hAnsi="Avenir Next LT Pro;sans-serif"/>
          <w:b w:val="false"/>
          <w:i/>
          <w:color w:val="000000"/>
          <w:sz w:val="20"/>
        </w:rPr>
        <w:t xml:space="preserve">ASU 2024-03 Income Statement—Reporting Comprehensive Income—Expense Disaggregation Disclosures (Subtopic 220-40): Disaggregation of Income Statement Expenses. </w:t>
      </w:r>
      <w:r>
        <w:rPr>
          <w:rFonts w:ascii="Avenir Next LT Pro;sans-serif" w:hAnsi="Avenir Next LT Pro;sans-serif"/>
          <w:b w:val="false"/>
          <w:color w:val="000000"/>
          <w:sz w:val="20"/>
        </w:rPr>
        <w:t>The standard becomes effective for 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expect this ASU to only impact our disclosures with no impacts to our results of operations, cash flows and financial condition.</w:t>
      </w:r>
    </w:p>
    <w:p>
      <w:pPr>
        <w:pStyle w:val="TextBody"/>
        <w:bidi w:val="0"/>
        <w:spacing w:lineRule="auto" w:line="288" w:before="120" w:after="120"/>
        <w:jc w:val="left"/>
        <w:rPr/>
      </w:pPr>
      <w:r>
        <w:rPr>
          <w:rFonts w:ascii="Avenir Next LT Pro;sans-serif" w:hAnsi="Avenir Next LT Pro;sans-serif"/>
          <w:b w:val="false"/>
          <w:i/>
          <w:color w:val="000000"/>
          <w:sz w:val="20"/>
        </w:rPr>
        <w:t>Income Tax Disclosures</w:t>
      </w:r>
      <w:r>
        <w:rPr>
          <w:rFonts w:ascii="Avenir Next LT Pro;sans-serif" w:hAnsi="Avenir Next LT Pro;sans-serif"/>
          <w:b w:val="false"/>
          <w:color w:val="000000"/>
          <w:sz w:val="20"/>
        </w:rPr>
        <w:t xml:space="preserve">. In December 2023, the FASB issued </w:t>
      </w:r>
      <w:r>
        <w:rPr>
          <w:rFonts w:ascii="Avenir Next LT Pro;sans-serif" w:hAnsi="Avenir Next LT Pro;sans-serif"/>
          <w:b w:val="false"/>
          <w:i/>
          <w:color w:val="000000"/>
          <w:sz w:val="20"/>
        </w:rPr>
        <w:t>ASU</w:t>
      </w:r>
      <w:r>
        <w:rPr>
          <w:color w:val="000000"/>
        </w:rPr>
        <w:t xml:space="preserve"> </w:t>
      </w:r>
      <w:r>
        <w:rPr>
          <w:rFonts w:ascii="Avenir Next LT Pro;sans-serif" w:hAnsi="Avenir Next LT Pro;sans-serif"/>
          <w:b w:val="false"/>
          <w:i/>
          <w:color w:val="000000"/>
          <w:sz w:val="20"/>
        </w:rPr>
        <w:t>2023-09 Income Taxes (Topic 740): Improvements to Income Tax Disclosures.</w:t>
      </w:r>
      <w:r>
        <w:rPr>
          <w:color w:val="000000"/>
        </w:rPr>
        <w:t xml:space="preserve"> </w:t>
      </w:r>
      <w:r>
        <w:rPr>
          <w:rFonts w:ascii="Avenir Next LT Pro;sans-serif" w:hAnsi="Avenir Next LT Pro;sans-serif"/>
          <w:b w:val="false"/>
          <w:color w:val="000000"/>
          <w:sz w:val="20"/>
        </w:rPr>
        <w:t>The standard becomes effective for annual periods beginning after December 15, 2024. The update requires financial statements to include consistent categories and greater disaggregation of information in the rate reconciliation, as well as income taxes paid disaggregated by jurisdiction. We expect this ASU to only impact our disclosures with no impacts to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evaluates the applicability and impact of all ASUs. ASUs not specifically discussed above were assessed and determined to be not applicable, previously disclosed, or not material upon adoption.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4155"/>
                <wp:effectExtent l="0" t="0" r="0" b="0"/>
                <wp:wrapNone/>
                <wp:docPr id="9" name="Frame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C – Revenue from Contracts with Customers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explores for and produces crude oil, natural gas and natural gas liquids (collectively referred to as oil and natural gas) in select basins around the world. The Company’s revenue from sales of oil and natural gas production activities is primarily subdivided into two key geographic segments: the United States (U.S.) and Canada. Additionally, revenue from sales to customers is generated from three primary revenue streams: crude oil, natural gas and natural gas liquids (NGLs).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operated oil and natural gas production where a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pStyle w:val="TextBody"/>
        <w:bidi w:val="0"/>
        <w:spacing w:lineRule="auto" w:line="288" w:before="120" w:after="120"/>
        <w:jc w:val="left"/>
        <w:rPr/>
      </w:pPr>
      <w:r>
        <w:rPr>
          <w:rFonts w:ascii="Avenir Next LT Pro;sans-serif" w:hAnsi="Avenir Next LT Pro;sans-serif"/>
          <w:b w:val="false"/>
          <w:i/>
          <w:color w:val="000000"/>
          <w:sz w:val="20"/>
        </w:rPr>
        <w:t>U.S. -</w:t>
      </w:r>
      <w:r>
        <w:rPr>
          <w:color w:val="000000"/>
        </w:rPr>
        <w:t xml:space="preserve"> </w:t>
      </w:r>
      <w:r>
        <w:rPr>
          <w:rFonts w:ascii="Avenir Next LT Pro;sans-serif" w:hAnsi="Avenir Next LT Pro;sans-serif"/>
          <w:b w:val="false"/>
          <w:color w:val="000000"/>
          <w:sz w:val="20"/>
        </w:rPr>
        <w:t>In the U.S., the Company primarily produces oil and natural gas from fields in the Eagle Ford Shale area of South Texas and in the Gulf of America. Revenue is generally recognized when oil and natural gas is transferred to the customer at the delivery point. Revenue recognized is largely index-based with price adjustments for floating market differentials.</w:t>
      </w:r>
    </w:p>
    <w:p>
      <w:pPr>
        <w:pStyle w:val="TextBody"/>
        <w:bidi w:val="0"/>
        <w:spacing w:lineRule="auto" w:line="288" w:before="120" w:after="120"/>
        <w:jc w:val="left"/>
        <w:rPr/>
      </w:pPr>
      <w:r>
        <w:rPr>
          <w:rFonts w:ascii="Avenir Next LT Pro;sans-serif" w:hAnsi="Avenir Next LT Pro;sans-serif"/>
          <w:b w:val="false"/>
          <w:i/>
          <w:color w:val="000000"/>
          <w:sz w:val="20"/>
        </w:rPr>
        <w:t>Canada -</w:t>
      </w:r>
      <w:r>
        <w:rPr>
          <w:color w:val="000000"/>
        </w:rPr>
        <w:t xml:space="preserve"> </w:t>
      </w:r>
      <w:r>
        <w:rPr>
          <w:rFonts w:ascii="Avenir Next LT Pro;sans-serif" w:hAnsi="Avenir Next LT Pro;sans-serif"/>
          <w:b w:val="false"/>
          <w:color w:val="000000"/>
          <w:sz w:val="20"/>
        </w:rPr>
        <w:t>In Canada, contracts include long-term floating commodity index priced and natural gas physical forward sales fixed price contracts. For 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Disaggregation of Revenue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reviews performance based on two key geographical segments and between onshore and offshore sources of revenue within these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4155"/>
                <wp:effectExtent l="0" t="0" r="0" b="0"/>
                <wp:wrapNone/>
                <wp:docPr id="10" name="Frame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64" w:before="120" w:after="12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revenues and other income for the three-month and nine-month periods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706"/>
        <w:gridCol w:w="588"/>
        <w:gridCol w:w="589"/>
        <w:gridCol w:w="241"/>
        <w:gridCol w:w="1051"/>
        <w:gridCol w:w="109"/>
        <w:gridCol w:w="215"/>
        <w:gridCol w:w="215"/>
        <w:gridCol w:w="216"/>
        <w:gridCol w:w="233"/>
        <w:gridCol w:w="979"/>
        <w:gridCol w:w="112"/>
        <w:gridCol w:w="195"/>
        <w:gridCol w:w="195"/>
        <w:gridCol w:w="196"/>
        <w:gridCol w:w="241"/>
        <w:gridCol w:w="1261"/>
        <w:gridCol w:w="109"/>
        <w:gridCol w:w="215"/>
        <w:gridCol w:w="215"/>
        <w:gridCol w:w="216"/>
        <w:gridCol w:w="227"/>
        <w:gridCol w:w="1135"/>
        <w:gridCol w:w="109"/>
        <w:gridCol w:w="184"/>
        <w:gridCol w:w="184"/>
        <w:gridCol w:w="269"/>
      </w:tblGrid>
      <w:tr>
        <w:trPr/>
        <w:tc>
          <w:tcPr>
            <w:tcW w:w="7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209,051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161,965 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484,610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356,903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399,940 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1,052,345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crude oil and condensate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619,368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662,188 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1,740,840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revenue</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13,736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liquids revenue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20,348 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54,057 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195,483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78,415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70,633 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273,528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Revenue from production</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720,966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753,169 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2,076,761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2,345,282 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Sales of purchased natural gas </w:t>
            </w:r>
            <w:r>
              <w:rPr>
                <w:rFonts w:ascii="Avenir Next LT Pro;sans-serif" w:hAnsi="Avenir Next LT Pro;sans-serif"/>
                <w:b w:val="false"/>
                <w:color w:val="000000"/>
                <w:sz w:val="13"/>
              </w:rPr>
              <w:t>2</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sales of purchased natural gas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 from sales to customers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720,966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753,169 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2,076,761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2,349,024 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(loss) on derivative instruments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sale of assets and other operating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revenues and other income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732,985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758,331 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2,094,266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2,357,514 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revenue attributable to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Purchases of natural gas are reported on a gross basis when Murphy takes control of the product and has risks and rewards of ownership. Sales of purchased natural gas are reported when the contractual performance obligations are satisfied. This occurs at the time the product is delivered to a third-party purchaser at the contractually determinable price.</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Contract Balances and Asset Recognition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September 30, 2025, and December 31, 2024, receivables from contracts with customers, net of royalties and associated payables, on the balance sheet from continuing operations, were $180.2 million and $178.3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not entered into any revenue contracts that have financing components as of September 30,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does not employ sales incentive strategies such as commissions or bonuses for obtaining sales contracts. For the periods presented, the Company did not identify any assets to be recognized associated with the costs to obtain a contract with a customer.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4155"/>
                <wp:effectExtent l="0" t="0" r="0" b="0"/>
                <wp:wrapNone/>
                <wp:docPr id="11" name="Frame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Performance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entered into several long-term, fixed price contracts in Canada. The underlying reason for entering a fixed price contract is generally unrelated to anticipated future prices or other observable data and serves a particular purpose in the Company’s long-term strategy.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September 30, 2025, the Company had the following sales contracts in place which are expected to generate revenue from sales to customers for a period over 12 months starting at the inception of the contract:</w:t>
      </w:r>
    </w:p>
    <w:tbl>
      <w:tblPr>
        <w:tblW w:w="10205"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587"/>
        <w:gridCol w:w="587"/>
        <w:gridCol w:w="589"/>
        <w:gridCol w:w="109"/>
        <w:gridCol w:w="109"/>
        <w:gridCol w:w="109"/>
        <w:gridCol w:w="283"/>
        <w:gridCol w:w="283"/>
        <w:gridCol w:w="284"/>
        <w:gridCol w:w="109"/>
        <w:gridCol w:w="109"/>
        <w:gridCol w:w="109"/>
        <w:gridCol w:w="1071"/>
        <w:gridCol w:w="1071"/>
        <w:gridCol w:w="1073"/>
        <w:gridCol w:w="109"/>
        <w:gridCol w:w="109"/>
        <w:gridCol w:w="109"/>
        <w:gridCol w:w="589"/>
        <w:gridCol w:w="589"/>
        <w:gridCol w:w="84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154" w:type="dxa"/>
            <w:gridSpan w:val="2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Approximate Volumes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and NGLs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Deliveries from dedicated acreage in Eagle Ford Shale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25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49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10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50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NGLs at CAD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fixed price contracts above are accounted for as normal sales and purchases for accounting purposes.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D – Property, Plant and Equipment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Exploratory Wells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September 30, 2025, the Company had total capitalized drilling costs pending the determination of proved reserves of $115.1 million. The following table reflects the net changes in capitalized exploratory well costs during the nine-month periods ended September 30, 2025 and 2024.</w:t>
      </w:r>
    </w:p>
    <w:tbl>
      <w:tblPr>
        <w:tblW w:w="8633" w:type="dxa"/>
        <w:jc w:val="left"/>
        <w:tblInd w:w="0" w:type="dxa"/>
        <w:tblLayout w:type="fixed"/>
        <w:tblCellMar>
          <w:top w:w="28" w:type="dxa"/>
          <w:left w:w="28" w:type="dxa"/>
          <w:bottom w:w="28" w:type="dxa"/>
          <w:right w:w="28" w:type="dxa"/>
        </w:tblCellMar>
      </w:tblPr>
      <w:tblGrid>
        <w:gridCol w:w="2063"/>
        <w:gridCol w:w="1815"/>
        <w:gridCol w:w="1821"/>
        <w:gridCol w:w="241"/>
        <w:gridCol w:w="1051"/>
        <w:gridCol w:w="109"/>
        <w:gridCol w:w="109"/>
        <w:gridCol w:w="109"/>
        <w:gridCol w:w="109"/>
        <w:gridCol w:w="226"/>
        <w:gridCol w:w="826"/>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balance at January 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72,055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Additions pending the determination of proved reserves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Capitalized exploratory well costs charged to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September 30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115,146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Capital additions of $43.1 million, for the nine months ended September 30, 2025, were mainly for the Hai Su Vang-1X (Golden Sea Lion), Block 15-2/17; and Lac Da Hong-1X (Pink Camel), Block 15-1/05 exploration wells in Vietnam. The Lac Da Hong-1X (Pink Camel), Block 15-1/05 exploration well in Vietnam encountered 106 feet of net oil pay from one reservoir and continues to progress post-drill evaluations. Capital additions also included long-lead equipment for the Cello #1 (Mississippi Canyon 385) and Banjo #1 (Mississippi Canyon 385)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4155"/>
                <wp:effectExtent l="0" t="0" r="0" b="0"/>
                <wp:wrapNone/>
                <wp:docPr id="12" name="Frame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wells in the Gulf of America and long-lead equipment for Bubale-1X (Block CI-709), Civette-1X (Block CI-502), and Caracal-1X (Block CI-102) exploration wells in Côte d’Ivoire. Capital additions of $28.5 million, for the nine months ended September 30, 2024, were mainly for the non-operated Ocotillo #1 (Mississippi Canyon 40) exploration well in the Gulf of America and Hai Su Vang-1X (Golden Sea Lion), Block 15-2/17; and Lac Da Hong-1X (Pink Camel), Block 15-1/05 exploration wells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There were no capitalized well costs charged to dry hole expense for the nine months ended September 30, 2025. Capitalized well costs charged to dry hole expense of $26.5 million for the nine months ended September 30, 2024 were primarily related to the Hoffe Park #1 (Mississippi Canyon 166) exploration well in the Gulf of America.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preceding table excludes well costs of $43.0 million incurred and expensed directly to dry hole for the nine months ended September 30, 2024. These costs primarily included $25.8 million for the non-operated Orange #1 (Mississippi Canyon 216) and $11.8 million for the Sebastian #1 (Mississippi Canyon 387) exploration wells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provides an aging of capitalized exploration well costs based on the date the drilling was completed for each individual well.</w:t>
      </w:r>
    </w:p>
    <w:tbl>
      <w:tblPr>
        <w:tblW w:w="9901" w:type="dxa"/>
        <w:jc w:val="left"/>
        <w:tblInd w:w="0" w:type="dxa"/>
        <w:tblLayout w:type="fixed"/>
        <w:tblCellMar>
          <w:top w:w="28" w:type="dxa"/>
          <w:left w:w="28" w:type="dxa"/>
          <w:bottom w:w="28" w:type="dxa"/>
          <w:right w:w="28" w:type="dxa"/>
        </w:tblCellMar>
      </w:tblPr>
      <w:tblGrid>
        <w:gridCol w:w="1140"/>
        <w:gridCol w:w="1003"/>
        <w:gridCol w:w="1006"/>
        <w:gridCol w:w="241"/>
        <w:gridCol w:w="1051"/>
        <w:gridCol w:w="109"/>
        <w:gridCol w:w="109"/>
        <w:gridCol w:w="109"/>
        <w:gridCol w:w="109"/>
        <w:gridCol w:w="479"/>
        <w:gridCol w:w="479"/>
        <w:gridCol w:w="481"/>
        <w:gridCol w:w="109"/>
        <w:gridCol w:w="109"/>
        <w:gridCol w:w="109"/>
        <w:gridCol w:w="109"/>
        <w:gridCol w:w="109"/>
        <w:gridCol w:w="226"/>
        <w:gridCol w:w="826"/>
        <w:gridCol w:w="109"/>
        <w:gridCol w:w="109"/>
        <w:gridCol w:w="109"/>
        <w:gridCol w:w="109"/>
        <w:gridCol w:w="429"/>
        <w:gridCol w:w="429"/>
        <w:gridCol w:w="431"/>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w:t>
            </w:r>
          </w:p>
        </w:tc>
        <w:tc>
          <w:tcPr>
            <w:tcW w:w="1879" w:type="dxa"/>
            <w:gridSpan w:val="8"/>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1879" w:type="dxa"/>
            <w:gridSpan w:val="8"/>
            <w:tcBorders/>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No. of Wells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 Wells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Aging of capitalized well costs: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Zero to one year</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w:t>
            </w: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One to two years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75,171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Two to three years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years or more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115,146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w:t>
            </w:r>
            <w:r>
              <w:rPr>
                <w:color w:val="000000"/>
              </w:rPr>
              <w:t>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 the $97.6 million of exploration well costs capitalized and classified as more than one year at September 30, 2025, $68.2 million was in Vietnam, $22.1 million was in the Gulf of America, $4.6 million was in Canada, and $2.7 million was in Brunei. In all geographical areas, either further appraisal or development drilling is planned and/or development studies/plans are in various stages of completion.</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Property Additions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July 1, 2025, the Company purchased additional working interests in Eagle Ford Shale, in acreages primarily operated by Murphy, for $23.0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first quarter of 2025, Murphy purchased a floating production storage and offloading vessel (FPSO) from BW Offshore (UK) Limited for a gross purchase price of $125.0 million. An initial payment of $100.0 million was made in the first quarter of 2025, with the remaining balance paid during the second quarter of 2025, after certain contractual obligations were met. The FPSO will remain at its current location, supporting operations at the Cascade field (Walker Ridge 206 and 250) and Chinook field (Walker Ridge 469 and 425) in the Gulf of America. BW Offshore (UK) Limited will continue to provide operations and maintenance services under a new five-year contract.</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Impairments</w:t>
      </w:r>
    </w:p>
    <w:p>
      <w:pPr>
        <w:pStyle w:val="TextBody"/>
        <w:bidi w:val="0"/>
        <w:spacing w:lineRule="auto" w:line="288" w:before="120" w:after="120"/>
        <w:jc w:val="left"/>
        <w:rPr/>
      </w:pPr>
      <w:r>
        <w:rPr>
          <w:rFonts w:ascii="Avenir Next LT Pro;sans-serif" w:hAnsi="Avenir Next LT Pro;sans-serif"/>
          <w:b w:val="false"/>
          <w:color w:val="000000"/>
          <w:sz w:val="20"/>
        </w:rPr>
        <w:t>There were pretax impairments of $115.0 million ($92.0 million excluding NCI) in the three and nine months ended September 30, 2025. The impairment related to the partial write-down of the Dalmatian field in the Gulf of America due to reserve reductions, as certain projects in the field were less competitive for capital allocation. There were no impairments in the three months ended September 30, 2024. There were pretax impairments of $34.5 million in the nine months ended September 30, 2024, related to the Calliope fie</w:t>
      </w:r>
      <w:r>
        <w:rPr>
          <w:rFonts w:ascii="Avenir Next LT Pro;sans-serif" w:hAnsi="Avenir Next LT Pro;sans-serif"/>
          <w:b w:val="false"/>
          <w:color w:val="000000"/>
          <w:sz w:val="20"/>
          <w:shd w:fill="FFFFFF" w:val="clear"/>
        </w:rPr>
        <w:t>ld in Mississippi Canyon in the Gulf of America, in which operational issues led to a reserve reduction.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4155"/>
                <wp:effectExtent l="0" t="0" r="0" b="0"/>
                <wp:wrapNone/>
                <wp:docPr id="13" name="Frame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E – Financing Arrangements and Debt</w:t>
      </w:r>
    </w:p>
    <w:p>
      <w:pPr>
        <w:pStyle w:val="TextBody"/>
        <w:bidi w:val="0"/>
        <w:spacing w:lineRule="auto" w:line="288" w:before="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Revolving Credit Facility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September 30, 2025, the Company had a $1.35 billion revolving credit facility (RCF). The RCF is a senior unsecured guaranteed facility which expires on October 7, 2029. At September 30, 2025, the Company had $150.0 million of outstanding borrowings under the RCF and $0.4 million of outstanding letters of credit, which reduce the borrowing capacity of the RCF. At September 30, 2025, the interest rate in effect on borrowings under the RCF was 6.48%. At September 30, 2025, the Company was in compliance with all covenants related to the RCF.</w:t>
      </w:r>
    </w:p>
    <w:p>
      <w:pPr>
        <w:pStyle w:val="TextBody"/>
        <w:bidi w:val="0"/>
        <w:spacing w:lineRule="auto" w:line="288" w:before="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Extinguishment</w:t>
      </w:r>
    </w:p>
    <w:p>
      <w:pPr>
        <w:pStyle w:val="TextBody"/>
        <w:bidi w:val="0"/>
        <w:spacing w:lineRule="auto" w:line="288" w:before="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May 2024, the Company paid a total of $50.5 million to complete the open market repurchases of $26.5 million aggregate principal of its 5.875% senior notes due 2027 (2027 Notes) and $23.5 million aggregate principal of its 6.375% senior notes due 2028 (2028 Notes). The cash costs of the debt extinguishment of $0.5 million is included in “Interest expense, net” on the Consolidated Statements of Operations for the nine months ended September 30, 2024.</w:t>
      </w:r>
    </w:p>
    <w:p>
      <w:pPr>
        <w:pStyle w:val="TextBody"/>
        <w:bidi w:val="0"/>
        <w:spacing w:lineRule="auto" w:line="288" w:before="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shelf registration statement on file with the U.S. Securities and Exchange Commission (SEC) that permits the offer and sale of debt and/or equity securities through October 15, 2027.</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F – Other Financial Information</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Supplemental Information to Statement of Cash Flows</w:t>
      </w:r>
    </w:p>
    <w:tbl>
      <w:tblPr>
        <w:tblW w:w="10205" w:type="dxa"/>
        <w:jc w:val="left"/>
        <w:tblInd w:w="0" w:type="dxa"/>
        <w:tblLayout w:type="fixed"/>
        <w:tblCellMar>
          <w:top w:w="28" w:type="dxa"/>
          <w:left w:w="28" w:type="dxa"/>
          <w:bottom w:w="28" w:type="dxa"/>
          <w:right w:w="28" w:type="dxa"/>
        </w:tblCellMar>
      </w:tblPr>
      <w:tblGrid>
        <w:gridCol w:w="2698"/>
        <w:gridCol w:w="2300"/>
        <w:gridCol w:w="2307"/>
        <w:gridCol w:w="241"/>
        <w:gridCol w:w="1015"/>
        <w:gridCol w:w="109"/>
        <w:gridCol w:w="109"/>
        <w:gridCol w:w="109"/>
        <w:gridCol w:w="109"/>
        <w:gridCol w:w="226"/>
        <w:gridCol w:w="826"/>
        <w:gridCol w:w="156"/>
      </w:tblGrid>
      <w:tr>
        <w:trPr/>
        <w:tc>
          <w:tcPr>
            <w:tcW w:w="269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operating working capital, excluding cash and cash equivalents:</w:t>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receivable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inventories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prepaid expenses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accounts payable and accrued liabilities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(43,231)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income taxes payable</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decrease (increase) in non-cash working capital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Supplementary disclosures: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income taxes paid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paid, net of amounts capitalized of $5.3 million in 2025 and $10.8 million in 2024</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Non-cash investing activities: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costs capitalized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capital expenditure accrual</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4155"/>
                <wp:effectExtent l="0" t="0" r="0" b="0"/>
                <wp:wrapNone/>
                <wp:docPr id="14" name="Frame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G – Asset Retirement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asset retirement obligations liabilities (ARO) recognized by the Company are related to the estimated costs to dismantle and abandon its producing oil and natural gas properties and related equipment.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the beginning and ending aggregate carrying amount of the ARO for the nine-month periods ended September 30, 2025 and 2024 are shown in the following table.</w:t>
      </w:r>
    </w:p>
    <w:tbl>
      <w:tblPr>
        <w:tblW w:w="9595" w:type="dxa"/>
        <w:jc w:val="left"/>
        <w:tblInd w:w="0" w:type="dxa"/>
        <w:tblLayout w:type="fixed"/>
        <w:tblCellMar>
          <w:top w:w="28" w:type="dxa"/>
          <w:left w:w="28" w:type="dxa"/>
          <w:bottom w:w="28" w:type="dxa"/>
          <w:right w:w="28" w:type="dxa"/>
        </w:tblCellMar>
      </w:tblPr>
      <w:tblGrid>
        <w:gridCol w:w="1744"/>
        <w:gridCol w:w="1532"/>
        <w:gridCol w:w="1538"/>
        <w:gridCol w:w="350"/>
        <w:gridCol w:w="1832"/>
        <w:gridCol w:w="158"/>
        <w:gridCol w:w="109"/>
        <w:gridCol w:w="109"/>
        <w:gridCol w:w="109"/>
        <w:gridCol w:w="360"/>
        <w:gridCol w:w="1509"/>
        <w:gridCol w:w="245"/>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September 30, 2024</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beginning of year</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1,008,884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914,763 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43,153</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39,068 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incurred</w:t>
            </w:r>
          </w:p>
        </w:tc>
        <w:tc>
          <w:tcPr>
            <w:tcW w:w="2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14,267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17,975 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7,489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settled</w:t>
            </w:r>
          </w:p>
        </w:tc>
        <w:tc>
          <w:tcPr>
            <w:tcW w:w="2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(32,145)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(1,982)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due to translation of foreign currencies</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6,147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end of period</w:t>
            </w:r>
          </w:p>
        </w:tc>
        <w:tc>
          <w:tcPr>
            <w:tcW w:w="2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1,047,795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969,658 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portion of liability</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(45,876)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(39,693)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portion of liability</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1,001,919</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929,965 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bookmarkStart w:id="3" w:name="i9e45cfda234f455b8222d29d6246bfd0_1207"/>
      <w:bookmarkEnd w:id="3"/>
      <w:r>
        <w:rPr>
          <w:rFonts w:ascii="Avenir Next LT Pro;sans-serif" w:hAnsi="Avenir Next LT Pro;sans-serif"/>
          <w:b/>
          <w:color w:val="000000"/>
          <w:sz w:val="20"/>
        </w:rPr>
        <w:t>Note H – Employee and Retiree Benefit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defined benefit pension plans that are principally noncontributory and cover most full-time employees. All pension plans are funded except for the U.S. and Canadian nonqualified supplemental plans and 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4155"/>
                <wp:effectExtent l="0" t="0" r="0" b="0"/>
                <wp:wrapNone/>
                <wp:docPr id="15" name="Frame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H – Employee and Retiree Benefit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 that follows provides the components of net periodic benefit expense for the three-month and nine-month periods ended September 30, 2025 and 2024.</w:t>
      </w:r>
    </w:p>
    <w:tbl>
      <w:tblPr>
        <w:tblW w:w="10205" w:type="dxa"/>
        <w:jc w:val="center"/>
        <w:tblInd w:w="0" w:type="dxa"/>
        <w:tblLayout w:type="fixed"/>
        <w:tblCellMar>
          <w:top w:w="28" w:type="dxa"/>
          <w:left w:w="28" w:type="dxa"/>
          <w:bottom w:w="28" w:type="dxa"/>
          <w:right w:w="28" w:type="dxa"/>
        </w:tblCellMar>
      </w:tblPr>
      <w:tblGrid>
        <w:gridCol w:w="1378"/>
        <w:gridCol w:w="1196"/>
        <w:gridCol w:w="1200"/>
        <w:gridCol w:w="241"/>
        <w:gridCol w:w="916"/>
        <w:gridCol w:w="109"/>
        <w:gridCol w:w="109"/>
        <w:gridCol w:w="109"/>
        <w:gridCol w:w="109"/>
        <w:gridCol w:w="226"/>
        <w:gridCol w:w="826"/>
        <w:gridCol w:w="109"/>
        <w:gridCol w:w="109"/>
        <w:gridCol w:w="109"/>
        <w:gridCol w:w="109"/>
        <w:gridCol w:w="326"/>
        <w:gridCol w:w="1208"/>
        <w:gridCol w:w="147"/>
        <w:gridCol w:w="147"/>
        <w:gridCol w:w="147"/>
        <w:gridCol w:w="147"/>
        <w:gridCol w:w="305"/>
        <w:gridCol w:w="711"/>
        <w:gridCol w:w="212"/>
      </w:tblGrid>
      <w:tr>
        <w:trPr/>
        <w:tc>
          <w:tcPr>
            <w:tcW w:w="137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September 30,</w:t>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Other Postretirement Benefits</w:t>
            </w:r>
          </w:p>
        </w:tc>
      </w:tr>
      <w:tr>
        <w:trPr/>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708</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defined contribution provision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prior service (credit) cost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Recognized actuarial (gain) loss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(1,057)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periodic benefit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(398)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 September 30,</w:t>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Other Postretirement Benefits</w:t>
            </w:r>
          </w:p>
        </w:tc>
      </w:tr>
      <w:tr>
        <w:trPr/>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252</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2,124</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defined contribution provision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prior service (credit) cost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Recognized actuarial (gain)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(3,170)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Total net periodic benefit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(1,193)</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components of net periodic benefit expense, other than the service cost, are recorded in “Other income (loss)” in the Consolidated Statements of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nine-month period ended September 30, 2025, the Company made contributions of $26.4 million to its defined benefit pension and postretirement benefit plans. Remaining funding in 2025 for the Company’s defined benefit pension and postretirement plans is anticipated to be $4.5 million.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expenses for all share-based and cash-based incentive compensation in the Consolidated Statements of Operations using a fair value-based measurement method over the applicable vesting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 </w:t>
      </w:r>
    </w:p>
    <w:p>
      <w:pPr>
        <w:pStyle w:val="TextBody"/>
        <w:bidi w:val="0"/>
        <w:spacing w:lineRule="auto" w:line="288" w:before="120" w:after="120"/>
        <w:jc w:val="left"/>
        <w:rPr/>
      </w:pPr>
      <w:r>
        <w:rPr>
          <w:rFonts w:ascii="Avenir Next LT Pro;sans-serif" w:hAnsi="Avenir Next LT Pro;sans-serif"/>
          <w:b w:val="false"/>
          <w:color w:val="000000"/>
          <w:sz w:val="20"/>
        </w:rPr>
        <w:t xml:space="preserve">In May 2025, the Company’s shareholders approved the 2025 Long-Term Incentive Plan (the 2025 Long-Term Plan) to replace the 2020 Long-Term Incentive Plan (the 2020 Long-Term Plan). All awards granted on or after May 14, 2025, will be made under the 2025 Long-Term Plan. The 2025 Long-Term Plan will expire in 2035 and authorizes the issuance of up to 3.885 million shares of common stock over its term. Additional information on the 2025 Long-Term Plan can be found in </w:t>
      </w:r>
      <w:hyperlink r:id="rId3">
        <w:r>
          <w:rPr>
            <w:rStyle w:val="InternetLink"/>
            <w:rFonts w:ascii="Avenir Next LT Pro;sans-serif" w:hAnsi="Avenir Next LT Pro;sans-serif"/>
            <w:b w:val="false"/>
            <w:color w:val="0000FF"/>
            <w:sz w:val="20"/>
            <w:u w:val="single"/>
          </w:rPr>
          <w:t>Exhibit A to definitive proxy statement filed on March 28, 2025</w:t>
        </w:r>
      </w:hyperlink>
      <w:r>
        <w:rPr>
          <w:rFonts w:ascii="Avenir Next LT Pro;sans-serif" w:hAnsi="Avenir Next LT Pro;sans-serif"/>
          <w:b w:val="false"/>
          <w:color w:val="000000"/>
          <w:sz w:val="20"/>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Similar to the 2020 Long-Term Plan, the 2025 Long-Term Plan authorizes the Committee to make grants of the Company’s common stock and stock-based awards to employees. These grants may be in the form of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4155"/>
                <wp:effectExtent l="0" t="0" r="0" b="0"/>
                <wp:wrapNone/>
                <wp:docPr id="16" name="Frame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options (nonqualified or incentive), stock appreciation rights (SARs), restricted stock, restricted stock units (RSUs), performance units, performance shares, dividend equivalents and other stock-based incentives.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Shares issued pursuant to awards granted under the 2025 Long-Term Plan and the previous 2020 Long-Term Plan, may be shares that are authorized and unissued or shares that were reacquired by the Company, including shares repurchased on the open market. Share awards that have been canceled, expired, forfeited, or otherwise not issued will not count as shares issued under both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nine months ended September 30, 2025, the Committee granted the following awards from the 2020 Long-Term Plan and the 2025 Long-Term Plan: </w:t>
      </w:r>
    </w:p>
    <w:tbl>
      <w:tblPr>
        <w:tblW w:w="10205"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561"/>
        <w:gridCol w:w="561"/>
        <w:gridCol w:w="563"/>
        <w:gridCol w:w="109"/>
        <w:gridCol w:w="109"/>
        <w:gridCol w:w="109"/>
        <w:gridCol w:w="484"/>
        <w:gridCol w:w="378"/>
        <w:gridCol w:w="352"/>
        <w:gridCol w:w="109"/>
        <w:gridCol w:w="109"/>
        <w:gridCol w:w="109"/>
        <w:gridCol w:w="330"/>
        <w:gridCol w:w="1030"/>
        <w:gridCol w:w="159"/>
        <w:gridCol w:w="109"/>
        <w:gridCol w:w="109"/>
        <w:gridCol w:w="109"/>
        <w:gridCol w:w="562"/>
        <w:gridCol w:w="562"/>
        <w:gridCol w:w="806"/>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(TSR)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Monte Carlo</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(ROACE) </w:t>
            </w:r>
            <w:r>
              <w:rPr>
                <w:rFonts w:ascii="Avenir Next LT Pro;sans-serif" w:hAnsi="Avenir Next LT Pro;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(Stock-Settled)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(Cash-Settled)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771,390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(TSR)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August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Monte Carlo</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(ROACE) </w:t>
            </w:r>
            <w:r>
              <w:rPr>
                <w:rFonts w:ascii="Avenir Next LT Pro;sans-serif" w:hAnsi="Avenir Next LT Pro;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August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(Stock-Settled)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August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Performance-based RSUs are tied to the achievement of Total Shareholder Return (TSR) and Return on Average Capital Employed (ROACE) performance goals and are scheduled to vest three years from the date of grant if performance conditions are met. </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Time-based RSUs generally vest on the third anniversary of the date of grant.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maintains a Stock Plan for Non-Employee Directors (NEDs) that permits the issuance of RSUs, stock options, or a combination thereof to the Company’s Non-Employee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has outstanding incentive awards issued to Directors under the 2021 Stock Plan for NEDs (the 2021 NED Plan) and the 2018 Stock Plan for NEDs. All awards granted on or after May 12, 2021 were made under the 2021 NED Plan.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nine months ended September 30, 2025, the Committee granted the following awards to Non-Employee Directors under the 2021 NED Plan: </w:t>
      </w:r>
    </w:p>
    <w:tbl>
      <w:tblPr>
        <w:tblW w:w="10205" w:type="dxa"/>
        <w:jc w:val="left"/>
        <w:tblInd w:w="0" w:type="dxa"/>
        <w:tblLayout w:type="fixed"/>
        <w:tblCellMar>
          <w:top w:w="28" w:type="dxa"/>
          <w:left w:w="28" w:type="dxa"/>
          <w:bottom w:w="28" w:type="dxa"/>
          <w:right w:w="28" w:type="dxa"/>
        </w:tblCellMar>
      </w:tblPr>
      <w:tblGrid>
        <w:gridCol w:w="669"/>
        <w:gridCol w:w="514"/>
        <w:gridCol w:w="431"/>
        <w:gridCol w:w="109"/>
        <w:gridCol w:w="109"/>
        <w:gridCol w:w="109"/>
        <w:gridCol w:w="648"/>
        <w:gridCol w:w="648"/>
        <w:gridCol w:w="650"/>
        <w:gridCol w:w="109"/>
        <w:gridCol w:w="109"/>
        <w:gridCol w:w="109"/>
        <w:gridCol w:w="628"/>
        <w:gridCol w:w="503"/>
        <w:gridCol w:w="443"/>
        <w:gridCol w:w="109"/>
        <w:gridCol w:w="109"/>
        <w:gridCol w:w="109"/>
        <w:gridCol w:w="369"/>
        <w:gridCol w:w="1152"/>
        <w:gridCol w:w="177"/>
        <w:gridCol w:w="109"/>
        <w:gridCol w:w="109"/>
        <w:gridCol w:w="109"/>
        <w:gridCol w:w="602"/>
        <w:gridCol w:w="602"/>
        <w:gridCol w:w="861"/>
      </w:tblGrid>
      <w:tr>
        <w:trPr/>
        <w:tc>
          <w:tcPr>
            <w:tcW w:w="6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1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Non-Employee Directors’ time-based RSUs are scheduled to vest on the first anniversary of the date of grant. Non-Employee Directors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 xml:space="preserve">Effective January 1, 2024, Non-Employee Directors can elect to receive their annual retainers in the form of deferred RSUs. Director fees that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4155"/>
                <wp:effectExtent l="0" t="0" r="0" b="0"/>
                <wp:wrapNone/>
                <wp:docPr id="17" name="Frame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Amounts recognized in the financial statements with respect to share-based plans are shown in the following table.</w:t>
      </w:r>
    </w:p>
    <w:tbl>
      <w:tblPr>
        <w:tblW w:w="8529" w:type="dxa"/>
        <w:jc w:val="left"/>
        <w:tblInd w:w="0" w:type="dxa"/>
        <w:tblLayout w:type="fixed"/>
        <w:tblCellMar>
          <w:top w:w="28" w:type="dxa"/>
          <w:left w:w="28" w:type="dxa"/>
          <w:bottom w:w="28" w:type="dxa"/>
          <w:right w:w="28" w:type="dxa"/>
        </w:tblCellMar>
      </w:tblPr>
      <w:tblGrid>
        <w:gridCol w:w="2075"/>
        <w:gridCol w:w="1825"/>
        <w:gridCol w:w="1830"/>
        <w:gridCol w:w="241"/>
        <w:gridCol w:w="916"/>
        <w:gridCol w:w="109"/>
        <w:gridCol w:w="109"/>
        <w:gridCol w:w="109"/>
        <w:gridCol w:w="109"/>
        <w:gridCol w:w="226"/>
        <w:gridCol w:w="82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Compensation charged against income before tax benefit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Related income tax benefit recognized in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Certain incentive compensation granted to the Company’s named executive officers, to the extent their total compensation exceeds $1.0 million per executive per year, is not eligible for a U.S. income tax deduction under the current tax law.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J – Net Income (Loss) Per Common Share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attributable to Murphy was used as the numerator in computing both basic and diluted income (loss) per common share for the three-month and nine-month periods ended September 30, 2025 and 2024. The following table reconciles the weighted-average shares outstanding used for these computations.</w:t>
      </w:r>
    </w:p>
    <w:tbl>
      <w:tblPr>
        <w:tblW w:w="10205" w:type="dxa"/>
        <w:jc w:val="left"/>
        <w:tblInd w:w="0" w:type="dxa"/>
        <w:tblLayout w:type="fixed"/>
        <w:tblCellMar>
          <w:top w:w="28" w:type="dxa"/>
          <w:left w:w="28" w:type="dxa"/>
          <w:bottom w:w="28" w:type="dxa"/>
          <w:right w:w="28" w:type="dxa"/>
        </w:tblCellMar>
      </w:tblPr>
      <w:tblGrid>
        <w:gridCol w:w="827"/>
        <w:gridCol w:w="727"/>
        <w:gridCol w:w="728"/>
        <w:gridCol w:w="803"/>
        <w:gridCol w:w="728"/>
        <w:gridCol w:w="174"/>
        <w:gridCol w:w="174"/>
        <w:gridCol w:w="174"/>
        <w:gridCol w:w="174"/>
        <w:gridCol w:w="816"/>
        <w:gridCol w:w="550"/>
        <w:gridCol w:w="175"/>
        <w:gridCol w:w="109"/>
        <w:gridCol w:w="109"/>
        <w:gridCol w:w="109"/>
        <w:gridCol w:w="765"/>
        <w:gridCol w:w="766"/>
        <w:gridCol w:w="183"/>
        <w:gridCol w:w="167"/>
        <w:gridCol w:w="167"/>
        <w:gridCol w:w="167"/>
        <w:gridCol w:w="776"/>
        <w:gridCol w:w="590"/>
        <w:gridCol w:w="247"/>
      </w:tblGrid>
      <w:tr>
        <w:trPr/>
        <w:tc>
          <w:tcPr>
            <w:tcW w:w="8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(Weighted-average shares)</w:t>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 method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142,730,808</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149,384,354 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143,245,219</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151,400,726 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Dilutive restricted stock units </w:t>
            </w:r>
            <w:r>
              <w:rPr>
                <w:rFonts w:ascii="Avenir Next LT Pro;sans-serif" w:hAnsi="Avenir Next LT Pro;sans-serif"/>
                <w:b w:val="false"/>
                <w:color w:val="000000"/>
                <w:sz w:val="13"/>
              </w:rPr>
              <w:t>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968,428 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730,291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1,036,653 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 method</w:t>
            </w:r>
          </w:p>
        </w:tc>
        <w:tc>
          <w:tcPr>
            <w:tcW w:w="15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142,730,808</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150,352,782 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143,975,510</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152,437,379 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Due to a net loss recognized by the Company for the three months ended September 30, 2025, no unvested stock awards were included in the computation of the diluted net income (loss) per common share as the effect would have been antidilutive.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reflects the dilutive restricted stock units during the periods presented but were not included in the computation of diluted shares above because the incremental shares from the assumed conversion were antidilutive.</w:t>
      </w:r>
    </w:p>
    <w:tbl>
      <w:tblPr>
        <w:tblW w:w="10205" w:type="dxa"/>
        <w:jc w:val="left"/>
        <w:tblInd w:w="0" w:type="dxa"/>
        <w:tblLayout w:type="fixed"/>
        <w:tblCellMar>
          <w:top w:w="28" w:type="dxa"/>
          <w:left w:w="28" w:type="dxa"/>
          <w:bottom w:w="28" w:type="dxa"/>
          <w:right w:w="28" w:type="dxa"/>
        </w:tblCellMar>
      </w:tblPr>
      <w:tblGrid>
        <w:gridCol w:w="1557"/>
        <w:gridCol w:w="1371"/>
        <w:gridCol w:w="1375"/>
        <w:gridCol w:w="746"/>
        <w:gridCol w:w="393"/>
        <w:gridCol w:w="331"/>
        <w:gridCol w:w="331"/>
        <w:gridCol w:w="331"/>
        <w:gridCol w:w="331"/>
        <w:gridCol w:w="389"/>
        <w:gridCol w:w="331"/>
        <w:gridCol w:w="333"/>
        <w:gridCol w:w="109"/>
        <w:gridCol w:w="109"/>
        <w:gridCol w:w="109"/>
        <w:gridCol w:w="241"/>
        <w:gridCol w:w="241"/>
        <w:gridCol w:w="210"/>
        <w:gridCol w:w="202"/>
        <w:gridCol w:w="202"/>
        <w:gridCol w:w="202"/>
        <w:gridCol w:w="241"/>
        <w:gridCol w:w="218"/>
        <w:gridCol w:w="302"/>
      </w:tblGrid>
      <w:tr>
        <w:trPr/>
        <w:tc>
          <w:tcPr>
            <w:tcW w:w="15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Antidilutive restricted stock units excluded from diluted shares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908,021</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K – Income Taxes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effective income tax rate is calculated as the amount of income tax expense (benefit) divided by income (loss) from continuing operations before income taxes. For the three-month and nine-month periods ended September 30, 2025 and 2024, the Company’s effective income tax rates were as follows:</w:t>
      </w:r>
    </w:p>
    <w:tbl>
      <w:tblPr>
        <w:tblW w:w="5785" w:type="dxa"/>
        <w:jc w:val="left"/>
        <w:tblInd w:w="0" w:type="dxa"/>
        <w:tblLayout w:type="fixed"/>
        <w:tblCellMar>
          <w:top w:w="28" w:type="dxa"/>
          <w:left w:w="28" w:type="dxa"/>
          <w:bottom w:w="28" w:type="dxa"/>
          <w:right w:w="28" w:type="dxa"/>
        </w:tblCellMar>
      </w:tblPr>
      <w:tblGrid>
        <w:gridCol w:w="1311"/>
        <w:gridCol w:w="1149"/>
        <w:gridCol w:w="1155"/>
        <w:gridCol w:w="363"/>
        <w:gridCol w:w="363"/>
        <w:gridCol w:w="368"/>
        <w:gridCol w:w="109"/>
        <w:gridCol w:w="109"/>
        <w:gridCol w:w="109"/>
        <w:gridCol w:w="218"/>
        <w:gridCol w:w="218"/>
        <w:gridCol w:w="313"/>
      </w:tblGrid>
      <w:tr>
        <w:trPr/>
        <w:tc>
          <w:tcPr>
            <w:tcW w:w="13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 September 30,</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Nine months ended September 30,</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three-month period ended September 30, 2025 was below the U.S. statutory tax rate of 21% due to the impact of the Company's reported pre-tax loss. Several factors affect the rate including: certain expenses, including exploration and other expenses in certain foreign jurisdictions, for which no income tax benefits are currently available, foreign currency translation adjustments, no tax benefit applied to the pretax loss of the noncontrolling interest in MP GOM, and the effects of income generated in foreign tax jurisdictions, certain of which have income tax rates higher than the U.S. federal rate. The negative impact on the effective tax rate was partially offset by the tax effect of stock-based compensation and U.S. state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4155"/>
                <wp:effectExtent l="0" t="0" r="0" b="0"/>
                <wp:wrapNone/>
                <wp:docPr id="18" name="Frame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K – Income Taxes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three-month period ended September 30, 2024 was below the U.S. statutory tax rate of 21% primarily due to an income tax deduction for prior years’ Australia exploration spend, which resulted in an income tax benefit of $33.7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nine-month period ended September 30, 2025 was above the U.S. statutory tax rate of 21% primarily due to several factors including: the effects of income generated in foreign tax jurisdictions, certain of which have income tax rates higher than the U.S. federal rate; U.S. state tax expense; stock-based compensation; foreign currency translation adjustments; and certain expenses, including exploration and other expenses in certain foreign jurisdictions, for which no income tax benefits are currently available. These impacts were partially offset by no tax applied to the pretax income of the noncontrolling interest in MP GOM, and a Canada tax credit received.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nine-month period ended September 30, 2024 was below the U.S. statutory tax rate of 21% primarily due to an income tax deduction for prior years’ Australia exploration spend and no tax applied to the pretax income of the noncontrolling interest in MP GOM.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September 30, 2025, the earliest years remaining open for audit and/or settlement in our major taxing jurisdictions are as follows: U.S. – 2016; Canada – 2016; and Malaysia – 2018. The Company has retained certain possible liabilities and rights to income tax receivables relating to Malaysia for the years prior to 2019.</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July 4, 2025, the current U.S. Administration signed into law the legislation commonly referred to as the One Big Beautiful Bill Act (OBBBA), which includes a broad range of tax reform provisions affecting corporations. The OBBBA, among other changes, permanently reinstates the "bonus" depreciation provisions that allow for the immediate expensing of 100% of the cost of certain qualified property acquired and placed in service after January 19, 2025, permanently reinstates the elective immediate expensing of domestic research and experimental expenditures paid or incurred in tax years beginning after December 31, 2024 (with a special transition rule that allows accelerated deduction of the remaining unamortized balance of capitalized domestic research and experimental expenditures), and permanently relaxes the limitation on the deductibility of business interest effective for tax years beginning after December 31, 2024. The OBBBA also modifies certain international tax provisions effective for tax years beginning after December 31, 2025. The Company evaluated the effects of the OBBBA in accordance with ASC 740, Income Taxes, and determined that the legislation did not have a material impact on its consolidated financial statements for the period ended September 30, 2025. The Company will continue to monitor any subsequent regulatory guidance related to the OBBBA.</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L – Financial Instruments and Risk Management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4155"/>
                <wp:effectExtent l="0" t="0" r="0" b="0"/>
                <wp:wrapNone/>
                <wp:docPr id="19" name="Frame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Foreign Currency Exchange Risks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is subject to foreign currency exchange risk associated with operations in countries outside the U.S. The Company had no foreign currency exchange derivatives outstanding at September 30, 2025 and 2024.</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Commodity Price Risks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 is subject to commodity price risk related to products it produces and sells. During the third quarter of 2025, the Company had the following open natural gas swap contracts. Under the swaps contracts, which mature monthly, the Company pays the average monthly price in effect and receives the fixed contract price on a notional amount of sales volume, thereby fixing the price for the commodity sold.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At September 30, 2025, volumes per day associated with outstanding natural gas derivative contracts and the weighted average prices for these contracts are as follows:</w:t>
      </w:r>
    </w:p>
    <w:tbl>
      <w:tblPr>
        <w:tblW w:w="10205" w:type="dxa"/>
        <w:jc w:val="left"/>
        <w:tblInd w:w="0" w:type="dxa"/>
        <w:tblLayout w:type="fixed"/>
        <w:tblCellMar>
          <w:top w:w="28" w:type="dxa"/>
          <w:left w:w="28" w:type="dxa"/>
          <w:bottom w:w="28" w:type="dxa"/>
          <w:right w:w="28" w:type="dxa"/>
        </w:tblCellMar>
      </w:tblPr>
      <w:tblGrid>
        <w:gridCol w:w="907"/>
        <w:gridCol w:w="756"/>
        <w:gridCol w:w="760"/>
        <w:gridCol w:w="421"/>
        <w:gridCol w:w="421"/>
        <w:gridCol w:w="429"/>
        <w:gridCol w:w="450"/>
        <w:gridCol w:w="450"/>
        <w:gridCol w:w="451"/>
        <w:gridCol w:w="597"/>
        <w:gridCol w:w="597"/>
        <w:gridCol w:w="599"/>
        <w:gridCol w:w="281"/>
        <w:gridCol w:w="731"/>
        <w:gridCol w:w="135"/>
        <w:gridCol w:w="369"/>
        <w:gridCol w:w="369"/>
        <w:gridCol w:w="371"/>
        <w:gridCol w:w="323"/>
        <w:gridCol w:w="323"/>
        <w:gridCol w:w="465"/>
      </w:tblGrid>
      <w:tr>
        <w:trPr/>
        <w:tc>
          <w:tcPr>
            <w:tcW w:w="90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NYMEX Henry Hub</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 MMCF/d</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10/1/2025</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12/31/2025</w:t>
            </w:r>
          </w:p>
        </w:tc>
      </w:tr>
    </w:tbl>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During the nine months ended September 30, 2025 and September 30, 2024, the Company did not have any crude oil derivative contracts. At September 30, 2024, the Company had natural gas derivative contracts outstanding for 20 MMCF/d at an average price of $3.20/MCF.</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At September 30, 2025 and December 31, 2024, the fair value of derivative instruments not designated as hedging instruments are presented in the following table:</w:t>
      </w:r>
    </w:p>
    <w:tbl>
      <w:tblPr>
        <w:tblW w:w="10205" w:type="dxa"/>
        <w:jc w:val="left"/>
        <w:tblInd w:w="0" w:type="dxa"/>
        <w:tblLayout w:type="fixed"/>
        <w:tblCellMar>
          <w:top w:w="28" w:type="dxa"/>
          <w:left w:w="28" w:type="dxa"/>
          <w:bottom w:w="28" w:type="dxa"/>
          <w:right w:w="28" w:type="dxa"/>
        </w:tblCellMar>
      </w:tblPr>
      <w:tblGrid>
        <w:gridCol w:w="993"/>
        <w:gridCol w:w="871"/>
        <w:gridCol w:w="873"/>
        <w:gridCol w:w="109"/>
        <w:gridCol w:w="109"/>
        <w:gridCol w:w="109"/>
        <w:gridCol w:w="794"/>
        <w:gridCol w:w="774"/>
        <w:gridCol w:w="777"/>
        <w:gridCol w:w="136"/>
        <w:gridCol w:w="136"/>
        <w:gridCol w:w="136"/>
        <w:gridCol w:w="458"/>
        <w:gridCol w:w="1456"/>
        <w:gridCol w:w="199"/>
        <w:gridCol w:w="136"/>
        <w:gridCol w:w="136"/>
        <w:gridCol w:w="136"/>
        <w:gridCol w:w="370"/>
        <w:gridCol w:w="1246"/>
        <w:gridCol w:w="251"/>
      </w:tblGrid>
      <w:tr>
        <w:trPr/>
        <w:tc>
          <w:tcPr>
            <w:tcW w:w="9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Asset (Liability) Derivatives Fair Value</w:t>
            </w:r>
          </w:p>
        </w:tc>
      </w:tr>
      <w:tr>
        <w:trPr/>
        <w:tc>
          <w:tcPr>
            <w:tcW w:w="2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Balance Sheet Location</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2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Accounts receivable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2,197</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Accounts payable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For the three-month and nine-month periods ended September 30, 2025 and 2024, the gains and losses recognized in the Consolidated Statements of Operations for derivative instruments not designated as hedging instruments are presented in the following table:</w:t>
      </w:r>
    </w:p>
    <w:tbl>
      <w:tblPr>
        <w:tblW w:w="10205" w:type="dxa"/>
        <w:jc w:val="left"/>
        <w:tblInd w:w="0" w:type="dxa"/>
        <w:tblLayout w:type="fixed"/>
        <w:tblCellMar>
          <w:top w:w="28" w:type="dxa"/>
          <w:left w:w="28" w:type="dxa"/>
          <w:bottom w:w="28" w:type="dxa"/>
          <w:right w:w="28" w:type="dxa"/>
        </w:tblCellMar>
      </w:tblPr>
      <w:tblGrid>
        <w:gridCol w:w="577"/>
        <w:gridCol w:w="497"/>
        <w:gridCol w:w="498"/>
        <w:gridCol w:w="109"/>
        <w:gridCol w:w="109"/>
        <w:gridCol w:w="109"/>
        <w:gridCol w:w="574"/>
        <w:gridCol w:w="574"/>
        <w:gridCol w:w="576"/>
        <w:gridCol w:w="109"/>
        <w:gridCol w:w="109"/>
        <w:gridCol w:w="109"/>
        <w:gridCol w:w="109"/>
        <w:gridCol w:w="109"/>
        <w:gridCol w:w="122"/>
        <w:gridCol w:w="122"/>
        <w:gridCol w:w="271"/>
        <w:gridCol w:w="879"/>
        <w:gridCol w:w="122"/>
        <w:gridCol w:w="109"/>
        <w:gridCol w:w="109"/>
        <w:gridCol w:w="109"/>
        <w:gridCol w:w="245"/>
        <w:gridCol w:w="801"/>
        <w:gridCol w:w="118"/>
        <w:gridCol w:w="118"/>
        <w:gridCol w:w="118"/>
        <w:gridCol w:w="118"/>
        <w:gridCol w:w="261"/>
        <w:gridCol w:w="847"/>
        <w:gridCol w:w="118"/>
        <w:gridCol w:w="109"/>
        <w:gridCol w:w="109"/>
        <w:gridCol w:w="109"/>
        <w:gridCol w:w="226"/>
        <w:gridCol w:w="733"/>
        <w:gridCol w:w="164"/>
      </w:tblGrid>
      <w:tr>
        <w:trPr/>
        <w:tc>
          <w:tcPr>
            <w:tcW w:w="57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Gain (Loss)</w:t>
            </w:r>
          </w:p>
        </w:tc>
        <w:tc>
          <w:tcPr>
            <w:tcW w:w="1450" w:type="dxa"/>
            <w:gridSpan w:val="6"/>
            <w:tcBorders/>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 September 30,</w:t>
            </w:r>
          </w:p>
        </w:tc>
        <w:tc>
          <w:tcPr>
            <w:tcW w:w="1450" w:type="dxa"/>
            <w:gridSpan w:val="6"/>
            <w:tcBorders/>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(loss)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5,722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7,071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4155"/>
                <wp:effectExtent l="0" t="0" r="0" b="0"/>
                <wp:wrapNone/>
                <wp:docPr id="20" name="Frame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fair value measurements for these assets and liabilities at September 30, 2025 and December 31, 2024, are shown in the following table.</w:t>
      </w:r>
    </w:p>
    <w:tbl>
      <w:tblPr>
        <w:tblW w:w="12535" w:type="dxa"/>
        <w:jc w:val="left"/>
        <w:tblInd w:w="0" w:type="dxa"/>
        <w:tblLayout w:type="fixed"/>
        <w:tblCellMar>
          <w:top w:w="28" w:type="dxa"/>
          <w:left w:w="28" w:type="dxa"/>
          <w:bottom w:w="28" w:type="dxa"/>
          <w:right w:w="28" w:type="dxa"/>
        </w:tblCellMar>
      </w:tblPr>
      <w:tblGrid>
        <w:gridCol w:w="556"/>
        <w:gridCol w:w="397"/>
        <w:gridCol w:w="398"/>
        <w:gridCol w:w="109"/>
        <w:gridCol w:w="109"/>
        <w:gridCol w:w="109"/>
        <w:gridCol w:w="241"/>
        <w:gridCol w:w="916"/>
        <w:gridCol w:w="109"/>
        <w:gridCol w:w="109"/>
        <w:gridCol w:w="109"/>
        <w:gridCol w:w="109"/>
        <w:gridCol w:w="241"/>
        <w:gridCol w:w="781"/>
        <w:gridCol w:w="109"/>
        <w:gridCol w:w="109"/>
        <w:gridCol w:w="109"/>
        <w:gridCol w:w="109"/>
        <w:gridCol w:w="241"/>
        <w:gridCol w:w="406"/>
        <w:gridCol w:w="109"/>
        <w:gridCol w:w="109"/>
        <w:gridCol w:w="109"/>
        <w:gridCol w:w="109"/>
        <w:gridCol w:w="241"/>
        <w:gridCol w:w="916"/>
        <w:gridCol w:w="109"/>
        <w:gridCol w:w="109"/>
        <w:gridCol w:w="109"/>
        <w:gridCol w:w="109"/>
        <w:gridCol w:w="226"/>
        <w:gridCol w:w="826"/>
        <w:gridCol w:w="109"/>
        <w:gridCol w:w="109"/>
        <w:gridCol w:w="109"/>
        <w:gridCol w:w="109"/>
        <w:gridCol w:w="226"/>
        <w:gridCol w:w="706"/>
        <w:gridCol w:w="109"/>
        <w:gridCol w:w="109"/>
        <w:gridCol w:w="109"/>
        <w:gridCol w:w="109"/>
        <w:gridCol w:w="226"/>
        <w:gridCol w:w="406"/>
        <w:gridCol w:w="109"/>
        <w:gridCol w:w="109"/>
        <w:gridCol w:w="109"/>
        <w:gridCol w:w="109"/>
        <w:gridCol w:w="226"/>
        <w:gridCol w:w="826"/>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Nonqualified employee savings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21,168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21,168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commodity swaps receivable as of September 30, 2025 was $2.2 million and recorded as “Accounts receivable” in the Consolidated Balance Sheets. The fair value of commodity swaps was based on active market quotes for NYMEX Henry Hub natural gas. The before tax income effect of changes in the fair value of natural gas derivative contracts is recorded in “Gain (loss) on derivative instruments”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 offsets certain assets and liabilities related to derivative contracts when the legal right of offset exists. There were no offsetting positions recorded at September 30, 2025 and December 31, 2024.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following table presents the carrying amounts and estimated fair values of financial instruments held by the Company at September 30, 2025 and December 31, 2024.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were minimal.</w:t>
      </w:r>
    </w:p>
    <w:tbl>
      <w:tblPr>
        <w:tblW w:w="9945" w:type="dxa"/>
        <w:jc w:val="left"/>
        <w:tblInd w:w="0" w:type="dxa"/>
        <w:tblLayout w:type="fixed"/>
        <w:tblCellMar>
          <w:top w:w="28" w:type="dxa"/>
          <w:left w:w="28" w:type="dxa"/>
          <w:bottom w:w="28" w:type="dxa"/>
          <w:right w:w="28" w:type="dxa"/>
        </w:tblCellMar>
      </w:tblPr>
      <w:tblGrid>
        <w:gridCol w:w="1005"/>
        <w:gridCol w:w="884"/>
        <w:gridCol w:w="886"/>
        <w:gridCol w:w="241"/>
        <w:gridCol w:w="1261"/>
        <w:gridCol w:w="109"/>
        <w:gridCol w:w="109"/>
        <w:gridCol w:w="109"/>
        <w:gridCol w:w="109"/>
        <w:gridCol w:w="241"/>
        <w:gridCol w:w="1261"/>
        <w:gridCol w:w="109"/>
        <w:gridCol w:w="109"/>
        <w:gridCol w:w="109"/>
        <w:gridCol w:w="109"/>
        <w:gridCol w:w="226"/>
        <w:gridCol w:w="1126"/>
        <w:gridCol w:w="109"/>
        <w:gridCol w:w="109"/>
        <w:gridCol w:w="109"/>
        <w:gridCol w:w="109"/>
        <w:gridCol w:w="226"/>
        <w:gridCol w:w="11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w:t>
              <w:br/>
              <w:t>Value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Financial liabilities:</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and 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1,426,153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1,366,561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4155"/>
                <wp:effectExtent l="0" t="0" r="0" b="0"/>
                <wp:wrapNone/>
                <wp:docPr id="21" name="Frame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Nonrecurring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For the three and nine months ended September 30, 2025, an impairment charge of $115.0 million ($92.0 million excluding NCI) was triggered for the Dalmatian field in the Gulf of America due to reserve reductions, as certain projects in the field were less competitive for capital allocation.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There were no impairment expenses incurred in the three months ended September 30, 2024. In the nine months ended September 30, 2024, an impairment charge of $34.5 million was triggered for the Calliope field, due to operational issues that led to reserve reductions.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fair values were determined by internal discounted cash flow models using estimates of future production, prices, costs and discount rates believed to be consistent with those used by principal market participants in the applicable region.</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fair value information associated with the impaired properties is presented in the following tables.</w:t>
      </w:r>
    </w:p>
    <w:tbl>
      <w:tblPr>
        <w:tblW w:w="10205" w:type="dxa"/>
        <w:jc w:val="left"/>
        <w:tblInd w:w="0" w:type="dxa"/>
        <w:tblLayout w:type="fixed"/>
        <w:tblCellMar>
          <w:top w:w="28" w:type="dxa"/>
          <w:left w:w="28" w:type="dxa"/>
          <w:bottom w:w="28" w:type="dxa"/>
          <w:right w:w="28" w:type="dxa"/>
        </w:tblCellMar>
      </w:tblPr>
      <w:tblGrid>
        <w:gridCol w:w="1097"/>
        <w:gridCol w:w="965"/>
        <w:gridCol w:w="968"/>
        <w:gridCol w:w="279"/>
        <w:gridCol w:w="470"/>
        <w:gridCol w:w="125"/>
        <w:gridCol w:w="109"/>
        <w:gridCol w:w="109"/>
        <w:gridCol w:w="109"/>
        <w:gridCol w:w="279"/>
        <w:gridCol w:w="470"/>
        <w:gridCol w:w="125"/>
        <w:gridCol w:w="109"/>
        <w:gridCol w:w="109"/>
        <w:gridCol w:w="109"/>
        <w:gridCol w:w="241"/>
        <w:gridCol w:w="916"/>
        <w:gridCol w:w="109"/>
        <w:gridCol w:w="109"/>
        <w:gridCol w:w="109"/>
        <w:gridCol w:w="109"/>
        <w:gridCol w:w="241"/>
        <w:gridCol w:w="1051"/>
        <w:gridCol w:w="109"/>
        <w:gridCol w:w="109"/>
        <w:gridCol w:w="109"/>
        <w:gridCol w:w="109"/>
        <w:gridCol w:w="241"/>
        <w:gridCol w:w="1051"/>
        <w:gridCol w:w="160"/>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Nine Months Ended September 30, 2025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Net Book</w:t>
              <w:br/>
              <w:t>Value</w:t>
              <w:br/>
              <w:t>Prior to</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br/>
              <w:t>Pretax</w:t>
              <w:br/>
              <w:t>Impairment</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color w:val="000000"/>
                <w:sz w:val="20"/>
              </w:rPr>
              <w:t>)</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Impaired proved properties</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157,399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115,002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75" w:type="dxa"/>
        <w:jc w:val="left"/>
        <w:tblInd w:w="0" w:type="dxa"/>
        <w:tblLayout w:type="fixed"/>
        <w:tblCellMar>
          <w:top w:w="28" w:type="dxa"/>
          <w:left w:w="28" w:type="dxa"/>
          <w:bottom w:w="28" w:type="dxa"/>
          <w:right w:w="28" w:type="dxa"/>
        </w:tblCellMar>
      </w:tblPr>
      <w:tblGrid>
        <w:gridCol w:w="1140"/>
        <w:gridCol w:w="1003"/>
        <w:gridCol w:w="1006"/>
        <w:gridCol w:w="247"/>
        <w:gridCol w:w="444"/>
        <w:gridCol w:w="119"/>
        <w:gridCol w:w="109"/>
        <w:gridCol w:w="109"/>
        <w:gridCol w:w="109"/>
        <w:gridCol w:w="247"/>
        <w:gridCol w:w="444"/>
        <w:gridCol w:w="119"/>
        <w:gridCol w:w="109"/>
        <w:gridCol w:w="109"/>
        <w:gridCol w:w="109"/>
        <w:gridCol w:w="226"/>
        <w:gridCol w:w="526"/>
        <w:gridCol w:w="109"/>
        <w:gridCol w:w="109"/>
        <w:gridCol w:w="109"/>
        <w:gridCol w:w="109"/>
        <w:gridCol w:w="242"/>
        <w:gridCol w:w="886"/>
        <w:gridCol w:w="118"/>
        <w:gridCol w:w="109"/>
        <w:gridCol w:w="109"/>
        <w:gridCol w:w="109"/>
        <w:gridCol w:w="241"/>
        <w:gridCol w:w="884"/>
        <w:gridCol w:w="166"/>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Nine Months Ended September 30, 2024</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 Book</w:t>
              <w:br/>
              <w:t>Value</w:t>
              <w:br/>
              <w:t>Prior to</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br/>
              <w:t>Pretax</w:t>
              <w:br/>
              <w:t>Impairment</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color w:val="000000"/>
                <w:sz w:val="20"/>
              </w:rPr>
              <w:t>)</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w:t>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Impaired proved properties</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M – Accumulated Other Comprehensive Loss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components of “Accumulated other comprehensive loss” on the Consolidated Balance Sheets at December 31, 2024 and September 30, 2025, and the changes during the nine-month period ended September 30, 2025, are presented net of taxes in the following table.</w:t>
      </w:r>
    </w:p>
    <w:tbl>
      <w:tblPr>
        <w:tblW w:w="10205" w:type="dxa"/>
        <w:jc w:val="left"/>
        <w:tblInd w:w="0" w:type="dxa"/>
        <w:tblLayout w:type="fixed"/>
        <w:tblCellMar>
          <w:top w:w="28" w:type="dxa"/>
          <w:left w:w="28" w:type="dxa"/>
          <w:bottom w:w="28" w:type="dxa"/>
          <w:right w:w="28" w:type="dxa"/>
        </w:tblCellMar>
      </w:tblPr>
      <w:tblGrid>
        <w:gridCol w:w="1649"/>
        <w:gridCol w:w="1340"/>
        <w:gridCol w:w="1343"/>
        <w:gridCol w:w="265"/>
        <w:gridCol w:w="1267"/>
        <w:gridCol w:w="119"/>
        <w:gridCol w:w="109"/>
        <w:gridCol w:w="109"/>
        <w:gridCol w:w="109"/>
        <w:gridCol w:w="303"/>
        <w:gridCol w:w="1361"/>
        <w:gridCol w:w="138"/>
        <w:gridCol w:w="109"/>
        <w:gridCol w:w="109"/>
        <w:gridCol w:w="109"/>
        <w:gridCol w:w="109"/>
        <w:gridCol w:w="109"/>
        <w:gridCol w:w="241"/>
        <w:gridCol w:w="1148"/>
        <w:gridCol w:w="159"/>
      </w:tblGrid>
      <w:tr>
        <w:trPr/>
        <w:tc>
          <w:tcPr>
            <w:tcW w:w="164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Foreign</w:t>
              <w:br/>
              <w:t>Currency</w:t>
              <w:br/>
              <w:t>Translation</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Retirement and</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Postretirement</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Benefit Plan</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 2024</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(516,324)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(111,748)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(628,072)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Components of other comprehensive income (loss):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Before reclassifications to income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50,528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50,528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income ¹</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2,613</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other comprehensive income (loss)</w:t>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50,528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53,141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Balance at September 30, 2025</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(465,796)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(109,135)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(574,931)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shd w:fill="FFFFFF" w:val="clear"/>
        </w:rPr>
        <w:t>1</w:t>
      </w:r>
      <w:r>
        <w:rPr>
          <w:color w:val="000000"/>
          <w:shd w:fill="FFFFFF" w:val="clear"/>
        </w:rPr>
        <w:t xml:space="preserve">  </w:t>
      </w:r>
      <w:r>
        <w:rPr>
          <w:rFonts w:ascii="Avenir Next LT Pro;sans-serif" w:hAnsi="Avenir Next LT Pro;sans-serif"/>
          <w:b w:val="false"/>
          <w:color w:val="000000"/>
          <w:sz w:val="18"/>
          <w:shd w:fill="FFFFFF" w:val="clear"/>
        </w:rPr>
        <w:t xml:space="preserve">Reclassifications before taxes of $3.1 million are included in the computation of net periodic benefit expense for the nine-month period ended September 30, 2025. See </w:t>
      </w:r>
      <w:hyperlink w:anchor="i2cbe45e68324468f8220138092d5739d_76">
        <w:r>
          <w:rPr>
            <w:rStyle w:val="InternetLink"/>
            <w:rFonts w:ascii="Avenir Next LT Pro;sans-serif" w:hAnsi="Avenir Next LT Pro;sans-serif"/>
            <w:b w:val="false"/>
            <w:color w:val="0000FF"/>
            <w:sz w:val="18"/>
            <w:u w:val="single"/>
            <w:shd w:fill="FFFFFF" w:val="clear"/>
          </w:rPr>
          <w:t>Note H</w:t>
        </w:r>
      </w:hyperlink>
      <w:r>
        <w:rPr>
          <w:color w:val="000000"/>
          <w:shd w:fill="FFFFFF" w:val="clear"/>
        </w:rPr>
        <w:t xml:space="preserve"> </w:t>
      </w:r>
      <w:r>
        <w:rPr>
          <w:rFonts w:ascii="Avenir Next LT Pro;sans-serif" w:hAnsi="Avenir Next LT Pro;sans-serif"/>
          <w:b w:val="false"/>
          <w:color w:val="000000"/>
          <w:sz w:val="18"/>
          <w:shd w:fill="FFFFFF" w:val="clear"/>
        </w:rPr>
        <w:t>for additional information. Related income taxes of $0.5 million are included in "Income tax expense” on the Consolidated Statements of Operations for the nine-month period ended September 30, 2025.</w:t>
      </w:r>
    </w:p>
    <w:p>
      <w:pPr>
        <w:pStyle w:val="TextBody"/>
        <w:bidi w:val="0"/>
        <w:spacing w:before="8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4155"/>
                <wp:effectExtent l="0" t="0" r="0" b="0"/>
                <wp:wrapNone/>
                <wp:docPr id="22" name="Frame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v:textbox>
                <w10:wrap type="none"/>
              </v:rect>
            </w:pict>
          </mc:Fallback>
        </mc:AlternateContent>
      </w:r>
    </w:p>
    <w:p>
      <w:pPr>
        <w:pStyle w:val="TextBody"/>
        <w:bidi w:val="0"/>
        <w:spacing w:lineRule="auto" w:line="417" w:before="80" w:after="283"/>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greenhouse gas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 item, the Company will be using a threshold of $1.0 million for such proceedings and the Company is not aware of environmental legal proceedings likely to exceed this $1.0 million threshold.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recent years, there has been an increase in regulatory oversight of the oil and natural gas industry at the state and federal level, with a focus on climate change and GHG emissions (including methane emissions). For example, in March 2024, the U.S. Environmental Protection Agency (EPA) published its final rule regulating methane and volatile organic compounds emissions in the oil and natural gas industry which, among other things, requires periodic inspections to detect leaks (and subsequent repairs), places stringent restrictions on venting and flaring of methane, and establishes a program whereby third parties can monitor and report large methane emissions to the U.S. EPA. However, the U.S. EPA has since published an interim final rule extending several compliance deadlines associated with the new methane rules. In November 2024, the U.S. EPA published its final rule implementing a charge on large emitters of waste methane from the oil and gas sector. This rule, however, was disapproved by a joint Congressional resolution in March 2025, and the OBBBA passed in July 2025 extended the imposition of the waste emission charge until 2034. In addition, an international climate agreement (the Paris Agreement) was agreed to at the 2015 United Nations Framework Convention on Climate Change in Paris, France. In January 2025, the United States submitted formal notification to the United Nations that it intends to withdraw from the Paris Agreement. Pursuant to the terms of the Paris Agreement, the withdrawal will take effect on January 27, 2026. While presidential administrations may modify, revise or repeal rules related to climate change and GHG emissions, the general trend has been towards stricter regulation over time. Further, many states have adopted or are considering regulations related to GHG emissions.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owns or leases, and has in the past owned or leased, properties at which hazardous substances have been or are being handled. Hazardous substances may have been disposed of or released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4155"/>
                <wp:effectExtent l="0" t="0" r="0" b="0"/>
                <wp:wrapNone/>
                <wp:docPr id="23" name="Frame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O – Common Stock Issued and Outstanding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Activity in the number of shares of common stock issued and outstanding for the nine-month periods ended September 30, 2025 and 2024 is shown below.</w:t>
      </w:r>
    </w:p>
    <w:tbl>
      <w:tblPr>
        <w:tblW w:w="8223" w:type="dxa"/>
        <w:jc w:val="left"/>
        <w:tblInd w:w="0" w:type="dxa"/>
        <w:tblLayout w:type="fixed"/>
        <w:tblCellMar>
          <w:top w:w="28" w:type="dxa"/>
          <w:left w:w="28" w:type="dxa"/>
          <w:bottom w:w="28" w:type="dxa"/>
          <w:right w:w="28" w:type="dxa"/>
        </w:tblCellMar>
      </w:tblPr>
      <w:tblGrid>
        <w:gridCol w:w="1168"/>
        <w:gridCol w:w="1026"/>
        <w:gridCol w:w="1031"/>
        <w:gridCol w:w="779"/>
        <w:gridCol w:w="779"/>
        <w:gridCol w:w="781"/>
        <w:gridCol w:w="109"/>
        <w:gridCol w:w="109"/>
        <w:gridCol w:w="109"/>
        <w:gridCol w:w="689"/>
        <w:gridCol w:w="689"/>
        <w:gridCol w:w="691"/>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Number of shares outstanding</w:t>
            </w:r>
            <w:r>
              <w:rPr>
                <w:rFonts w:ascii="Avenir Next LT Pro;sans-serif" w:hAnsi="Avenir Next LT Pro;sans-serif"/>
                <w:b w:val="false"/>
                <w:color w:val="000000"/>
                <w:sz w:val="20"/>
              </w:rPr>
              <w:t>)</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of period</w:t>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145,845,124</w:t>
            </w:r>
            <w:r>
              <w:rPr>
                <w:color w:val="000000"/>
              </w:rPr>
              <w:t>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152,748,642 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Restricted stock awards </w:t>
            </w:r>
            <w:r>
              <w:rPr>
                <w:rFonts w:ascii="Avenir Next LT Pro;sans-serif" w:hAnsi="Avenir Next LT Pro;sans-serif"/>
                <w:b w:val="false"/>
                <w:color w:val="000000"/>
                <w:sz w:val="13"/>
              </w:rPr>
              <w:t>1</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500,146</w:t>
            </w: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1,103,503 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Treasury shares purchased </w:t>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(3,613,450)</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(8,008,786)</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End of period</w:t>
            </w:r>
          </w:p>
        </w:tc>
        <w:tc>
          <w:tcPr>
            <w:tcW w:w="1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142,731,820</w:t>
            </w:r>
            <w:r>
              <w:rPr>
                <w:color w:val="000000"/>
              </w:rPr>
              <w:t> </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145,843,359 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Shares issued upon award of restricted stock are less withholding for statutory income taxes owed upon issuance of shares.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8, 2024, the Company’s Board of Directors authorized a share repurchase program whereby the Company can repurchase up to $1,100.0 million of its common stock. This repurchase program has no time limit and may be suspended or discontinued completely at any time without prior notice as determined by the Company at its discretion and dependent upon a variety of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September 30, 2025, the Company did not repurchase any shares of its common stock. During the nine months ended September 30, 2025, the Company repurchased 3.6 million shares of its common stock under the share repurchase program for $100.0 million ($100.9 million including excise taxes and fees). As of September 30, 2025, the Company had $550.1 million of its common stock remaining available to repurchase under the program.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4155"/>
                <wp:effectExtent l="0" t="0" r="0" b="0"/>
                <wp:wrapNone/>
                <wp:docPr id="24" name="Frame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about business segments and geographic operations is reported in the following tables. For geographic purposes, revenues are attributed to the country in which the sale occurs. Corporate, including interest income, other gains and losses, interest expense and unallocated overhead, is shown in the table to reconcile the business segments to consolidated totals. The Company has accounted for its former United Kingdom (U.K.), Malaysia, and U.S. refining and marketing operations as discontinued operations for all periods presented. Murphy’s President and Chief Executive Officer, Eric M. Hambly, acts as the Chief Operating Decision Maker (CODM).</w:t>
      </w:r>
    </w:p>
    <w:p>
      <w:pPr>
        <w:pStyle w:val="TextBody"/>
        <w:bidi w:val="0"/>
        <w:spacing w:lineRule="auto" w:line="288" w:before="120" w:after="120"/>
        <w:jc w:val="left"/>
        <w:rPr>
          <w:color w:val="000000"/>
        </w:rPr>
      </w:pPr>
      <w:r>
        <w:rPr>
          <w:color w:val="000000"/>
        </w:rPr>
        <w:t>“</w:t>
      </w:r>
      <w:r>
        <w:rPr>
          <w:rFonts w:ascii="Avenir Next LT Pro;sans-serif" w:hAnsi="Avenir Next LT Pro;sans-serif"/>
          <w:b w:val="false"/>
          <w:color w:val="000000"/>
          <w:sz w:val="20"/>
        </w:rPr>
        <w:t>Other segment costs (income)” below are those items that are included in Segment income (loss) but are not regularly provided to the CODM or are reported to the CODM but are not considered to be significant segment expenses. “Other segment costs (income)” for the periods presented included certain pension amortization costs allocated to the reportable segments, and dividend income from short-term investment accounts attributed to the Canada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4155"/>
                <wp:effectExtent l="0" t="0" r="0" b="0"/>
                <wp:wrapNone/>
                <wp:docPr id="25" name="Frame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288" w:type="dxa"/>
        <w:jc w:val="center"/>
        <w:tblInd w:w="0" w:type="dxa"/>
        <w:tblLayout w:type="fixed"/>
        <w:tblCellMar>
          <w:top w:w="28" w:type="dxa"/>
          <w:left w:w="28" w:type="dxa"/>
          <w:bottom w:w="28" w:type="dxa"/>
          <w:right w:w="28" w:type="dxa"/>
        </w:tblCellMar>
      </w:tblPr>
      <w:tblGrid>
        <w:gridCol w:w="885"/>
        <w:gridCol w:w="371"/>
        <w:gridCol w:w="245"/>
        <w:gridCol w:w="226"/>
        <w:gridCol w:w="721"/>
        <w:gridCol w:w="109"/>
        <w:gridCol w:w="109"/>
        <w:gridCol w:w="109"/>
        <w:gridCol w:w="109"/>
        <w:gridCol w:w="226"/>
        <w:gridCol w:w="721"/>
        <w:gridCol w:w="109"/>
        <w:gridCol w:w="109"/>
        <w:gridCol w:w="109"/>
        <w:gridCol w:w="109"/>
        <w:gridCol w:w="226"/>
        <w:gridCol w:w="616"/>
        <w:gridCol w:w="109"/>
        <w:gridCol w:w="109"/>
        <w:gridCol w:w="109"/>
        <w:gridCol w:w="109"/>
        <w:gridCol w:w="226"/>
        <w:gridCol w:w="721"/>
        <w:gridCol w:w="109"/>
        <w:gridCol w:w="109"/>
        <w:gridCol w:w="109"/>
        <w:gridCol w:w="109"/>
        <w:gridCol w:w="109"/>
        <w:gridCol w:w="109"/>
        <w:gridCol w:w="109"/>
        <w:gridCol w:w="109"/>
        <w:gridCol w:w="306"/>
        <w:gridCol w:w="836"/>
        <w:gridCol w:w="149"/>
        <w:gridCol w:w="109"/>
        <w:gridCol w:w="109"/>
        <w:gridCol w:w="109"/>
        <w:gridCol w:w="268"/>
        <w:gridCol w:w="855"/>
        <w:gridCol w:w="183"/>
      </w:tblGrid>
      <w:tr>
        <w:trPr/>
        <w:tc>
          <w:tcPr>
            <w:tcW w:w="8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w:t>
            </w:r>
          </w:p>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Three Months Ended September 30, 2025</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721.0</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11.4</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12.2</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Revenues from external customers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11.4</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733.2</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137.2</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15.3</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184.4</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12.3</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48.1</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32.5</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283.5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5.9</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24.6</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24.7</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(12.5)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(19.1)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(8.3)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181.0</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6,848.1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9,732.8</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TextBody"/>
        <w:bidi w:val="0"/>
        <w:spacing w:before="0" w:after="40"/>
        <w:ind w:left="0" w:right="0" w:hanging="17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4155"/>
                <wp:effectExtent l="0" t="0" r="0" b="0"/>
                <wp:wrapNone/>
                <wp:docPr id="26" name="Frame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213" w:type="dxa"/>
        <w:jc w:val="left"/>
        <w:tblInd w:w="0" w:type="dxa"/>
        <w:tblLayout w:type="fixed"/>
        <w:tblCellMar>
          <w:top w:w="28" w:type="dxa"/>
          <w:left w:w="28" w:type="dxa"/>
          <w:bottom w:w="28" w:type="dxa"/>
          <w:right w:w="28" w:type="dxa"/>
        </w:tblCellMar>
      </w:tblPr>
      <w:tblGrid>
        <w:gridCol w:w="885"/>
        <w:gridCol w:w="371"/>
        <w:gridCol w:w="245"/>
        <w:gridCol w:w="226"/>
        <w:gridCol w:w="706"/>
        <w:gridCol w:w="109"/>
        <w:gridCol w:w="109"/>
        <w:gridCol w:w="109"/>
        <w:gridCol w:w="109"/>
        <w:gridCol w:w="226"/>
        <w:gridCol w:w="706"/>
        <w:gridCol w:w="109"/>
        <w:gridCol w:w="109"/>
        <w:gridCol w:w="109"/>
        <w:gridCol w:w="109"/>
        <w:gridCol w:w="226"/>
        <w:gridCol w:w="586"/>
        <w:gridCol w:w="109"/>
        <w:gridCol w:w="109"/>
        <w:gridCol w:w="109"/>
        <w:gridCol w:w="109"/>
        <w:gridCol w:w="226"/>
        <w:gridCol w:w="706"/>
        <w:gridCol w:w="109"/>
        <w:gridCol w:w="109"/>
        <w:gridCol w:w="109"/>
        <w:gridCol w:w="109"/>
        <w:gridCol w:w="109"/>
        <w:gridCol w:w="109"/>
        <w:gridCol w:w="109"/>
        <w:gridCol w:w="109"/>
        <w:gridCol w:w="311"/>
        <w:gridCol w:w="828"/>
        <w:gridCol w:w="152"/>
        <w:gridCol w:w="109"/>
        <w:gridCol w:w="109"/>
        <w:gridCol w:w="109"/>
        <w:gridCol w:w="271"/>
        <w:gridCol w:w="849"/>
        <w:gridCol w:w="186"/>
      </w:tblGrid>
      <w:tr>
        <w:trPr/>
        <w:tc>
          <w:tcPr>
            <w:tcW w:w="8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w:t>
              <w:br/>
              <w:t>Other,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Three Months Ended September 30,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753.1 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Revenues from external customers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758.3 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223.6 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9,716.4 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4155"/>
                <wp:effectExtent l="0" t="0" r="0" b="0"/>
                <wp:wrapNone/>
                <wp:docPr id="27" name="Frame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678" w:type="dxa"/>
        <w:jc w:val="center"/>
        <w:tblInd w:w="0" w:type="dxa"/>
        <w:tblLayout w:type="fixed"/>
        <w:tblCellMar>
          <w:top w:w="28" w:type="dxa"/>
          <w:left w:w="28" w:type="dxa"/>
          <w:bottom w:w="28" w:type="dxa"/>
          <w:right w:w="28" w:type="dxa"/>
        </w:tblCellMar>
      </w:tblPr>
      <w:tblGrid>
        <w:gridCol w:w="885"/>
        <w:gridCol w:w="371"/>
        <w:gridCol w:w="245"/>
        <w:gridCol w:w="226"/>
        <w:gridCol w:w="916"/>
        <w:gridCol w:w="109"/>
        <w:gridCol w:w="109"/>
        <w:gridCol w:w="109"/>
        <w:gridCol w:w="109"/>
        <w:gridCol w:w="226"/>
        <w:gridCol w:w="721"/>
        <w:gridCol w:w="109"/>
        <w:gridCol w:w="109"/>
        <w:gridCol w:w="109"/>
        <w:gridCol w:w="109"/>
        <w:gridCol w:w="226"/>
        <w:gridCol w:w="616"/>
        <w:gridCol w:w="109"/>
        <w:gridCol w:w="109"/>
        <w:gridCol w:w="109"/>
        <w:gridCol w:w="109"/>
        <w:gridCol w:w="226"/>
        <w:gridCol w:w="916"/>
        <w:gridCol w:w="109"/>
        <w:gridCol w:w="109"/>
        <w:gridCol w:w="109"/>
        <w:gridCol w:w="109"/>
        <w:gridCol w:w="109"/>
        <w:gridCol w:w="109"/>
        <w:gridCol w:w="109"/>
        <w:gridCol w:w="109"/>
        <w:gridCol w:w="272"/>
        <w:gridCol w:w="887"/>
        <w:gridCol w:w="132"/>
        <w:gridCol w:w="109"/>
        <w:gridCol w:w="109"/>
        <w:gridCol w:w="109"/>
        <w:gridCol w:w="227"/>
        <w:gridCol w:w="923"/>
        <w:gridCol w:w="156"/>
      </w:tblGrid>
      <w:tr>
        <w:trPr/>
        <w:tc>
          <w:tcPr>
            <w:tcW w:w="8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w:t>
            </w:r>
          </w:p>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Nine Months Ended September 30, 2025</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2,076.8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Revenues from external customers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2,081.7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2,096.7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430.6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132.4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605.0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151.1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736.9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43.2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(122.5)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116.2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817.0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6,848.1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9,732.8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4155"/>
                <wp:effectExtent l="0" t="0" r="0" b="0"/>
                <wp:wrapNone/>
                <wp:docPr id="28" name="Frame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573" w:type="dxa"/>
        <w:jc w:val="left"/>
        <w:tblInd w:w="0" w:type="dxa"/>
        <w:tblLayout w:type="fixed"/>
        <w:tblCellMar>
          <w:top w:w="28" w:type="dxa"/>
          <w:left w:w="28" w:type="dxa"/>
          <w:bottom w:w="28" w:type="dxa"/>
          <w:right w:w="28" w:type="dxa"/>
        </w:tblCellMar>
      </w:tblPr>
      <w:tblGrid>
        <w:gridCol w:w="885"/>
        <w:gridCol w:w="371"/>
        <w:gridCol w:w="245"/>
        <w:gridCol w:w="226"/>
        <w:gridCol w:w="886"/>
        <w:gridCol w:w="109"/>
        <w:gridCol w:w="109"/>
        <w:gridCol w:w="109"/>
        <w:gridCol w:w="109"/>
        <w:gridCol w:w="226"/>
        <w:gridCol w:w="706"/>
        <w:gridCol w:w="109"/>
        <w:gridCol w:w="109"/>
        <w:gridCol w:w="109"/>
        <w:gridCol w:w="109"/>
        <w:gridCol w:w="226"/>
        <w:gridCol w:w="586"/>
        <w:gridCol w:w="109"/>
        <w:gridCol w:w="109"/>
        <w:gridCol w:w="109"/>
        <w:gridCol w:w="109"/>
        <w:gridCol w:w="226"/>
        <w:gridCol w:w="886"/>
        <w:gridCol w:w="109"/>
        <w:gridCol w:w="109"/>
        <w:gridCol w:w="109"/>
        <w:gridCol w:w="109"/>
        <w:gridCol w:w="109"/>
        <w:gridCol w:w="109"/>
        <w:gridCol w:w="109"/>
        <w:gridCol w:w="109"/>
        <w:gridCol w:w="311"/>
        <w:gridCol w:w="828"/>
        <w:gridCol w:w="152"/>
        <w:gridCol w:w="109"/>
        <w:gridCol w:w="109"/>
        <w:gridCol w:w="109"/>
        <w:gridCol w:w="233"/>
        <w:gridCol w:w="913"/>
        <w:gridCol w:w="160"/>
      </w:tblGrid>
      <w:tr>
        <w:trPr/>
        <w:tc>
          <w:tcPr>
            <w:tcW w:w="8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w:t>
              <w:br/>
              <w:t>Other,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Nine Months Ended September 30, 2024</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2,345.3 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Sales of purchased natural gas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Revenues from external customers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2,357.5 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of purchased natural gas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650.3 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(91.0)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9,716.4 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4155"/>
                <wp:effectExtent l="0" t="0" r="0" b="0"/>
                <wp:wrapNone/>
                <wp:docPr id="29" name="Frame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Q – Leases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Leases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entered into various operating leases such as a natural gas processing plant, floating production storage and off-take vessels, buildings, marine vessels, vehicles, drilling rigs, pipelines and other oil and natural gas field equipment.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Options to extend lease terms are at the Company’s discretion. Early lease terminations are at the Company’s discretion and/or the mutual agreement between the Company and lessor. Purchase options also exist for certain leases.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third quarter of 2025, the Company exercised an option to extend an operating lease pertaining to a drill ship used in our offshore business. This resulted in an increase of $167.1 million (discounted) to our right-of-use assets and operating lease liabilities at September 30, 2025.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Maturity of Lease Liabilities</w:t>
      </w:r>
    </w:p>
    <w:tbl>
      <w:tblPr>
        <w:tblW w:w="9808" w:type="dxa"/>
        <w:jc w:val="left"/>
        <w:tblInd w:w="0" w:type="dxa"/>
        <w:tblLayout w:type="fixed"/>
        <w:tblCellMar>
          <w:top w:w="28" w:type="dxa"/>
          <w:left w:w="28" w:type="dxa"/>
          <w:bottom w:w="28" w:type="dxa"/>
          <w:right w:w="28" w:type="dxa"/>
        </w:tblCellMar>
      </w:tblPr>
      <w:tblGrid>
        <w:gridCol w:w="1407"/>
        <w:gridCol w:w="1237"/>
        <w:gridCol w:w="1241"/>
        <w:gridCol w:w="348"/>
        <w:gridCol w:w="1519"/>
        <w:gridCol w:w="157"/>
        <w:gridCol w:w="109"/>
        <w:gridCol w:w="109"/>
        <w:gridCol w:w="109"/>
        <w:gridCol w:w="383"/>
        <w:gridCol w:w="1243"/>
        <w:gridCol w:w="173"/>
        <w:gridCol w:w="109"/>
        <w:gridCol w:w="109"/>
        <w:gridCol w:w="109"/>
        <w:gridCol w:w="241"/>
        <w:gridCol w:w="105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60,970 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2026</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248,750 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2027</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141,648 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2028</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62,259 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2029</w:t>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59,471 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Remaining</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419,202 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future minimum lease payments</w:t>
            </w:r>
          </w:p>
        </w:tc>
        <w:tc>
          <w:tcPr>
            <w:tcW w:w="1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992,300 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5,564 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997,864 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imputed interest</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(199,449)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Present value of lease liabilities</w:t>
            </w:r>
            <w:r>
              <w:rPr>
                <w:color w:val="000000"/>
              </w:rPr>
              <w:t xml:space="preserve"> </w:t>
            </w:r>
            <w:r>
              <w:rPr>
                <w:rFonts w:ascii="Avenir Next LT Pro;sans-serif" w:hAnsi="Avenir Next LT Pro;sans-serif"/>
                <w:b w:val="false"/>
                <w:color w:val="000000"/>
                <w:sz w:val="13"/>
              </w:rPr>
              <w:t>1</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792,851</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4,212</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797,063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both the current and long-term portion of the lease liabilities.</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Lease Term and Discount Rate</w:t>
      </w:r>
    </w:p>
    <w:tbl>
      <w:tblPr>
        <w:tblW w:w="8846" w:type="dxa"/>
        <w:jc w:val="left"/>
        <w:tblInd w:w="0" w:type="dxa"/>
        <w:tblLayout w:type="fixed"/>
        <w:tblCellMar>
          <w:top w:w="28" w:type="dxa"/>
          <w:left w:w="28" w:type="dxa"/>
          <w:bottom w:w="28" w:type="dxa"/>
          <w:right w:w="28" w:type="dxa"/>
        </w:tblCellMar>
      </w:tblPr>
      <w:tblGrid>
        <w:gridCol w:w="1492"/>
        <w:gridCol w:w="1314"/>
        <w:gridCol w:w="1318"/>
        <w:gridCol w:w="491"/>
        <w:gridCol w:w="491"/>
        <w:gridCol w:w="1358"/>
        <w:gridCol w:w="109"/>
        <w:gridCol w:w="109"/>
        <w:gridCol w:w="109"/>
        <w:gridCol w:w="407"/>
        <w:gridCol w:w="407"/>
        <w:gridCol w:w="1241"/>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Weighted average remaining lease term:</w:t>
            </w:r>
          </w:p>
        </w:tc>
        <w:tc>
          <w:tcPr>
            <w:tcW w:w="2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 years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Finance leases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 years</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Weighted average discount rate:</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w:t>
            </w:r>
            <w:r>
              <w:rPr>
                <w:color w:val="000000"/>
              </w:rPr>
              <w:t> </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5.7 </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Finance leases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w:t>
            </w:r>
            <w:r>
              <w:rPr>
                <w:color w:val="000000"/>
              </w:rPr>
              <w:t> </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4.9 </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4155"/>
                <wp:effectExtent l="0" t="0" r="0" b="0"/>
                <wp:wrapNone/>
                <wp:docPr id="30" name="Frame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w:t>
      </w: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venir Next LT Pro;sans-serif" w:hAnsi="Avenir Next LT Pro;sans-serif"/>
          <w:b w:val="false"/>
          <w:color w:val="000000"/>
          <w:sz w:val="20"/>
        </w:rPr>
        <w:t>The following Management’s Discussion and Analysis of Financial Condition and Results of Operations (MD&amp;A) should be read together with the unaudited consolidated financial statements and accompanying notes for the quarter ended September 30, 2025 included under “</w:t>
      </w:r>
      <w:hyperlink w:anchor="i2cbe45e68324468f8220138092d5739d_16">
        <w:r>
          <w:rPr>
            <w:rStyle w:val="InternetLink"/>
            <w:rFonts w:ascii="Avenir Next LT Pro;sans-serif" w:hAnsi="Avenir Next LT Pro;sans-serif"/>
            <w:b w:val="false"/>
            <w:color w:val="0000FF"/>
            <w:sz w:val="20"/>
            <w:u w:val="single"/>
          </w:rPr>
          <w:t>Item 1. Financial Statements</w:t>
        </w:r>
      </w:hyperlink>
      <w:r>
        <w:rPr>
          <w:color w:val="000000"/>
        </w:rPr>
        <w:t xml:space="preserve">” </w:t>
      </w:r>
      <w:r>
        <w:rPr>
          <w:rFonts w:ascii="Avenir Next LT Pro;sans-serif" w:hAnsi="Avenir Next LT Pro;sans-serif"/>
          <w:b w:val="false"/>
          <w:color w:val="000000"/>
          <w:sz w:val="20"/>
        </w:rPr>
        <w:t>of this Form 10-Q and the audited consolidated financial statements and related notes and MD&amp;A included in Item 8 and 7, respectively, of our Annual Report on Form 10-K for the year ended December 31, 2024. This MD&amp;A includes forward-looking statements that involve certain risks and uncertainties. See “</w:t>
      </w:r>
      <w:hyperlink w:anchor="i2cbe45e68324468f8220138092d5739d_226">
        <w:r>
          <w:rPr>
            <w:rStyle w:val="InternetLink"/>
            <w:rFonts w:ascii="Avenir Next LT Pro;sans-serif" w:hAnsi="Avenir Next LT Pro;sans-serif"/>
            <w:b w:val="false"/>
            <w:color w:val="0000FF"/>
            <w:sz w:val="20"/>
            <w:u w:val="single"/>
          </w:rPr>
          <w:t>Forward-Looking Statements</w:t>
        </w:r>
      </w:hyperlink>
      <w:r>
        <w:rPr>
          <w:color w:val="000000"/>
        </w:rPr>
        <w:t xml:space="preserve">” </w:t>
      </w:r>
      <w:r>
        <w:rPr>
          <w:rFonts w:ascii="Avenir Next LT Pro;sans-serif" w:hAnsi="Avenir Next LT Pro;sans-serif"/>
          <w:b w:val="false"/>
          <w:color w:val="000000"/>
          <w:sz w:val="20"/>
        </w:rPr>
        <w:t>at the end of this section.</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Overview</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is an independent oil and natural gas company with a multi-basin onshore and offshore portfolio and significant exploration opportunities. The Company boasts over a century of strong execution and innovative, full-cycle development capabilities, with a focus on value creation to enhance shareholder returns. The Company’s current operations include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analysis and discussion in this section includes amounts attributable to a noncontrolling interest in MP GOM, unless otherwise noted.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Significant Company financial and operational highlights during the third quarter of 2025 were as follows: </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Increased production to 206,936 barrels of oil equivalent (BOE) per day (including NCI), up from 191,273 BOE per day in the third quarter of 2024, and up from 196,315 BOE per day in the second quarter of 2025</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Paid down $50.0 million of debt under the RCF and returned $46.4 million ($0.325 per share, or $1.30 per share annualized) to shareholders through a quarterly dividend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Subsequent to the third quarter, Murphy completed the installation of the LDV-A platform jacket and initiated development drilling at the Lac Da Vang (Golden Camel) development project in Vietnam.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Corporation’s net loss from continuing operations, including noncontrolling interest, for the three months ended September 30, 2025, was $7.8 million compared to net income of $151.7 million for the same period in 2024. The results for 2025 were impacted by higher impairment expense ($115.0 million), higher depreciation, depletion and amortization expenses (DD&amp;A) ($59.8 million), and lower revenues from production ($32.2 million). These changes were partially offset by lower lease operating expenses ($38.5 million) and higher other income ($19.2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impairment expense during the quarter related to the Dalmatian field in the Gulf of America that resulted from reserve reductions, as certain projects in the field were less competitive for capital allocation. The increase in DD&amp;A resulted from higher total production levels and elevated rates in the Gulf of America. Lower revenues during the quarter were mainly the result of lower oil prices, partially offset by higher overall production volumes. Lower lease operating expenses were primarily due to lower workover costs and production handling fees in the Gulf of America and cost-savings initiatives in the Eagle Ford Shale, and were partially offset by higher production in the Eagle Ford Shale. Higher other income was the result of unrealized foreign exchange gains.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 months ended September 30, 2025, total hydrocarbon production was 206,936 barrels of oil equivalent per day, an increase of 8% compared to the third quarter of 2024. The increase was principally due to higher production in the Eagle Ford Shale and Tupper Montney, partially offset by lower offshore production in both the U.S. and Canada. Higher production in the Eagle Ford Shale was primarily the result of new wells online in the current year at Karnes and Catarina. Higher production in Canada Onshore relates to better well performance at Tupper Montney. Lower production in the Gulf of America and Canada Offshore was due to natural decline and both planned and unplanned downtime for mechanical issues.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Net income from continuing operations, including noncontrolling interest, for the nine months ended September 30, 2025, was $116.1 million, a decrease of $308.1 million compared to the same period in 2024. Lower net income from continuing operations was largely driven by lower revenues from production ($268.5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4155"/>
                <wp:effectExtent l="0" t="0" r="0" b="0"/>
                <wp:wrapNone/>
                <wp:docPr id="31" name="Frame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Overview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million), higher DD&amp;A ($86.6 million), higher impairment expense ($80.5 million), and lower other income ($48.5 million). These changes were partially offset by lower lease operating expenses ($111.8 million), lower exploration expenses ($61.0 million), and lower income tax expenses ($26.9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Lower revenues were primarily due to the lower price of oil, combined with lower production in the Gulf of America, and were partially offset by higher production in the Eagle Ford Shale, and the higher price of natural gas. Higher DD&amp;A was due to higher production in the Eagle Ford Shale and higher rates in the Gulf of America, partially offset by lower production volumes in the Gulf of America. Higher impairment expense was related to the Dalmatian field in the Gulf or America. Lower other income was primarily the result of unrealized foreign exchange losses. Lower lease operating expenses related to lower workover costs and production handling fees in the Gulf of America, combined with lower operating costs due to the acquisition of the BW Pioneer FPSO earlier this year. Cost reduction activities in the Eagle Ford Shale also contributed to overall lower lease operating expenses. Lower exploration expenses were primarily due to no dry hole expense recorded in 2025 (2024: Sebastian #1 (Mississippi Canyon 387) operated exploration well, the Orange #1 (Mississippi Canyon 216) non-operated exploration well, and the previously suspended exploration well at Hoffe Park #1 (Mississippi Canyon 166) in the Gulf of America). Lower dry hole costs were partially offset by higher exploration activity in Côte d'Ivoire. Lower income tax expense was due to lower net income for the period.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nine months ended September 30, 2025, total hydrocarbon production was 189,035 barrels of oil equivalent per day, an increase of 2% compared to the same period in 2024. Higher production in the Eagle Ford Shale was primarily the result of new wells online in the current year in Karnes and Catarina. Higher production in Canada Onshore relates to better well performance at Tupper Montney. Lower production in the Gulf of America related to planned and unplanned downtime, and was partially offset by new wells online.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continuing operations generate revenues through the production and sale of crude oil, natural gas and natural gas liquids in the United States and Canada. Changes in the price of crude oil and natural gas have a significant impact on the profitability of the Company. In order to make a profit and generate cash in its exploration and production business, revenue generated from the sales of oil and natural gas produced must exceed the combined costs of producing these products and expenses related to exploration, administration and capital borrowing from lending institutions and note holders. Geopolitical uncertainty surrounding domestic and foreign governmental regulations, including effects of trade policies, tariffs and other trade restrictions, can affect the demand for crude oil, natural gas and natural gas liquids, as well as the cost of oil field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September 30, 2025, the West Texas Intermediate (WTI) crude oil price was $62.37 per barrel, whereas the crude oil price at the end of October 2025 was $60.98, reflecting a 2% decrease in price. As of November 3, 2025 closing, the NYMEX WTI forward curve price for the remainder of 2025 was $61.05 per barrel. Reductions in commodity prices will reduce the Company’s future profits and operating cash flows.</w:t>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4155"/>
                <wp:effectExtent l="0" t="0" r="0" b="0"/>
                <wp:wrapNone/>
                <wp:docPr id="32" name="Frame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Results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Net income (loss) by type of business and geographic segment is presented below:</w:t>
      </w:r>
    </w:p>
    <w:tbl>
      <w:tblPr>
        <w:tblW w:w="10205" w:type="dxa"/>
        <w:jc w:val="left"/>
        <w:tblInd w:w="0" w:type="dxa"/>
        <w:tblLayout w:type="fixed"/>
        <w:tblCellMar>
          <w:top w:w="28" w:type="dxa"/>
          <w:left w:w="28" w:type="dxa"/>
          <w:bottom w:w="28" w:type="dxa"/>
          <w:right w:w="28" w:type="dxa"/>
        </w:tblCellMar>
      </w:tblPr>
      <w:tblGrid>
        <w:gridCol w:w="1885"/>
        <w:gridCol w:w="1536"/>
        <w:gridCol w:w="1545"/>
        <w:gridCol w:w="241"/>
        <w:gridCol w:w="646"/>
        <w:gridCol w:w="109"/>
        <w:gridCol w:w="109"/>
        <w:gridCol w:w="109"/>
        <w:gridCol w:w="109"/>
        <w:gridCol w:w="226"/>
        <w:gridCol w:w="707"/>
        <w:gridCol w:w="109"/>
        <w:gridCol w:w="109"/>
        <w:gridCol w:w="109"/>
        <w:gridCol w:w="109"/>
        <w:gridCol w:w="241"/>
        <w:gridCol w:w="781"/>
        <w:gridCol w:w="109"/>
        <w:gridCol w:w="109"/>
        <w:gridCol w:w="109"/>
        <w:gridCol w:w="109"/>
        <w:gridCol w:w="226"/>
        <w:gridCol w:w="706"/>
        <w:gridCol w:w="157"/>
      </w:tblGrid>
      <w:tr>
        <w:trPr/>
        <w:tc>
          <w:tcPr>
            <w:tcW w:w="18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 (Loss)</w:t>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4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and 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(loss) from continuing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Discontinued operations, net of tax </w:t>
            </w:r>
            <w:r>
              <w:rPr>
                <w:rFonts w:ascii="Avenir Next LT Pro;sans-serif" w:hAnsi="Avenir Next LT Pro;sans-serif"/>
                <w:b w:val="false"/>
                <w:color w:val="000000"/>
                <w:sz w:val="13"/>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including noncontrolling interest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Net income (loss) attributable to noncontrolling interest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attributable to Murphy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The Company has presented its former U.K., Malaysia and U.S. refining and marketing operations as discontinued operations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4155"/>
                <wp:effectExtent l="0" t="0" r="0" b="0"/>
                <wp:wrapNone/>
                <wp:docPr id="33" name="Frame3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Exploration and Production Continuing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section of Exploration and Production (E&amp;P) continuing operations excludes the Corporate segment unless otherwise noted.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 summarized statement of operations for E&amp;P continuing operations:</w:t>
      </w:r>
    </w:p>
    <w:tbl>
      <w:tblPr>
        <w:tblW w:w="10205" w:type="dxa"/>
        <w:jc w:val="left"/>
        <w:tblInd w:w="0" w:type="dxa"/>
        <w:tblLayout w:type="fixed"/>
        <w:tblCellMar>
          <w:top w:w="28" w:type="dxa"/>
          <w:left w:w="28" w:type="dxa"/>
          <w:bottom w:w="28" w:type="dxa"/>
          <w:right w:w="28" w:type="dxa"/>
        </w:tblCellMar>
      </w:tblPr>
      <w:tblGrid>
        <w:gridCol w:w="1779"/>
        <w:gridCol w:w="1327"/>
        <w:gridCol w:w="1337"/>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886"/>
        <w:gridCol w:w="156"/>
      </w:tblGrid>
      <w:tr>
        <w:trPr/>
        <w:tc>
          <w:tcPr>
            <w:tcW w:w="177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and other income</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Sales of purchased natural gas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 and other income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and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of purchased natural gas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 of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including undeveloped lease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 before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 provisions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Results of operations (excluding Corporate segment) </w:t>
            </w:r>
            <w:r>
              <w:rPr>
                <w:rFonts w:ascii="Avenir Next LT Pro;sans-serif" w:hAnsi="Avenir Next LT Pro;sans-serif"/>
                <w:b w:val="false"/>
                <w:color w:val="000000"/>
                <w:sz w:val="13"/>
              </w:rPr>
              <w:t>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4155"/>
                <wp:effectExtent l="0" t="0" r="0" b="0"/>
                <wp:wrapNone/>
                <wp:docPr id="34" name="Frame3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Pricing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the weighted average sales prices for the three-month and nine-month periods ended September 30, 2025 and 2024:</w:t>
      </w:r>
    </w:p>
    <w:tbl>
      <w:tblPr>
        <w:tblW w:w="9855" w:type="dxa"/>
        <w:jc w:val="left"/>
        <w:tblInd w:w="0" w:type="dxa"/>
        <w:tblLayout w:type="fixed"/>
        <w:tblCellMar>
          <w:top w:w="28" w:type="dxa"/>
          <w:left w:w="28" w:type="dxa"/>
          <w:bottom w:w="28" w:type="dxa"/>
          <w:right w:w="28" w:type="dxa"/>
        </w:tblCellMar>
      </w:tblPr>
      <w:tblGrid>
        <w:gridCol w:w="1626"/>
        <w:gridCol w:w="1425"/>
        <w:gridCol w:w="1434"/>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 average sales prices)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Prices include the effect of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U.S. dollar equivalent.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benchmark prices relevant to the Company for the three-month and nine-month periods ended September 30, 2025 and 2024:</w:t>
      </w:r>
    </w:p>
    <w:tbl>
      <w:tblPr>
        <w:tblW w:w="8369" w:type="dxa"/>
        <w:jc w:val="left"/>
        <w:tblInd w:w="0" w:type="dxa"/>
        <w:tblLayout w:type="fixed"/>
        <w:tblCellMar>
          <w:top w:w="28" w:type="dxa"/>
          <w:left w:w="28" w:type="dxa"/>
          <w:bottom w:w="28" w:type="dxa"/>
          <w:right w:w="28" w:type="dxa"/>
        </w:tblCellMar>
      </w:tblPr>
      <w:tblGrid>
        <w:gridCol w:w="1085"/>
        <w:gridCol w:w="954"/>
        <w:gridCol w:w="960"/>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(Average price for the period)</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Oil and NGLs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(C$/MCF)</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4155"/>
                <wp:effectExtent l="0" t="0" r="0" b="0"/>
                <wp:wrapNone/>
                <wp:docPr id="35" name="Frame3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Production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produced during the three-month and nine-month periods ended September 30, 2025 and 2024. For further discussion on volumes, please see the “</w:t>
      </w:r>
      <w:hyperlink w:anchor="i2cbe45e68324468f8220138092d5739d_166">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2cbe45e68324468f8220138092d5739d_166">
        <w:r>
          <w:rPr>
            <w:rStyle w:val="InternetLink"/>
            <w:rFonts w:ascii="Avenir Next LT Pro;sans-serif" w:hAnsi="Avenir Next LT Pro;sans-serif"/>
            <w:b w:val="false"/>
            <w:color w:val="0000FF"/>
            <w:sz w:val="20"/>
            <w:u w:val="single"/>
          </w:rPr>
          <w:t>36</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60"/>
        <w:gridCol w:w="568"/>
        <w:gridCol w:w="568"/>
        <w:gridCol w:w="568"/>
        <w:gridCol w:w="568"/>
        <w:gridCol w:w="571"/>
        <w:gridCol w:w="550"/>
        <w:gridCol w:w="501"/>
        <w:gridCol w:w="214"/>
        <w:gridCol w:w="214"/>
        <w:gridCol w:w="214"/>
        <w:gridCol w:w="214"/>
        <w:gridCol w:w="564"/>
        <w:gridCol w:w="382"/>
        <w:gridCol w:w="216"/>
        <w:gridCol w:w="109"/>
        <w:gridCol w:w="109"/>
        <w:gridCol w:w="109"/>
        <w:gridCol w:w="525"/>
        <w:gridCol w:w="526"/>
        <w:gridCol w:w="209"/>
        <w:gridCol w:w="200"/>
        <w:gridCol w:w="200"/>
        <w:gridCol w:w="200"/>
        <w:gridCol w:w="537"/>
        <w:gridCol w:w="409"/>
        <w:gridCol w:w="300"/>
      </w:tblGrid>
      <w:tr>
        <w:trPr/>
        <w:tc>
          <w:tcPr>
            <w:tcW w:w="8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37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34,703</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26,797</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21,199 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56,071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56,835</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64,042 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3,495</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2,799</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2,888 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5,518</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6,658</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7,219 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278</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100,065</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94,078 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93,365</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95,569 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8,042</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5,905</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4,312 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4,500</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4,344</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442</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12,984</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10,147 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10,740</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9,528 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39,411</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26,223 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32,711</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24,556 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50,477</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58,747 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51,528</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56,565 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473,431</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437,316 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425,342</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400,012 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563,319</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522,286 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509,581</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481,133 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206,936</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191,273 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189,035</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185,286 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(6,188)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(5,950)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(6,467)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Next LT Pro;sans-serif" w:hAnsi="Avenir Next LT Pro;sans-serif"/>
                <w:b w:val="false"/>
                <w:color w:val="000000"/>
                <w:sz w:val="20"/>
              </w:rPr>
              <w:t xml:space="preserve">Net natural gas – thousands of cubic feet per day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(1,715)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(6,553)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(6,706)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(6,450)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(7,009)</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200,383</w:t>
            </w: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184,567 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182,585</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178,277 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4155"/>
                <wp:effectExtent l="0" t="0" r="0" b="0"/>
                <wp:wrapNone/>
                <wp:docPr id="36" name="Frame3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Sales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sold during the three-month and nine-month periods ended September 30, 2025 and 2024. For further discussion on volumes, please see the “</w:t>
      </w:r>
      <w:hyperlink w:anchor="i2cbe45e68324468f8220138092d5739d_166">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2cbe45e68324468f8220138092d5739d_166">
        <w:r>
          <w:rPr>
            <w:rStyle w:val="InternetLink"/>
            <w:rFonts w:ascii="Avenir Next LT Pro;sans-serif" w:hAnsi="Avenir Next LT Pro;sans-serif"/>
            <w:b w:val="false"/>
            <w:color w:val="0000FF"/>
            <w:sz w:val="20"/>
            <w:u w:val="single"/>
          </w:rPr>
          <w:t>36</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40"/>
        <w:gridCol w:w="565"/>
        <w:gridCol w:w="565"/>
        <w:gridCol w:w="565"/>
        <w:gridCol w:w="565"/>
        <w:gridCol w:w="568"/>
        <w:gridCol w:w="550"/>
        <w:gridCol w:w="501"/>
        <w:gridCol w:w="218"/>
        <w:gridCol w:w="218"/>
        <w:gridCol w:w="218"/>
        <w:gridCol w:w="218"/>
        <w:gridCol w:w="564"/>
        <w:gridCol w:w="382"/>
        <w:gridCol w:w="220"/>
        <w:gridCol w:w="109"/>
        <w:gridCol w:w="109"/>
        <w:gridCol w:w="109"/>
        <w:gridCol w:w="525"/>
        <w:gridCol w:w="526"/>
        <w:gridCol w:w="211"/>
        <w:gridCol w:w="204"/>
        <w:gridCol w:w="204"/>
        <w:gridCol w:w="204"/>
        <w:gridCol w:w="537"/>
        <w:gridCol w:w="409"/>
        <w:gridCol w:w="301"/>
      </w:tblGrid>
      <w:tr>
        <w:trPr/>
        <w:tc>
          <w:tcPr>
            <w:tcW w:w="8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36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34,703</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23,320 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26,797</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57,903</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57,467 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56,849</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64,317 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3,495</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2,799</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5,513</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10,892 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8,114</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101,614</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95,104 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94,711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96,420 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8,042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5,905</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4,500</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4,739 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4,344</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12,984</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10,147 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10,740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9,528 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39,411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26,223 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32,711</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24,556 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50,477</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58,747 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51,528</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56,565 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473,431</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437,316 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425,342</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400,012 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563,319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522,286 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509,581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481,133 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208,484</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192,299 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190,381</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186,137 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(6,273)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(1,963)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(6,828)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(6,438)</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(6,454)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(7,045)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201,656</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185,861 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183,927</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179,092 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4155"/>
                <wp:effectExtent l="0" t="0" r="0" b="0"/>
                <wp:wrapNone/>
                <wp:docPr id="37" name="Frame3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discussion of E&amp;P continuing operations includes amounts attributable to a noncontrolling interest in MP GOM and excludes the Corporate segment unless otherwise noted.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Revenues from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production revenues by country and product were as follows:</w:t>
      </w:r>
    </w:p>
    <w:tbl>
      <w:tblPr>
        <w:tblW w:w="9224" w:type="dxa"/>
        <w:jc w:val="left"/>
        <w:tblInd w:w="0" w:type="dxa"/>
        <w:tblLayout w:type="fixed"/>
        <w:tblCellMar>
          <w:top w:w="28" w:type="dxa"/>
          <w:left w:w="28" w:type="dxa"/>
          <w:bottom w:w="28" w:type="dxa"/>
          <w:right w:w="28" w:type="dxa"/>
        </w:tblCellMar>
      </w:tblPr>
      <w:tblGrid>
        <w:gridCol w:w="1252"/>
        <w:gridCol w:w="1102"/>
        <w:gridCol w:w="1110"/>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88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Oil</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 liquids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Oil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 liquids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 Oil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 from production</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2,076.8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 for the three months ended September 30, 2025, decreased by $32.2 million compared to the same period in 2024. Revenues decreased primarily due to lower crude oil prices, reduced oil production in the Gulf of America from downtime relating to planned maintenance and ongoing workovers, and downtime in offshore Canada at Terra Nova and Hibernia related to well issues in the quarter. These reductions were partially offset by higher production at Karnes and Catarina in the Eagle Ford Shale related to better well performance and new wells online, and higher sales volumes at Cascade &amp; Chinook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 for the nine months ended September 30, 2025, decreased $268.5 million compared to the same period in 2024. Lower revenues were primarily driven by lower crude oil prices, as well as decreased production in the Gulf of America due to well issues at Samurai, natural decline of new wells, and downtime for maintenance at Khaleesi. These decreases were partially offset by increased production in Eagle Ford Shale due to new wells at Karnes and Catarina, as well as in the Gulf of America at Mormont and Neidermeyer.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4155"/>
                <wp:effectExtent l="0" t="0" r="0" b="0"/>
                <wp:wrapNone/>
                <wp:docPr id="38" name="Frame3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Lease Operating and Transportation, Gathering and Processing Expenses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total lease operating expenses and transportation, gathering and processing expenses by geographic area were as follows:</w:t>
      </w:r>
    </w:p>
    <w:tbl>
      <w:tblPr>
        <w:tblW w:w="12820" w:type="dxa"/>
        <w:jc w:val="left"/>
        <w:tblInd w:w="0" w:type="dxa"/>
        <w:tblLayout w:type="fixed"/>
        <w:tblCellMar>
          <w:top w:w="28" w:type="dxa"/>
          <w:left w:w="28" w:type="dxa"/>
          <w:bottom w:w="28" w:type="dxa"/>
          <w:right w:w="28" w:type="dxa"/>
        </w:tblCellMar>
      </w:tblPr>
      <w:tblGrid>
        <w:gridCol w:w="936"/>
        <w:gridCol w:w="334"/>
        <w:gridCol w:w="336"/>
        <w:gridCol w:w="109"/>
        <w:gridCol w:w="109"/>
        <w:gridCol w:w="109"/>
        <w:gridCol w:w="241"/>
        <w:gridCol w:w="781"/>
        <w:gridCol w:w="109"/>
        <w:gridCol w:w="109"/>
        <w:gridCol w:w="109"/>
        <w:gridCol w:w="109"/>
        <w:gridCol w:w="226"/>
        <w:gridCol w:w="706"/>
        <w:gridCol w:w="109"/>
        <w:gridCol w:w="109"/>
        <w:gridCol w:w="109"/>
        <w:gridCol w:w="109"/>
        <w:gridCol w:w="241"/>
        <w:gridCol w:w="646"/>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transportation, gathering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the three months ended September 30, 2025, lease operating expenses decreased by $38.5 million and transportation, gathering and processing expenses increased by $0.6 million compared to the same period in 2024. In the Gulf of America, decreases in lease operating expenses primarily related to lower production volumes and handling fees and lower operating charges as a result of the acquisition of the BW Pioneer FPSO. In addition, current quarter workover costs at Marmalard, Khaleesi and Samurai were lower than expenditures at Neidermeyer and Dalmatian in the prior year. In the Eagle Ford Shale, lower operating expenses were due to cost-savings initiatives including workforce reductions at the end of 2024, lower repairs and maintenance, and equipment optimization throughout the year, and were largely offset by higher production.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nine months ended September 30, 2025, lease operating expenses decreased by $111.8 million, and transportation, gathering and processing expenses decreased by $6.4 million compared to the same period in 2024. In the Gulf of America, decreases primarily related to lower workover costs due to expenditures at Neidermeyer and Dalmatian in the prior year, which were partially offset by current year workovers at Marmalard, Khaleesi and Samurai. Lower operating charges also occured as a result of the acquisition of the BW Pioneer FPSO earlier in the year. In the Eagle Ford Shale, lower operating costs resulted from cost-savings initiatives, including workforce reductions at the end of 2024, lower repairs and maintenance, and equipment optimizations, were partially offset by higher volume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4155"/>
                <wp:effectExtent l="0" t="0" r="0" b="0"/>
                <wp:wrapNone/>
                <wp:docPr id="39" name="Frame3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Depreciation, Depletion and Amortization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DD&amp;A by geographic area were as follows:</w:t>
      </w:r>
    </w:p>
    <w:tbl>
      <w:tblPr>
        <w:tblW w:w="12430" w:type="dxa"/>
        <w:jc w:val="left"/>
        <w:tblInd w:w="0" w:type="dxa"/>
        <w:tblLayout w:type="fixed"/>
        <w:tblCellMar>
          <w:top w:w="28" w:type="dxa"/>
          <w:left w:w="28" w:type="dxa"/>
          <w:bottom w:w="28" w:type="dxa"/>
          <w:right w:w="28" w:type="dxa"/>
        </w:tblCellMar>
      </w:tblPr>
      <w:tblGrid>
        <w:gridCol w:w="401"/>
        <w:gridCol w:w="337"/>
        <w:gridCol w:w="343"/>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DD&amp;A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DD&amp;A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for the three months ended September 30, 2025 increased by $59.3 million compared to the same period in 2024. The increase was primarily due to higher sales volumes in the Eagle Ford Shale and higher rates at U.S. Offshore, partially offset by lower production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for the nine months ended September 30, 2025 increased by $87.4 million. The increase was primarily due to higher sales volumes in the Eagle Ford Shale and higher rates at U.S. Offshore, partially offset by lower production in the Gulf of America.</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Impairment of Assets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the three and nine months ended September 30, 2025, the Company impaired assets for $115.0 million related to the partial write-down of the Dalmatian field in the Gulf of America due to reserve reductions in the quarter, as certain projects in the field were less competitive for capital allocation.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impairments for the three months ended September 30, 2024. Impairment of assets for the nine months ended September 30, 2024 was $34.5 million and related to the Calliope field in Mississippi Canyon in the Gulf of America, as a result of operational issues that led to a reserve reduction.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exploration expenses were as follows:</w:t>
      </w:r>
    </w:p>
    <w:tbl>
      <w:tblPr>
        <w:tblW w:w="10205" w:type="dxa"/>
        <w:jc w:val="left"/>
        <w:tblInd w:w="0" w:type="dxa"/>
        <w:tblLayout w:type="fixed"/>
        <w:tblCellMar>
          <w:top w:w="28" w:type="dxa"/>
          <w:left w:w="28" w:type="dxa"/>
          <w:bottom w:w="28" w:type="dxa"/>
          <w:right w:w="28" w:type="dxa"/>
        </w:tblCellMar>
      </w:tblPr>
      <w:tblGrid>
        <w:gridCol w:w="1957"/>
        <w:gridCol w:w="1587"/>
        <w:gridCol w:w="1597"/>
        <w:gridCol w:w="249"/>
        <w:gridCol w:w="670"/>
        <w:gridCol w:w="113"/>
        <w:gridCol w:w="113"/>
        <w:gridCol w:w="113"/>
        <w:gridCol w:w="113"/>
        <w:gridCol w:w="234"/>
        <w:gridCol w:w="608"/>
        <w:gridCol w:w="113"/>
        <w:gridCol w:w="109"/>
        <w:gridCol w:w="109"/>
        <w:gridCol w:w="109"/>
        <w:gridCol w:w="241"/>
        <w:gridCol w:w="646"/>
        <w:gridCol w:w="109"/>
        <w:gridCol w:w="109"/>
        <w:gridCol w:w="109"/>
        <w:gridCol w:w="109"/>
        <w:gridCol w:w="226"/>
        <w:gridCol w:w="706"/>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5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5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holes and previously suspended exploration costs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Geological and geophysical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exploration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Undeveloped lease amortization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 including undeveloped lease amortization</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for the three months ended September 30, 2025 increased by $1.3 million compared to the same period in 2024 due to higher geological and geophysical costs in the Gulf of America, and were partially offset by lower dry hole costs in the current period. Dry hole costs in 2024 related to the Sebastian #1 (Mississippi Canyon 387) operated exploration well in the Gulf of America that encountered non-commercial hydrocarbons.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4155"/>
                <wp:effectExtent l="0" t="0" r="0" b="0"/>
                <wp:wrapNone/>
                <wp:docPr id="40" name="Frame3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for the nine months ended September 30, 2025 decreased by $61.0 million compared to the same period in 2024. Lower exploration costs were primarily due to no dry holes recorded in 2025 (2024: Sebastian #1 (Mississippi Canyon 387) operated exploration well, the Orange #1 (Mississippi Canyon 216) non-operated exploration well, and the previously suspended exploration well at Hoffe Park #1 (Mississippi Canyon 166) in the Gulf of America). This was partially offset by higher exploration activity in Côte d'Ivoire.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Other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expenses from E&amp;P continuing operations for the three months ended September 30, 2025 decreased by $0.1 million compared to the same period in 2024. Other expenses for the nine months ended September 30, 2025 increased by $17.7 million compared to the same period in 2024 due to no interest income received in the current year.</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Income Taxes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taxes for the three and nine months ended September 30, 2025 decreased by $3.0 million and $24.0 million, respectively, compared to the same periods in 2024. Lower income tax for each period is primarily the result of lower net income.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Corporate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activities include interest expense and income, foreign exchange effects, realized and unrealized gains/losses on derivative instruments (forward swaps to hedge commodity price) and corporate overhead not allocated to E&amp;P. Realized and unrealized gains and losses on derivative instruments result from changes in market natural gas prices relating to future periods whereby the swap contracts provided the Company with a fixed price.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 months ended September 30, 2025, the Corporate segment reported a loss of $18.6 million, a favorable variance of $15.1 million, compared to the same period in 2024. The favorable variance was primarily due to a foreign exchange gain ($18.4 million) for the period, primarily relating to our Canadian subsidiary, combined with gains on derivative instruments ($3.9 million), and partially offset by higher income tax expense of $5.1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Corporate segment reported a loss of $122.7 million for the nine months ended September 30, 2025, an unfavorable variance of $33.8 million, compared to the same period in 2024. The unfavorable variance was primarily due to higher foreign exchange losses ($31.5 million) and higher interest expense ($11.4 million) due to the timing of interest payments on long-term debt, and was partially offset by gains on derivative instruments ($8.4 million) due to fixed price sales contracts.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primary sources of liquidity are cash on hand, net cash provided by continuing operations activities and available borrowing capacity under its senior unsecured RCF. The Company’s liquidity requirements, both in the short-term and long-term,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twelve months and the foreseeable future.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4155"/>
                <wp:effectExtent l="0" t="0" r="0" b="0"/>
                <wp:wrapNone/>
                <wp:docPr id="41" name="Frame4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presents the Company’s cash flows for the periods presented:</w:t>
      </w:r>
    </w:p>
    <w:tbl>
      <w:tblPr>
        <w:tblW w:w="8918" w:type="dxa"/>
        <w:jc w:val="left"/>
        <w:tblInd w:w="0" w:type="dxa"/>
        <w:tblLayout w:type="fixed"/>
        <w:tblCellMar>
          <w:top w:w="28" w:type="dxa"/>
          <w:left w:w="28" w:type="dxa"/>
          <w:bottom w:w="28" w:type="dxa"/>
          <w:right w:w="28" w:type="dxa"/>
        </w:tblCellMar>
      </w:tblPr>
      <w:tblGrid>
        <w:gridCol w:w="2239"/>
        <w:gridCol w:w="1972"/>
        <w:gridCol w:w="1983"/>
        <w:gridCol w:w="241"/>
        <w:gridCol w:w="781"/>
        <w:gridCol w:w="109"/>
        <w:gridCol w:w="109"/>
        <w:gridCol w:w="109"/>
        <w:gridCol w:w="109"/>
        <w:gridCol w:w="226"/>
        <w:gridCol w:w="886"/>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(required) by: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998.2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Effect of exchange rate changes on cash and cash equivalents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by Continuing Operations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 for the nine months ended September 30, 2025 was $297.3 million lower compared to the same period in 2024. The decrease in cash flows from operations activities was primarily due to lower revenue from production ($268.5 million), timing of non-cash working capital ($52.3 million) settlements, and an increase in selling and general expenses ($19.8 million), partially offset by lower lease operating expenses ($111.8 million).</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Investing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required by investing activities for the nine months ended September 30, 2025 was $118.1 million higher compared to the same period in 2024. The increase was primarily due to a gross payment of $125.0 million for the purchase of an FPSO in the Gulf of America and higher development drilling at Eagle Ford Shale, partially offset by lower development drilling at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“Property additions and dry hole costs” in the Consolidated Statements of Cash Flows to total capital expenditures for continuing operations follows.</w:t>
      </w:r>
    </w:p>
    <w:tbl>
      <w:tblPr>
        <w:tblW w:w="9248" w:type="dxa"/>
        <w:jc w:val="left"/>
        <w:tblInd w:w="0" w:type="dxa"/>
        <w:tblLayout w:type="fixed"/>
        <w:tblCellMar>
          <w:top w:w="28" w:type="dxa"/>
          <w:left w:w="28" w:type="dxa"/>
          <w:bottom w:w="28" w:type="dxa"/>
          <w:right w:w="28" w:type="dxa"/>
        </w:tblCellMar>
      </w:tblPr>
      <w:tblGrid>
        <w:gridCol w:w="2423"/>
        <w:gridCol w:w="2134"/>
        <w:gridCol w:w="2147"/>
        <w:gridCol w:w="241"/>
        <w:gridCol w:w="781"/>
        <w:gridCol w:w="109"/>
        <w:gridCol w:w="109"/>
        <w:gridCol w:w="109"/>
        <w:gridCol w:w="109"/>
        <w:gridCol w:w="226"/>
        <w:gridCol w:w="706"/>
        <w:gridCol w:w="154"/>
      </w:tblGrid>
      <w:tr>
        <w:trPr/>
        <w:tc>
          <w:tcPr>
            <w:tcW w:w="2423"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Property additions and dry hole costs per the cash flow statements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Acquisition of oil properties per the cash flow statements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exploration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 accrual changes and 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867.6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accrual basis capital expenditures are shown below.</w:t>
      </w:r>
    </w:p>
    <w:tbl>
      <w:tblPr>
        <w:tblW w:w="5289" w:type="dxa"/>
        <w:jc w:val="left"/>
        <w:tblInd w:w="0" w:type="dxa"/>
        <w:tblLayout w:type="fixed"/>
        <w:tblCellMar>
          <w:top w:w="28" w:type="dxa"/>
          <w:left w:w="28" w:type="dxa"/>
          <w:bottom w:w="28" w:type="dxa"/>
          <w:right w:w="28" w:type="dxa"/>
        </w:tblCellMar>
      </w:tblPr>
      <w:tblGrid>
        <w:gridCol w:w="992"/>
        <w:gridCol w:w="874"/>
        <w:gridCol w:w="879"/>
        <w:gridCol w:w="241"/>
        <w:gridCol w:w="781"/>
        <w:gridCol w:w="109"/>
        <w:gridCol w:w="109"/>
        <w:gridCol w:w="109"/>
        <w:gridCol w:w="109"/>
        <w:gridCol w:w="226"/>
        <w:gridCol w:w="70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867.6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Higher capital expenditures in the nine months ended September 30, 2025 compared to the same period of 2024 were primarily attributable to the FPSO purchase in the Gulf of America and higher development drilling in the Eagle Ford Shale related to new wells online. Also contributing to the increase were higher exploratory drilling and field development in Vietnam, which included progressing the LDV-A platform jacket installation and pipe-laying campaign. These increases were partially offset by lower exploration costs and development drilling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4155"/>
                <wp:effectExtent l="0" t="0" r="0" b="0"/>
                <wp:wrapNone/>
                <wp:docPr id="42" name="Frame4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costs in the Gulf of America due to prior year spend on the non-operated Ocotillo #1 (Mississippi Canyon 40) and Orange #1 (Mississippi Canyon 216) exploration wells, and Khaleesi development costs, respectively.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 in 2025 primarily relate to development drilling and field development activities in the Gulf of America ($257.6 million), Eagle Ford Shale ($296.4 million), Tupper Montney and Kaybob Duvernay ($113.0 million), and in Vietnam ($57.7 million). Exploration costs in 2025 were $90.9 million, primarily comprised of activities in Vietnam for the Lac Da Hong-1X (Pink Camel), Block 15-1/05; and Hai Su Vang-1X (Golden Sea Lion), Block 15-2/17 exploration wells, activities in the Gulf of America related to long lead equipment purchases for the Cello #1 (Mississippi Canyon 385) and Banjo #1 (Mississippi Canyon 385) exploration wells, and activities in Côte d'Ivoire related to long lead equipment purchases for the Bubale-1X (Block CI-709), Civette-1X (Block CI-502), and Caracal-1X (Block CI-102) exploration wells.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Financing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Net cash required by financing activities for the nine months ended September 30, 2025 decreased by $464.9 million compared to the same period in 2024.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the cash required by financing activities was principally for the repurchase of common shares ($102.6 million), year-to-date cash dividends to shareholders of $0.975 per share ($139.8 million), and distributions to the noncontrolling interest in MP GOM ($43.2 million), and was partially offset by net borrowings on the senior unsecured RCF ($150.0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2024, cash required by financing activities was for the repurchase of common shares ($300.1 million), cash dividends to shareholders ($136.2 million), distributions to the noncontrolling interest in MP GOM ($96.6 million), debt repurchases ($50.0 million), and withholding tax on stock-based incentive awards ($25.3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September 30, 2025, the Company had approximately $1.6 billion of liquidity consisting of $426.0 million in cash and cash equivalents and $1,199.6 million available on its committed senior unsecured RCF with a major banking consortium.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$1.35 billion senior unsecured RCF expires in October 2029. As of September 30, 2025, the Company had $150.0 million of outstanding borrowings under the RCF and $0.4 million of outstanding letters of credit, which reduce the borrowing capacity of the RCF. At September 30, 2025, the interest rate in effect on borrowings under the RCF was 6.48%. At September 30, 2025, the Company was in compliance with all covenants related to the RCF.</w:t>
      </w:r>
    </w:p>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invested cash are maintained in several operating locations outside the U.S. As of September 30, 2025, cash and cash equivalents held outside the U.S. included U.S. dollar equivalents of approximately $67.4 million, the majority of which was held in Canada ($28.9 million), Mexico ($8.0 million), the U.K. ($7.4 million) and Vietnam ($6.7 million). In certain cases, the Company could incur cash taxes or other costs should these cash balances be repatriated to the U.S. in future periods. Canada currently collects a 5% withholding tax on any earnings repatriated to the U.S.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Working Capital </w:t>
      </w:r>
    </w:p>
    <w:tbl>
      <w:tblPr>
        <w:tblW w:w="7542" w:type="dxa"/>
        <w:jc w:val="left"/>
        <w:tblInd w:w="0" w:type="dxa"/>
        <w:tblLayout w:type="fixed"/>
        <w:tblCellMar>
          <w:top w:w="28" w:type="dxa"/>
          <w:left w:w="28" w:type="dxa"/>
          <w:bottom w:w="28" w:type="dxa"/>
          <w:right w:w="28" w:type="dxa"/>
        </w:tblCellMar>
      </w:tblPr>
      <w:tblGrid>
        <w:gridCol w:w="1019"/>
        <w:gridCol w:w="898"/>
        <w:gridCol w:w="903"/>
        <w:gridCol w:w="498"/>
        <w:gridCol w:w="1615"/>
        <w:gridCol w:w="227"/>
        <w:gridCol w:w="109"/>
        <w:gridCol w:w="109"/>
        <w:gridCol w:w="109"/>
        <w:gridCol w:w="395"/>
        <w:gridCol w:w="1391"/>
        <w:gridCol w:w="269"/>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Working capital</w:t>
            </w:r>
          </w:p>
        </w:tc>
        <w:tc>
          <w:tcPr>
            <w:tcW w:w="2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807.5</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785.3 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2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857.7</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942.8 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working capital liability</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(50.2)</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(157.5)</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September 30, 2025, net working capital increased by $107.3 million compared to December 31, 2024. The increase was primarily attributable to lower current operating lease obligations ($42.4 million), lower accounts payable ($42.5 million), and higher accounts receivable ($11.2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Lower lease obligations were due to lower day rates related to an offshore drilling rig, ongoing lease amortization and the absence of lease rental payments related to the BW Pioneer FPSO in the Gulf of America.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4155"/>
                <wp:effectExtent l="0" t="0" r="0" b="0"/>
                <wp:wrapNone/>
                <wp:docPr id="43" name="Frame4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Higher accounts receivable were due to higher tax receivables related to increased Vietnam development and exploration expenditures. Lower cash and equivalents were due to lower net income, the BW Pioneer FPSO purchase, and returns to shareholders in the form of share repurchases and dividends. Lower accounts payable related to higher production in the Eagle Ford Shale.</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Capital Employed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summary of capital employed at September 30, 2025 and December 31, 2024 follows.</w:t>
      </w:r>
    </w:p>
    <w:tbl>
      <w:tblPr>
        <w:tblW w:w="8690" w:type="dxa"/>
        <w:jc w:val="left"/>
        <w:tblInd w:w="0" w:type="dxa"/>
        <w:tblLayout w:type="fixed"/>
        <w:tblCellMar>
          <w:top w:w="28" w:type="dxa"/>
          <w:left w:w="28" w:type="dxa"/>
          <w:bottom w:w="28" w:type="dxa"/>
          <w:right w:w="28" w:type="dxa"/>
        </w:tblCellMar>
      </w:tblPr>
      <w:tblGrid>
        <w:gridCol w:w="1046"/>
        <w:gridCol w:w="921"/>
        <w:gridCol w:w="927"/>
        <w:gridCol w:w="257"/>
        <w:gridCol w:w="1060"/>
        <w:gridCol w:w="116"/>
        <w:gridCol w:w="116"/>
        <w:gridCol w:w="116"/>
        <w:gridCol w:w="116"/>
        <w:gridCol w:w="390"/>
        <w:gridCol w:w="391"/>
        <w:gridCol w:w="322"/>
        <w:gridCol w:w="109"/>
        <w:gridCol w:w="109"/>
        <w:gridCol w:w="109"/>
        <w:gridCol w:w="226"/>
        <w:gridCol w:w="886"/>
        <w:gridCol w:w="109"/>
        <w:gridCol w:w="109"/>
        <w:gridCol w:w="109"/>
        <w:gridCol w:w="109"/>
        <w:gridCol w:w="353"/>
        <w:gridCol w:w="353"/>
        <w:gridCol w:w="33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employed</w:t>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1,425.2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21.8</w:t>
            </w: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5,121.4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78.2</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employed</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6,546.6</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September 30, 2025, long-term debt of $1,425.2 million increased by $150.7 million compared to December 31, 2024, primarily as a result of amounts drawn on the senior unsecured RCF. The total of the fixed-rate notes had a weighted average maturity of 8.6 years and a weighted average coupon of 6.1%.</w:t>
      </w:r>
    </w:p>
    <w:p>
      <w:pPr>
        <w:pStyle w:val="TextBody"/>
        <w:bidi w:val="0"/>
        <w:spacing w:lineRule="auto" w:line="288" w:before="80" w:after="120"/>
        <w:jc w:val="left"/>
        <w:rPr/>
      </w:pPr>
      <w:r>
        <w:rPr>
          <w:rFonts w:ascii="Avenir Next LT Pro;sans-serif" w:hAnsi="Avenir Next LT Pro;sans-serif"/>
          <w:b w:val="false"/>
          <w:color w:val="000000"/>
          <w:sz w:val="20"/>
        </w:rPr>
        <w:t>Murphy shareholders’ equity decreased by $72.9 million in 2025, primarily due to dividends ($139.8 million) and shares repurchased ($100.9 million), including excise tax, partially offset by net income ($92.3 million), foreign currency translation ($50.5 million), and awarded restricted stock ($20.3 million). A summary of transactions in stockholders’ equity accounts is presented in the “</w:t>
      </w:r>
      <w:hyperlink w:anchor="i2cbe45e68324468f8220138092d5739d_31">
        <w:r>
          <w:rPr>
            <w:rStyle w:val="InternetLink"/>
            <w:rFonts w:ascii="Avenir Next LT Pro;sans-serif" w:hAnsi="Avenir Next LT Pro;sans-serif"/>
            <w:b w:val="false"/>
            <w:color w:val="0000FF"/>
            <w:sz w:val="20"/>
            <w:u w:val="single"/>
          </w:rPr>
          <w:t>Consolidated Statements of Stockholders’ Equity</w:t>
        </w:r>
      </w:hyperlink>
      <w:r>
        <w:rPr>
          <w:color w:val="000000"/>
        </w:rPr>
        <w:t xml:space="preserve">” </w:t>
      </w:r>
      <w:r>
        <w:rPr>
          <w:rFonts w:ascii="Avenir Next LT Pro;sans-serif" w:hAnsi="Avenir Next LT Pro;sans-serif"/>
          <w:b w:val="false"/>
          <w:color w:val="000000"/>
          <w:sz w:val="20"/>
        </w:rPr>
        <w:t xml:space="preserve">on page </w:t>
      </w:r>
      <w:hyperlink w:anchor="i2cbe45e68324468f8220138092d5739d_31">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80" w:after="120"/>
        <w:jc w:val="left"/>
        <w:rPr/>
      </w:pPr>
      <w:r>
        <w:rPr/>
      </w:r>
    </w:p>
    <w:p>
      <w:pPr>
        <w:pStyle w:val="TextBody"/>
        <w:bidi w:val="0"/>
        <w:spacing w:lineRule="auto" w:line="417" w:before="0" w:after="80"/>
        <w:jc w:val="left"/>
        <w:rPr/>
      </w:pPr>
      <w:r>
        <w:rPr>
          <w:rFonts w:ascii="Avenir Next LT Pro;sans-serif" w:hAnsi="Avenir Next LT Pro;sans-serif"/>
          <w:b/>
          <w:color w:val="000000"/>
          <w:sz w:val="20"/>
          <w:u w:val="single"/>
        </w:rPr>
        <w:t>Critical Accounting Estimates</w:t>
      </w:r>
      <w:r>
        <w:rPr>
          <w:color w:val="000000"/>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September 30, 2025, there have been no significant changes to our critical accounting estimates since our Annual Report on Form 10-K for the year ended December 31, 2024.</w:t>
      </w:r>
    </w:p>
    <w:p>
      <w:pPr>
        <w:pStyle w:val="TextBody"/>
        <w:bidi w:val="0"/>
        <w:spacing w:before="120" w:after="120"/>
        <w:jc w:val="left"/>
        <w:rPr/>
      </w:pPr>
      <w:r>
        <w:rPr/>
      </w:r>
    </w:p>
    <w:p>
      <w:pPr>
        <w:pStyle w:val="TextBody"/>
        <w:bidi w:val="0"/>
        <w:spacing w:lineRule="auto" w:line="417" w:before="0" w:after="80"/>
        <w:jc w:val="left"/>
        <w:rPr/>
      </w:pPr>
      <w:r>
        <w:rPr>
          <w:rFonts w:ascii="Avenir Next LT Pro;sans-serif" w:hAnsi="Avenir Next LT Pro;sans-serif"/>
          <w:b/>
          <w:color w:val="000000"/>
          <w:sz w:val="20"/>
          <w:u w:val="single"/>
        </w:rPr>
        <w:t>Accounting Changes and Recent Accounting Pronouncements</w:t>
      </w:r>
      <w:r>
        <w:rPr>
          <w:color w:val="000000"/>
        </w:rPr>
        <w:t xml:space="preserve"> </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w:t>
      </w:r>
      <w:hyperlink w:anchor="i2cbe45e68324468f8220138092d5739d_43">
        <w:r>
          <w:rPr>
            <w:rStyle w:val="InternetLink"/>
            <w:rFonts w:ascii="Avenir Next LT Pro;sans-serif" w:hAnsi="Avenir Next LT Pro;sans-serif"/>
            <w:b w:val="false"/>
            <w:color w:val="0000FF"/>
            <w:sz w:val="20"/>
            <w:u w:val="single"/>
          </w:rPr>
          <w:t>Note B</w:t>
        </w:r>
      </w:hyperlink>
      <w:r>
        <w:rPr>
          <w:color w:val="000000"/>
        </w:rPr>
        <w:t xml:space="preserve"> </w:t>
      </w:r>
      <w:r>
        <w:rPr>
          <w:rFonts w:ascii="Avenir Next LT Pro;sans-serif" w:hAnsi="Avenir Next LT Pro;sans-serif"/>
          <w:b w:val="false"/>
          <w:color w:val="000000"/>
          <w:sz w:val="20"/>
        </w:rPr>
        <w:t>to the Consolidated Financial Statements regarding the impact or potential impact of recent accounting pronouncements upon our financial position and results of operations.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4155"/>
                <wp:effectExtent l="0" t="0" r="0" b="0"/>
                <wp:wrapNone/>
                <wp:docPr id="44" name="Frame4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Other Key Performance Metrics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uses other operational performance and income metrics to review operational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adjusted EBITDA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substitutes for net income (loss) or cash provided by operating activities as determined in accordance with GAAP.</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(loss) attributable to Murphy to adjusted net income from continuing operations attributable to Murphy.</w:t>
      </w:r>
    </w:p>
    <w:tbl>
      <w:tblPr>
        <w:tblW w:w="10205" w:type="dxa"/>
        <w:jc w:val="left"/>
        <w:tblInd w:w="0" w:type="dxa"/>
        <w:tblLayout w:type="fixed"/>
        <w:tblCellMar>
          <w:top w:w="28" w:type="dxa"/>
          <w:left w:w="28" w:type="dxa"/>
          <w:bottom w:w="28" w:type="dxa"/>
          <w:right w:w="28" w:type="dxa"/>
        </w:tblCellMar>
      </w:tblPr>
      <w:tblGrid>
        <w:gridCol w:w="1933"/>
        <w:gridCol w:w="1481"/>
        <w:gridCol w:w="1486"/>
        <w:gridCol w:w="241"/>
        <w:gridCol w:w="713"/>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7"/>
      </w:tblGrid>
      <w:tr>
        <w:trPr/>
        <w:tc>
          <w:tcPr>
            <w:tcW w:w="193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49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 except per share amounts)</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(loss) attributable to Murphy (GAAP)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from continuing operations attributable to Murphy</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Impairment of assets </w:t>
            </w:r>
            <w:r>
              <w:rPr>
                <w:rFonts w:ascii="Avenir Next LT Pro;sans-serif" w:hAnsi="Avenir Next LT Pro;sans-serif"/>
                <w:b w:val="false"/>
                <w:color w:val="000000"/>
                <w:sz w:val="13"/>
              </w:rPr>
              <w:t>1</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loss on derivative instruments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Write-off of previously suspended exploration well</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benefit related to adjustments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Tax benefits on investments in foreign areas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attributable to Murphy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(loss) from continuing operations per average diluted share (GAAP)</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0.64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per average diluted share (Non-GAAP)</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4155"/>
                <wp:effectExtent l="0" t="0" r="0" b="0"/>
                <wp:wrapNone/>
                <wp:docPr id="45" name="Frame4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(loss) attributable to Murphy to EBITDA, adjusted EBITDA, EBITDAX and adjusted EBITDAX attributable to Murphy.  </w:t>
      </w:r>
    </w:p>
    <w:tbl>
      <w:tblPr>
        <w:tblW w:w="10205" w:type="dxa"/>
        <w:jc w:val="left"/>
        <w:tblInd w:w="0" w:type="dxa"/>
        <w:tblLayout w:type="fixed"/>
        <w:tblCellMar>
          <w:top w:w="28" w:type="dxa"/>
          <w:left w:w="28" w:type="dxa"/>
          <w:bottom w:w="28" w:type="dxa"/>
          <w:right w:w="28" w:type="dxa"/>
        </w:tblCellMar>
      </w:tblPr>
      <w:tblGrid>
        <w:gridCol w:w="1712"/>
        <w:gridCol w:w="1361"/>
        <w:gridCol w:w="1370"/>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886"/>
        <w:gridCol w:w="156"/>
      </w:tblGrid>
      <w:tr>
        <w:trPr/>
        <w:tc>
          <w:tcPr>
            <w:tcW w:w="171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r>
      <w:tr>
        <w:trPr/>
        <w:tc>
          <w:tcPr>
            <w:tcW w:w="44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(loss) attributable to Murphy (GAAP)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Depreciation, depletion and amortization expense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EBITDA attributable to Murphy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Exploration expenses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EBITDAX attributable to Murphy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EBITDA attributable to Murphy (Non-GAAP)</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Impairment of assets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Accretion of asset retirement obligations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loss on derivative instruments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Write-off of previously suspended exploration well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EBITDA attributable to Murphy (Non-GAAP)</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exploration expenses </w:t>
            </w:r>
            <w:r>
              <w:rPr>
                <w:rFonts w:ascii="Avenir Next LT Pro;sans-serif" w:hAnsi="Avenir Next LT Pro;sans-serif"/>
                <w:b w:val="false"/>
                <w:color w:val="000000"/>
                <w:sz w:val="13"/>
              </w:rPr>
              <w:t xml:space="preserve">2 </w:t>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92.3</w:t>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EBITDAX attributable to Murphy (Non-GAAP)</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1,121.4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Other exploration expenses consist of exploration expenses as reported in the consolidated statement of operations excluding amounts relating to the write-off of previously suspended exploration well included in Adjusted EBITDA calculation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4155"/>
                <wp:effectExtent l="0" t="0" r="0" b="0"/>
                <wp:wrapNone/>
                <wp:docPr id="46" name="Frame4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free cash flow (FCF) and adjusted FCF internally as additional measures of liquidity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and its performance over time. FCF and Adjusted FCF are non-GAAP financial measures and should not be considered a substitute for net cash provided by operating, investing, or financing activities as determined in accordance with GAAP.   </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following table reconciles net cash provided by continuing operations activities to FCF and adjusted FCF. </w:t>
      </w:r>
    </w:p>
    <w:p>
      <w:pPr>
        <w:pStyle w:val="TextBody"/>
        <w:bidi w:val="0"/>
        <w:spacing w:before="200" w:after="120"/>
        <w:jc w:val="left"/>
        <w:rPr/>
      </w:pPr>
      <w:r>
        <w:rPr/>
      </w:r>
    </w:p>
    <w:tbl>
      <w:tblPr>
        <w:tblW w:w="10205" w:type="dxa"/>
        <w:jc w:val="left"/>
        <w:tblInd w:w="0" w:type="dxa"/>
        <w:tblLayout w:type="fixed"/>
        <w:tblCellMar>
          <w:top w:w="28" w:type="dxa"/>
          <w:left w:w="28" w:type="dxa"/>
          <w:bottom w:w="28" w:type="dxa"/>
          <w:right w:w="28" w:type="dxa"/>
        </w:tblCellMar>
      </w:tblPr>
      <w:tblGrid>
        <w:gridCol w:w="2301"/>
        <w:gridCol w:w="1971"/>
        <w:gridCol w:w="1984"/>
        <w:gridCol w:w="109"/>
        <w:gridCol w:w="109"/>
        <w:gridCol w:w="172"/>
        <w:gridCol w:w="172"/>
        <w:gridCol w:w="381"/>
        <w:gridCol w:w="1237"/>
        <w:gridCol w:w="172"/>
        <w:gridCol w:w="109"/>
        <w:gridCol w:w="109"/>
        <w:gridCol w:w="109"/>
        <w:gridCol w:w="226"/>
        <w:gridCol w:w="886"/>
        <w:gridCol w:w="158"/>
      </w:tblGrid>
      <w:tr>
        <w:trPr/>
        <w:tc>
          <w:tcPr>
            <w:tcW w:w="230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Nine Months Ended</w:t>
              <w:br/>
              <w:t>September 30,</w:t>
            </w:r>
          </w:p>
        </w:tc>
        <w:tc>
          <w:tcPr>
            <w:tcW w:w="1597" w:type="dxa"/>
            <w:gridSpan w:val="6"/>
            <w:tcBorders/>
          </w:tcPr>
          <w:p>
            <w:pPr>
              <w:pStyle w:val="TableContents"/>
              <w:bidi w:val="0"/>
              <w:spacing w:before="0" w:after="283"/>
              <w:jc w:val="left"/>
              <w:rPr>
                <w:sz w:val="4"/>
                <w:szCs w:val="4"/>
              </w:rPr>
            </w:pPr>
            <w:r>
              <w:rPr>
                <w:sz w:val="4"/>
                <w:szCs w:val="4"/>
              </w:rPr>
            </w:r>
          </w:p>
        </w:tc>
      </w:tr>
      <w:tr>
        <w:trPr/>
        <w:tc>
          <w:tcPr>
            <w:tcW w:w="6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cash provided by continuing operations activities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998.2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Exclude: (decrease) increase in non-cash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20.5</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Operating cash flow excluding working capital adjustments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1,018.7</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Less: property additions and dry hole costs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(827.0)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191.7</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distributions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withholding tax on stock-based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acquisition of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(24.4)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(23.4)</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Property additions for the 2025 period include a payment of $125.0 million for the purchase of a floating production, storage, and offloading vessel in the U.S Offshore, including amounts attributable to a noncontrolling interest in MP GOM.</w:t>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4155"/>
                <wp:effectExtent l="0" t="0" r="0" b="0"/>
                <wp:wrapNone/>
                <wp:docPr id="47" name="Frame4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before="0" w:after="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Outlook</w:t>
      </w:r>
    </w:p>
    <w:p>
      <w:pPr>
        <w:pStyle w:val="TextBody"/>
        <w:bidi w:val="0"/>
        <w:spacing w:lineRule="auto" w:line="288" w:before="120" w:after="120"/>
        <w:jc w:val="left"/>
        <w:rPr/>
      </w:pPr>
      <w:r>
        <w:rPr>
          <w:rFonts w:ascii="Avenir Next LT Pro;sans-serif" w:hAnsi="Avenir Next LT Pro;sans-serif"/>
          <w:b w:val="false"/>
          <w:color w:val="000000"/>
          <w:sz w:val="20"/>
        </w:rPr>
        <w:t>The oil and natural gas industry is impacted by global commodity pricing and as a result the prices for the Company’s primary products are often volatile and are affected by the levels of supply and demand for energy. As discussed in the “</w:t>
      </w:r>
      <w:hyperlink w:anchor="i2cbe45e68324468f8220138092d5739d_166">
        <w:r>
          <w:rPr>
            <w:rStyle w:val="InternetLink"/>
            <w:rFonts w:ascii="Avenir Next LT Pro;sans-serif" w:hAnsi="Avenir Next LT Pro;sans-serif"/>
            <w:b w:val="false"/>
            <w:color w:val="0000FF"/>
            <w:sz w:val="20"/>
            <w:u w:val="single"/>
          </w:rPr>
          <w:t>Results of Operations</w:t>
        </w:r>
      </w:hyperlink>
      <w:r>
        <w:rPr>
          <w:color w:val="000000"/>
        </w:rPr>
        <w:t xml:space="preserve">” </w:t>
      </w:r>
      <w:r>
        <w:rPr>
          <w:rFonts w:ascii="Avenir Next LT Pro;sans-serif" w:hAnsi="Avenir Next LT Pro;sans-serif"/>
          <w:b w:val="false"/>
          <w:color w:val="000000"/>
          <w:sz w:val="20"/>
        </w:rPr>
        <w:t xml:space="preserve">section discussing revenues, on page </w:t>
      </w:r>
      <w:hyperlink w:anchor="i2cbe45e68324468f8220138092d5739d_166">
        <w:r>
          <w:rPr>
            <w:rStyle w:val="InternetLink"/>
            <w:rFonts w:ascii="Avenir Next LT Pro;sans-serif" w:hAnsi="Avenir Next LT Pro;sans-serif"/>
            <w:b w:val="false"/>
            <w:color w:val="0000FF"/>
            <w:sz w:val="20"/>
            <w:u w:val="single"/>
          </w:rPr>
          <w:t>36</w:t>
        </w:r>
      </w:hyperlink>
      <w:r>
        <w:rPr>
          <w:rFonts w:ascii="Avenir Next LT Pro;sans-serif" w:hAnsi="Avenir Next LT Pro;sans-serif"/>
          <w:b w:val="false"/>
          <w:color w:val="000000"/>
          <w:sz w:val="20"/>
        </w:rPr>
        <w:t xml:space="preserve">, lower average crude oil and higher natural gas pricing during the third quarter of 2025 compared to the same period in 2024 directly impacted the Company’s product sales revenue.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close on November 3, 2025, forward price curves for existing forward contracts for the remainder of 2025 and 2026 are shown in the following table.</w:t>
      </w:r>
    </w:p>
    <w:tbl>
      <w:tblPr>
        <w:tblW w:w="4810"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15"/>
        <w:gridCol w:w="215"/>
        <w:gridCol w:w="216"/>
        <w:gridCol w:w="109"/>
        <w:gridCol w:w="109"/>
        <w:gridCol w:w="109"/>
        <w:gridCol w:w="202"/>
        <w:gridCol w:w="202"/>
        <w:gridCol w:w="287"/>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60.37</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(US$ Equivalent/MCF)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2.39</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late June 2025, Shell Canada Energy announced its first cargo of liquefied natural gas (LNG) shipped from the Kitimat facility in British Columbia. Increases in export levels of Canadian liquefied natural gas would impact our natural gas-weighted Canadian business.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April 2025, the U.S. government announced a baseline tariff of 10% on products imported from all countries and an additional individualized reciprocal tariff on the countries with which the United States has the largest trade deficits. Increased tariffs by the United States have led and may continue to lead to the imposition of retaliatory tariffs by foreign jurisdictions. Additionally, the U.S. government has announced and rescinded multiple tariffs on several foreign jurisdictions, which has increased uncertainty regarding the ultimate effect of the tariffs on economic conditions. In August 2025, however, the U.S. Court of Appeals for the Federal Circuit ruled that many of the tariffs imposed under the Trump Administration exceed presidential authority and therefore are invalid, though the decision has been stayed pending U.S. Supreme Court review. This ruling introduces additional uncertainty as to the scope and durability of existing and future tariff measures. Current uncertainties about tariffs and their effects on trading relationships may affect costs for and availability of goods and services used in E&amp;P operations or contribute to inflation in the countries in which we operate. Although we are continuing to monitor the economic effects of such announcements and developments, as well as opportunities to mitigate their related impacts, costs and other effects associated with the tariffs remain uncertain.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We cannot predict what impact economic factors (including, but not limited to, inflation, global conflicts, trade policies, tariffs, other trade restrictions, and possible economic recession) may have on future commodity pricing and future costs for goods and services in the E&amp;P operations. Lower prices or higher costs, should they occur, will result in lower profits and operating cash flows and could result in material future impairment charges.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the fourth quarter of 2025, production is expected to average between 176.0 and 184.0 thousand barrels of oil equivalents per day, excluding noncontrolling interest.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capital expenditures for 2025 are expected to be between $1,135 million and $1,285 million, excluding noncontrolling interest. This includes net acquisition capital of $104 million for the BW Pioneer FPSO in the Gulf of America, and excludes $23.0 million for the purchase of additional working interests in Eagle Ford Shale acreage primarily operated by Murphy. The Company remains on schedule to commence a three-well exploration program in Côte d’Ivoire in the fourth quarter of 2025, consisting of the Civette-1X (Block CI-502), Caracal-1X (Block CI-102), and Bubale-1X (Block CI-709) wells. Murphy is also continuing the drilling of the Hai Su Vang-2X (Golden Sea Lion) appraisal well in Block 15-2/17, offshore Vietnam, with results anticipated in the fourth quarter. The Cello #1 (Mississippi Canyon 385) and Banjo #1 (Mississippi Canyon 385) exploration wells in the Gulf of America will also be drilled in the fourth quarter of 2025. Finally, we will continue field development activities in Vietnam at Lac Da Vang (Golden Camel), Block 15-1/05, with scheduled first oil anticipated in the fourth quarter of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2025 using operating cash flow and available cash. If oil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4155"/>
                <wp:effectExtent l="0" t="0" r="0" b="0"/>
                <wp:wrapNone/>
                <wp:docPr id="48" name="Frame4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Outlook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or natural gas prices weaken, actual cash flow generated from operations could be reduced such that capital spending reductions are required and/or additional borrowings under available credit facilities might be required during the year to maintain funding of the Company’s ongoing development projects.</w:t>
      </w:r>
    </w:p>
    <w:p>
      <w:pPr>
        <w:pStyle w:val="TextBody"/>
        <w:bidi w:val="0"/>
        <w:spacing w:lineRule="auto" w:line="276" w:before="0" w:after="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Company plans to utilize any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section of the Company’s Form 8-K filed on May 7, 2025. Based on current market conditions and our planned exploration and appraisal program, the Company is currently more likely to use available adjusted Free Cash Flow for share repurchases than bond repayment.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July 4, 2025, the current U.S. Administration signed into law the OBBBA legislation, which includes a broad range of tax reform provisions affecting corporations. The OBBBA, among other changes, permanently reinstates the "bonus" depreciation provisions that allow for the immediate expensing of 100% of the cost of certain qualified property acquired and placed in service after January 19, 2025, permanently reinstates the elective immediate expensing of domestic research and experimental expenditures paid or incurred in tax years beginning after December 31, 2024 (with a special transition rule that allows accelerated deduction of the remaining unamortized balance of capitalized domestic research and experimental expenditures), and permanently relaxes the limitation on the deductibility of business interest effective for tax years beginning after December 31, 2024. The OBBBA also modifies certain international tax provisions effective for tax years beginning after December 31, 2025. The Company evaluated the effects of the OBBBA in accordance with ASC 740, Income Taxes, and determined that the legislation did not have a material impact on its consolidated financial statements for the period ended September 30, 2025. The Company will continue to monitor any subsequent regulatory guidance related to the OBBBA.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8, 2024, the Company’s Board of Directors authorized a share repurchase program whereby the Company can repurchase up to $1,100 million of the Company’s common stock, of which $550 million remains available to repurchase as of September 30, 2025.</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continues to monitor the impact of commodity prices on its financial position and is currently in compliance with the covenants related to the senior unsecured RCF (see </w:t>
      </w:r>
      <w:hyperlink w:anchor="i2cbe45e68324468f8220138092d5739d_64">
        <w:r>
          <w:rPr>
            <w:rStyle w:val="InternetLink"/>
            <w:rFonts w:ascii="Avenir Next LT Pro;sans-serif" w:hAnsi="Avenir Next LT Pro;sans-serif"/>
            <w:b w:val="false"/>
            <w:color w:val="0000FF"/>
            <w:sz w:val="20"/>
            <w:u w:val="single"/>
          </w:rPr>
          <w:t>Note E</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November 3, 2025, the Company has entered into forward fixed price delivery contracts to manage risk associated with certain future oil and natural gas sales prices as follows:</w:t>
      </w:r>
    </w:p>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86"/>
        <w:gridCol w:w="586"/>
        <w:gridCol w:w="594"/>
        <w:gridCol w:w="109"/>
        <w:gridCol w:w="109"/>
        <w:gridCol w:w="109"/>
        <w:gridCol w:w="370"/>
        <w:gridCol w:w="370"/>
        <w:gridCol w:w="372"/>
        <w:gridCol w:w="109"/>
        <w:gridCol w:w="109"/>
        <w:gridCol w:w="109"/>
        <w:gridCol w:w="330"/>
        <w:gridCol w:w="330"/>
        <w:gridCol w:w="332"/>
        <w:gridCol w:w="109"/>
        <w:gridCol w:w="109"/>
        <w:gridCol w:w="109"/>
        <w:gridCol w:w="324"/>
        <w:gridCol w:w="324"/>
        <w:gridCol w:w="318"/>
        <w:gridCol w:w="182"/>
        <w:gridCol w:w="182"/>
        <w:gridCol w:w="182"/>
        <w:gridCol w:w="292"/>
        <w:gridCol w:w="292"/>
        <w:gridCol w:w="397"/>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Volumes</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 xml:space="preserve">Type </w:t>
            </w:r>
            <w:r>
              <w:rPr>
                <w:rFonts w:ascii="Avenir Next LT Pro;sans-serif" w:hAnsi="Avenir Next LT Pro;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10/1/2025</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12/31/2025</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1/1/2026</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12/31/2026</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10"/>
        </w:rPr>
        <w:t>1</w:t>
      </w:r>
      <w:r>
        <w:rPr>
          <w:color w:val="000000"/>
        </w:rPr>
        <w:t xml:space="preserve"> </w:t>
      </w:r>
      <w:r>
        <w:rPr>
          <w:rFonts w:ascii="Avenir Next LT Pro;sans-serif" w:hAnsi="Avenir Next LT Pro;sans-serif"/>
          <w:b w:val="false"/>
          <w:color w:val="000000"/>
          <w:sz w:val="16"/>
        </w:rPr>
        <w:t>Fixed price forward sale contracts listed above are accounted for as normal sales and purchases for accounting purposes.</w:t>
      </w:r>
    </w:p>
    <w:tbl>
      <w:tblPr>
        <w:tblW w:w="10205" w:type="dxa"/>
        <w:jc w:val="left"/>
        <w:tblInd w:w="0" w:type="dxa"/>
        <w:tblLayout w:type="fixed"/>
        <w:tblCellMar>
          <w:top w:w="28" w:type="dxa"/>
          <w:left w:w="28" w:type="dxa"/>
          <w:bottom w:w="28" w:type="dxa"/>
          <w:right w:w="28" w:type="dxa"/>
        </w:tblCellMar>
      </w:tblPr>
      <w:tblGrid>
        <w:gridCol w:w="378"/>
        <w:gridCol w:w="334"/>
        <w:gridCol w:w="336"/>
        <w:gridCol w:w="109"/>
        <w:gridCol w:w="109"/>
        <w:gridCol w:w="109"/>
        <w:gridCol w:w="450"/>
        <w:gridCol w:w="450"/>
        <w:gridCol w:w="451"/>
        <w:gridCol w:w="109"/>
        <w:gridCol w:w="109"/>
        <w:gridCol w:w="109"/>
        <w:gridCol w:w="600"/>
        <w:gridCol w:w="600"/>
        <w:gridCol w:w="607"/>
        <w:gridCol w:w="109"/>
        <w:gridCol w:w="109"/>
        <w:gridCol w:w="109"/>
        <w:gridCol w:w="366"/>
        <w:gridCol w:w="366"/>
        <w:gridCol w:w="367"/>
        <w:gridCol w:w="109"/>
        <w:gridCol w:w="109"/>
        <w:gridCol w:w="109"/>
        <w:gridCol w:w="311"/>
        <w:gridCol w:w="311"/>
        <w:gridCol w:w="313"/>
        <w:gridCol w:w="109"/>
        <w:gridCol w:w="109"/>
        <w:gridCol w:w="109"/>
        <w:gridCol w:w="301"/>
        <w:gridCol w:w="301"/>
        <w:gridCol w:w="293"/>
        <w:gridCol w:w="172"/>
        <w:gridCol w:w="172"/>
        <w:gridCol w:w="172"/>
        <w:gridCol w:w="276"/>
        <w:gridCol w:w="276"/>
        <w:gridCol w:w="367"/>
      </w:tblGrid>
      <w:tr>
        <w:trPr/>
        <w:tc>
          <w:tcPr>
            <w:tcW w:w="3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Volumes</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10/1/2025</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12/31/2025</w:t>
            </w:r>
          </w:p>
        </w:tc>
      </w:tr>
    </w:tbl>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4155"/>
                <wp:effectExtent l="0" t="0" r="0" b="0"/>
                <wp:wrapNone/>
                <wp:docPr id="49" name="Frame4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Forward-Looking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“Item 1A. Risk Factors” in our most recent Annual Report on Form 10-K filed with the U.S. Securities and Exchange Commission (SEC) and on page </w:t>
      </w:r>
      <w:hyperlink w:anchor="i2cbe45e68324468f8220138092d5739d_244">
        <w:r>
          <w:rPr>
            <w:rStyle w:val="InternetLink"/>
            <w:rFonts w:ascii="Avenir Next LT Pro;sans-serif" w:hAnsi="Avenir Next LT Pro;sans-serif"/>
            <w:b w:val="false"/>
            <w:color w:val="0000FF"/>
            <w:sz w:val="20"/>
            <w:u w:val="single"/>
          </w:rPr>
          <w:t>50</w:t>
        </w:r>
      </w:hyperlink>
      <w:r>
        <w:rPr>
          <w:color w:val="000000"/>
        </w:rPr>
        <w:t xml:space="preserve"> </w:t>
      </w:r>
      <w:r>
        <w:rPr>
          <w:rFonts w:ascii="Avenir Next LT Pro;sans-serif" w:hAnsi="Avenir Next LT Pro;sans-serif"/>
          <w:b w:val="false"/>
          <w:color w:val="000000"/>
          <w:sz w:val="20"/>
        </w:rPr>
        <w:t>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4155"/>
                <wp:effectExtent l="0" t="0" r="0" b="0"/>
                <wp:wrapNone/>
                <wp:docPr id="50" name="Frame4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before="20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3. QUANTITATIVE AND QUALITATIVE DISCLOSURES ABOUT MARKET RISK</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is exposed to market risks associated with prices of crude oil, natural gas and petroleum products, foreign currency exchange rates, and interest rates. As described in </w:t>
      </w:r>
      <w:hyperlink w:anchor="i2cbe45e68324468f8220138092d5739d_97">
        <w:r>
          <w:rPr>
            <w:rStyle w:val="InternetLink"/>
            <w:rFonts w:ascii="Avenir Next LT Pro;sans-serif" w:hAnsi="Avenir Next LT Pro;sans-serif"/>
            <w:b w:val="false"/>
            <w:color w:val="0000FF"/>
            <w:sz w:val="20"/>
            <w:u w:val="single"/>
          </w:rPr>
          <w:t>Note L</w:t>
        </w:r>
      </w:hyperlink>
      <w:r>
        <w:rPr>
          <w:rFonts w:ascii="Avenir Next LT Pro;sans-serif" w:hAnsi="Avenir Next LT Pro;sans-serif"/>
          <w:b w:val="false"/>
          <w:color w:val="000000"/>
          <w:sz w:val="20"/>
        </w:rPr>
        <w:t>, Murphy periodically makes use of derivative financial and commodity instruments to manage risks associated with existing or anticipated transactions.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Commodity Price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commodity-based derivative contracts in place as of September 30, 2025, covering certain future U.S. natural gas sales volumes in 2025. A 10% increase in the respective benchmark price of these commodities would have decreased the net receivable associated with these derivative contracts by approximately $1.8 million, while a 10% decrease in the respective benchmark price would have increased the recorded net receivable by a similar amount.</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Foreign Exchange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derivative foreign exchange contracts in place at September 30, 2025.</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Interest Rate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senior unsecured RCF provides for variable interest rate borrowings. As of September 30, 2025, we had $150.0 million of outstanding borrowings under the RCF. Assuming no change in the amount of borrowings outstanding under the RCF, a 10% increase in the average interest rate would have increased our quarterly interest expense by approximately $0.3 million. Actual results may vary due to changes in the amount of variable rate debt outstanding.</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4. CONTROLS AND PROCEDURES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quarter ended September 30, 2025, there were no changes in the Company’s internal control over financial reporting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4155"/>
                <wp:effectExtent l="0" t="0" r="0" b="0"/>
                <wp:wrapNone/>
                <wp:docPr id="51" name="Frame5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49</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LEGAL PROCEEDINGS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in the oil and natural gas business naturally lead to various risks and uncertainties. These risk factors are discussed in “Item 1A. Risk Factors” in the Company’s 2024 Form 10-K filed on February 27, 2025. The Company has not identified any additional risk factors not previously disclosed in its 2024 Form 10-K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4155"/>
                <wp:effectExtent l="0" t="0" r="0" b="0"/>
                <wp:wrapNone/>
                <wp:docPr id="52" name="Frame5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5. OTHER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September 30, 2025, no director or officer of the Company adopted or terminated a “Rule 10b5-1 trading arrangement” or “non-Rule 10b5-1 trading arrangement,” as each term is defined in Item 408(a) of Regulation S-K.</w:t>
      </w:r>
    </w:p>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6. EXHIBITS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an index of exhibits that are hereby filed as indicated by asterisk (*), that are considered furnished rather than filed as indicated by double asterisks (**), or that are incorporated by reference. Exhibits other than those listed have been omitted since they are either not required or not applicable.</w:t>
      </w:r>
    </w:p>
    <w:tbl>
      <w:tblPr>
        <w:tblW w:w="10205" w:type="dxa"/>
        <w:jc w:val="center"/>
        <w:tblInd w:w="0" w:type="dxa"/>
        <w:tblLayout w:type="fixed"/>
        <w:tblCellMar>
          <w:top w:w="28" w:type="dxa"/>
          <w:left w:w="28" w:type="dxa"/>
          <w:bottom w:w="28" w:type="dxa"/>
          <w:right w:w="28" w:type="dxa"/>
        </w:tblCellMar>
      </w:tblPr>
      <w:tblGrid>
        <w:gridCol w:w="332"/>
        <w:gridCol w:w="291"/>
        <w:gridCol w:w="294"/>
        <w:gridCol w:w="109"/>
        <w:gridCol w:w="109"/>
        <w:gridCol w:w="109"/>
        <w:gridCol w:w="3174"/>
        <w:gridCol w:w="2815"/>
        <w:gridCol w:w="2815"/>
        <w:gridCol w:w="157"/>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Description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venir Next LT Pro;sans-serif" w:hAnsi="Avenir Next LT Pro;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Certificate of Incorporation of Murphy Oil Corporation, as amended effective May 11, 2005 (</w:t>
            </w:r>
            <w:hyperlink r:id="rId5">
              <w:r>
                <w:rPr>
                  <w:rStyle w:val="InternetLink"/>
                  <w:rFonts w:ascii="Avenir Next LT Pro;sans-serif" w:hAnsi="Avenir Next LT Pro;sans-serif"/>
                  <w:b w:val="false"/>
                  <w:color w:val="0000FF"/>
                  <w:sz w:val="20"/>
                  <w:u w:val="single"/>
                </w:rPr>
                <w:t>incorporated by reference to Exhibit 3.1 to Form 10-K of Registrant filed on February 28, 2011</w:t>
              </w:r>
            </w:hyperlink>
            <w:r>
              <w:rPr>
                <w:rFonts w:ascii="Avenir Next LT Pro;sans-serif" w:hAnsi="Avenir Next LT Pro;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venir Next LT Pro;sans-serif" w:hAnsi="Avenir Next LT Pro;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By-Laws of Murphy Oil Corporation, as amended effective August 5, 2020 (</w:t>
            </w:r>
            <w:hyperlink r:id="rId7">
              <w:r>
                <w:rPr>
                  <w:rStyle w:val="InternetLink"/>
                  <w:rFonts w:ascii="Avenir Next LT Pro;sans-serif" w:hAnsi="Avenir Next LT Pro;sans-serif"/>
                  <w:b w:val="false"/>
                  <w:color w:val="0000FF"/>
                  <w:sz w:val="20"/>
                  <w:u w:val="single"/>
                </w:rPr>
                <w:t>incorporated by reference to Exhibit 3.2 to Form 10-Q of Registrant filed on August 6, 2020</w:t>
              </w:r>
            </w:hyperlink>
            <w:r>
              <w:rPr>
                <w:rFonts w:ascii="Avenir Next LT Pro;sans-serif" w:hAnsi="Avenir Next LT Pro;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50930xex1035.htm">
              <w:r>
                <w:rPr>
                  <w:rStyle w:val="InternetLink"/>
                  <w:rFonts w:ascii="Avenir Next LT Pro;sans-serif" w:hAnsi="Avenir Next LT Pro;sans-serif"/>
                  <w:b w:val="false"/>
                  <w:color w:val="0000FF"/>
                  <w:sz w:val="20"/>
                  <w:u w:val="single"/>
                </w:rPr>
                <w:t>*10.35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0930xex1035.htm">
              <w:r>
                <w:rPr>
                  <w:rStyle w:val="InternetLink"/>
                  <w:rFonts w:ascii="Avenir Next LT Pro;sans-serif" w:hAnsi="Avenir Next LT Pro;sans-serif"/>
                  <w:b w:val="false"/>
                  <w:color w:val="0000FF"/>
                  <w:sz w:val="20"/>
                  <w:u w:val="single"/>
                </w:rPr>
                <w:t>Form of employee performance-based restricted stock unit (2025 LTI Plan)</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50930xex1036.htm">
              <w:r>
                <w:rPr>
                  <w:rStyle w:val="InternetLink"/>
                  <w:rFonts w:ascii="Avenir Next LT Pro;sans-serif" w:hAnsi="Avenir Next LT Pro;sans-serif"/>
                  <w:b w:val="false"/>
                  <w:color w:val="0000FF"/>
                  <w:sz w:val="20"/>
                  <w:u w:val="single"/>
                </w:rPr>
                <w:t>*10.36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0930xex1036.htm">
              <w:r>
                <w:rPr>
                  <w:rStyle w:val="InternetLink"/>
                  <w:rFonts w:ascii="Avenir Next LT Pro;sans-serif" w:hAnsi="Avenir Next LT Pro;sans-serif"/>
                  <w:b w:val="false"/>
                  <w:color w:val="0000FF"/>
                  <w:sz w:val="20"/>
                  <w:u w:val="single"/>
                </w:rPr>
                <w:t>Form of employee time-based restricted stock unit – A (2025 LTI Plan)</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50930xex311.htm">
              <w:r>
                <w:rPr>
                  <w:rStyle w:val="InternetLink"/>
                  <w:rFonts w:ascii="Avenir Next LT Pro;sans-serif" w:hAnsi="Avenir Next LT Pro;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0930xex311.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50930xex312.htm">
              <w:r>
                <w:rPr>
                  <w:rStyle w:val="InternetLink"/>
                  <w:rFonts w:ascii="Avenir Next LT Pro;sans-serif" w:hAnsi="Avenir Next LT Pro;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0930xex312.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50930xex321.htm">
              <w:r>
                <w:rPr>
                  <w:rStyle w:val="InternetLink"/>
                  <w:rFonts w:ascii="Avenir Next LT Pro;sans-serif" w:hAnsi="Avenir Next LT Pro;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0930xex321.htm">
              <w:r>
                <w:rPr>
                  <w:rStyle w:val="InternetLink"/>
                  <w:rFonts w:ascii="Avenir Next LT Pro;sans-serif" w:hAnsi="Avenir Next LT Pro;sans-serif"/>
                  <w:b w:val="false"/>
                  <w:color w:val="0000FF"/>
                  <w:sz w:val="20"/>
                  <w:u w:val="single"/>
                </w:rPr>
                <w:t>Certifications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Labels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Presentation Linkbase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12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51</w:t>
                      </w:r>
                    </w:p>
                  </w:txbxContent>
                </v:textbox>
                <w10:wrap type="none"/>
              </v:rect>
            </w:pict>
          </mc:Fallback>
        </mc:AlternateContent>
      </w:r>
    </w:p>
    <w:p>
      <w:pPr>
        <w:pStyle w:val="TextBody"/>
        <w:bidi w:val="0"/>
        <w:spacing w:lineRule="auto" w:line="288" w:before="120" w:after="120"/>
        <w:jc w:val="left"/>
        <w:rPr/>
      </w:pPr>
      <w:hyperlink w:anchor="i2cbe45e68324468f8220138092d573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center"/>
        <w:rPr>
          <w:rFonts w:ascii="Avenir Next LT Pro;sans-serif" w:hAnsi="Avenir Next LT Pro;sans-serif"/>
          <w:b/>
          <w:color w:val="000000"/>
          <w:sz w:val="20"/>
        </w:rPr>
      </w:pPr>
      <w:r>
        <w:rPr>
          <w:rFonts w:ascii="Avenir Next LT Pro;sans-serif" w:hAnsi="Avenir Next LT Pro;sans-serif"/>
          <w:b/>
          <w:color w:val="000000"/>
          <w:sz w:val="20"/>
        </w:rPr>
        <w:t>SIGNATURE</w:t>
      </w:r>
    </w:p>
    <w:p>
      <w:pPr>
        <w:pStyle w:val="TextBody"/>
        <w:bidi w:val="0"/>
        <w:spacing w:lineRule="auto" w:line="288" w:before="36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Pursuant to the requirements of the Securities Exchange Act of 1934, the Registrant has duly caused this report to be signed on its behalf by the undersigned thereunto duly authorized.</w:t>
      </w:r>
    </w:p>
    <w:tbl>
      <w:tblPr>
        <w:tblW w:w="7257" w:type="dxa"/>
        <w:jc w:val="left"/>
        <w:tblInd w:w="0" w:type="dxa"/>
        <w:tblLayout w:type="fixed"/>
        <w:tblCellMar>
          <w:top w:w="28" w:type="dxa"/>
          <w:left w:w="28" w:type="dxa"/>
          <w:bottom w:w="28" w:type="dxa"/>
          <w:right w:w="28" w:type="dxa"/>
        </w:tblCellMar>
      </w:tblPr>
      <w:tblGrid>
        <w:gridCol w:w="124"/>
        <w:gridCol w:w="109"/>
        <w:gridCol w:w="109"/>
        <w:gridCol w:w="505"/>
        <w:gridCol w:w="505"/>
        <w:gridCol w:w="505"/>
        <w:gridCol w:w="1580"/>
        <w:gridCol w:w="1580"/>
        <w:gridCol w:w="2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i/>
                <w:color w:val="000000"/>
                <w:sz w:val="20"/>
              </w:rPr>
            </w:pPr>
            <w:r>
              <w:rPr>
                <w:rFonts w:ascii="Avenir Next LT Pro;sans-serif" w:hAnsi="Avenir Next LT Pro;sans-serif"/>
                <w:b/>
                <w:i/>
                <w:color w:val="000000"/>
                <w:sz w:val="20"/>
              </w:rPr>
              <w:t>MURPHY OIL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By</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Vice President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(Chief Accounting Officer and Duly Authorized Officer)</w:t>
            </w:r>
          </w:p>
        </w:tc>
      </w:tr>
    </w:tbl>
    <w:p>
      <w:pPr>
        <w:pStyle w:val="TextBody"/>
        <w:bidi w:val="0"/>
        <w:spacing w:lineRule="auto" w:line="288" w:before="1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November 5, 2025 </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4155"/>
                <wp:effectExtent l="0" t="0" r="0" b="0"/>
                <wp:wrapNone/>
                <wp:docPr id="54" name="Frame5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10.35</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MURPHY OIL CORPORATION</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PERFORMANCE-BASED RESTRICTED STOCK UNIT GRANT AGREEMENT</w:t>
      </w:r>
    </w:p>
    <w:tbl>
      <w:tblPr>
        <w:tblW w:w="10205" w:type="dxa"/>
        <w:jc w:val="left"/>
        <w:tblInd w:w="0" w:type="dxa"/>
        <w:tblLayout w:type="fixed"/>
        <w:tblCellMar>
          <w:top w:w="28" w:type="dxa"/>
          <w:left w:w="28" w:type="dxa"/>
          <w:bottom w:w="28" w:type="dxa"/>
          <w:right w:w="28" w:type="dxa"/>
        </w:tblCellMar>
      </w:tblPr>
      <w:tblGrid>
        <w:gridCol w:w="1016"/>
        <w:gridCol w:w="892"/>
        <w:gridCol w:w="895"/>
        <w:gridCol w:w="989"/>
        <w:gridCol w:w="989"/>
        <w:gridCol w:w="990"/>
        <w:gridCol w:w="1296"/>
        <w:gridCol w:w="1296"/>
        <w:gridCol w:w="1842"/>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Performance-Based</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Restricted Stock Unit Award Number</w:t>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lineRule="auto" w:line="240" w:before="0" w:after="0"/>
              <w:jc w:val="center"/>
              <w:rPr>
                <w:color w:val="000000"/>
                <w:u w:val="single"/>
              </w:rPr>
            </w:pPr>
            <w:r>
              <w:rPr>
                <w:color w:val="000000"/>
                <w:u w:val="single"/>
              </w:rPr>
              <w:t>   </w:t>
            </w:r>
            <w:r>
              <w:rPr>
                <w:rFonts w:ascii="Times New Roman;serif" w:hAnsi="Times New Roman;serif"/>
                <w:b w:val="false"/>
                <w:color w:val="000000"/>
                <w:sz w:val="24"/>
                <w:u w:val="single"/>
              </w:rPr>
              <w:t xml:space="preserve">[[GRANTNUMBER]] </w:t>
            </w:r>
          </w:p>
        </w:tc>
        <w:tc>
          <w:tcPr>
            <w:tcW w:w="2968"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Name of Grantee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[[FIRSTNAME]] [[MIDDLENAME]]</w:t>
            </w:r>
          </w:p>
          <w:p>
            <w:pPr>
              <w:pStyle w:val="TableContents"/>
              <w:bidi w:val="0"/>
              <w:spacing w:lineRule="auto" w:line="240" w:before="0" w:after="0"/>
              <w:jc w:val="left"/>
              <w:rPr/>
            </w:pPr>
            <w:r>
              <w:rPr>
                <w:color w:val="000000"/>
              </w:rPr>
              <w:t> </w:t>
            </w:r>
            <w:r>
              <w:rPr>
                <w:color w:val="000000"/>
                <w:u w:val="single"/>
              </w:rPr>
              <w:t>               </w:t>
            </w:r>
            <w:r>
              <w:rPr>
                <w:rFonts w:ascii="Times New Roman;serif" w:hAnsi="Times New Roman;serif"/>
                <w:b w:val="false"/>
                <w:color w:val="000000"/>
                <w:sz w:val="24"/>
                <w:u w:val="single"/>
              </w:rPr>
              <w:t xml:space="preserve">[[LASTNAME]] </w:t>
            </w:r>
          </w:p>
        </w:tc>
        <w:tc>
          <w:tcPr>
            <w:tcW w:w="4434" w:type="dxa"/>
            <w:gridSpan w:val="3"/>
            <w:tcBorders>
              <w:top w:val="double" w:sz="5" w:space="0" w:color="000000"/>
              <w:left w:val="single" w:sz="4" w:space="0" w:color="000000"/>
              <w:bottom w:val="single" w:sz="12" w:space="0" w:color="000000"/>
              <w:right w:val="double" w:sz="5"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Target Number of Performance-Based Restricted Stock Units Subject to this Grant</w:t>
            </w:r>
          </w:p>
          <w:p>
            <w:pPr>
              <w:pStyle w:val="TableContents"/>
              <w:bidi w:val="0"/>
              <w:spacing w:lineRule="auto" w:line="240" w:before="0" w:after="0"/>
              <w:jc w:val="center"/>
              <w:rPr>
                <w:color w:val="000000"/>
                <w:u w:val="single"/>
              </w:rPr>
            </w:pPr>
            <w:r>
              <w:rPr>
                <w:color w:val="000000"/>
                <w:u w:val="single"/>
              </w:rPr>
              <w:t>    </w:t>
            </w:r>
            <w:r>
              <w:rPr>
                <w:rFonts w:ascii="Times New Roman;serif" w:hAnsi="Times New Roman;serif"/>
                <w:b w:val="false"/>
                <w:color w:val="000000"/>
                <w:sz w:val="24"/>
                <w:u w:val="single"/>
              </w:rPr>
              <w:t xml:space="preserve">[[SHARESGRANTED]] </w:t>
            </w:r>
          </w:p>
        </w:tc>
      </w:tr>
    </w:tbl>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4"/>
        </w:rPr>
        <w:t>This Performance-Based Restricted Stock Unit Award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is granted on and dated [[GRANTDATE]]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by Murphy Oil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and for the purposes of the 2025 Long-Term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Any terms used herein and not otherwise defined shall have the meanings set forth in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4"/>
        </w:rPr>
        <w:t>This Agreement is subject to the following terms and provisions. In addition, certain terms and provisions applicable to this Award may be communicated to you in a separate brochure (the “</w:t>
      </w:r>
      <w:r>
        <w:rPr>
          <w:rFonts w:ascii="Times New Roman;serif" w:hAnsi="Times New Roman;serif"/>
          <w:b w:val="false"/>
          <w:color w:val="000000"/>
          <w:sz w:val="24"/>
          <w:u w:val="single"/>
        </w:rPr>
        <w:t>Brochure</w:t>
      </w:r>
      <w:r>
        <w:rPr>
          <w:color w:val="000000"/>
        </w:rPr>
        <w:t>”</w:t>
      </w:r>
      <w:r>
        <w:rPr>
          <w:rFonts w:ascii="Times New Roman;serif" w:hAnsi="Times New Roman;serif"/>
          <w:b w:val="false"/>
          <w:color w:val="000000"/>
          <w:sz w:val="24"/>
        </w:rPr>
        <w:t xml:space="preserve">). By accepting this Agreement, you agree to the terms and provisions set forth below, in the Plan and in the Brochure.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1.The Company hereby grants to the employee named above (the “</w:t>
      </w:r>
      <w:r>
        <w:rPr>
          <w:rFonts w:ascii="Times New Roman;serif" w:hAnsi="Times New Roman;serif"/>
          <w:b w:val="false"/>
          <w:color w:val="000000"/>
          <w:sz w:val="24"/>
          <w:u w:val="single"/>
        </w:rPr>
        <w:t>Grantee</w:t>
      </w:r>
      <w:r>
        <w:rPr>
          <w:color w:val="000000"/>
        </w:rPr>
        <w:t>”</w:t>
      </w:r>
      <w:r>
        <w:rPr>
          <w:rFonts w:ascii="Times New Roman;serif" w:hAnsi="Times New Roman;serif"/>
          <w:b w:val="false"/>
          <w:color w:val="000000"/>
          <w:sz w:val="24"/>
        </w:rPr>
        <w:t>) the target number of Performance-Based Restricted Stock Units set forth above (“</w:t>
      </w:r>
      <w:r>
        <w:rPr>
          <w:rFonts w:ascii="Times New Roman;serif" w:hAnsi="Times New Roman;serif"/>
          <w:b w:val="false"/>
          <w:color w:val="000000"/>
          <w:sz w:val="24"/>
          <w:u w:val="single"/>
        </w:rPr>
        <w:t>Target RSUs</w:t>
      </w:r>
      <w:r>
        <w:rPr>
          <w:color w:val="000000"/>
        </w:rPr>
        <w:t>”</w:t>
      </w:r>
      <w:r>
        <w:rPr>
          <w:rFonts w:ascii="Times New Roman;serif" w:hAnsi="Times New Roman;serif"/>
          <w:b w:val="false"/>
          <w:color w:val="000000"/>
          <w:sz w:val="24"/>
        </w:rPr>
        <w:t>), each equal in value to one share of Common Stock.</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2. This Award is subject to the following vesting and time lapse restrictions:</w:t>
      </w:r>
    </w:p>
    <w:p>
      <w:pPr>
        <w:pStyle w:val="TextBody"/>
        <w:bidi w:val="0"/>
        <w:spacing w:before="0" w:after="0"/>
        <w:ind w:left="0" w:right="0" w:hanging="720"/>
        <w:jc w:val="both"/>
        <w:rPr/>
      </w:pPr>
      <w:r>
        <w:rPr/>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(a)In the event, and to the extent, that the Performance Measures as set forth in Section 3 below are satisfied in accordance with the Plan, the size of this Award will be determined by the Compensation Committee, and the Grantee will be paid the value of his or her earned Target RSUs in Shares during the first quarter of the fiscal year immediately following the completion of the Performance Measurement Period (as defined below); provided that, except as set forth in Sections 2(c), 2(d) and 2(e) below, the Grantee is employed by the Company on both the last day of the Performance Measurement Period and the date that the Compensation Committee determines the size of this Award. </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(b)In the event that the Grantee’s employment terminates any time prior to the date that the Compensation Committee determines the size of this Award, except as set forth in Sections 2(c), 2(d) and 2(e) below, he or she will forfeit all Target RSUs pursuant to this Award.</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(c)In the event of the Grantee’s death or Normal Termination (other than a termination for Cause or when grounds for Cause exist), the Grantee will receive the pro-rata number of Target RSUs earned for performance completed based upon the number of months worked pursuant to this Award up to the time of such termination, based on the actual achievement of the Performance Measures. In the event, and to the extent, that the Performance Measures are satisfied in accordance with the Plan and, as set forth in Section 3 below, and the size of this Award is determined by the Compensation Committee, the Grantee will be paid his or her Shares during the first quarter of the fiscal year immediately following the completion of the Performance Measurement Period. </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(d)In the event of the Grantee’s termination of employment (other than a termination for Cause or when grounds for Cause exist) when the Grantee is (i) Retirement Eligible and (ii) (x) is 60 years or older and has ten (10) or more continuous years of service as an Employee or (y) is 65 years or older and has five (5) or more continuous years of service as an Employee, the Grantee will be eligible to receive any earned Target RSUs, based on actual achievement of the Performance Measures. In the event, and to the extent, that the Performance Measures are satisfied in accordance with the Plan and, as set forth in Section 3 below, and the size of this Award is determined by the Compensation Committee, the Grantee will be paid his or her Shares during the first quarter of the fiscal year immediately following the completion of the Performance Measurement Period. The Grantee will be credited with one year of service following each full year of employment for purposes of this section; provided, that, any years of </w:t>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10.35</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service accrued prior to a break in service will not count towards the determination if the break in service was more than twelve (12) months in duration. Partial years of service, including partial years of prior service, will not be recognized and will not count towards the determination of years of service for purposes of this section.</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(e)Notwithstanding anything herein to the contrary, this Award will fully vest and one hundred percent (100%) of the Target RSUs granted will be deemed to be earned at the target level of performance and will be paid in full, without restrictions, upon the occurrence of the Grantee’s Qualifying Termination of Employment. “Qualifying Termination of Employment” means the termination of the Grantee’s employment within the two-year period immediately following a Change in Control (x) by the Company or any of its affiliates without Cause or (y) by the Grantee for Good Reason. Upon a Qualifying Termination of Employment, payment will be made as soon as reasonably practicable within the 60-day period following the date of the Grantee’s Qualifying Termination of Employment, less any Shares or amounts deducted for applicable withholding taxes.</w:t>
      </w:r>
    </w:p>
    <w:p>
      <w:pPr>
        <w:pStyle w:val="TextBody"/>
        <w:bidi w:val="0"/>
        <w:spacing w:lineRule="auto" w:line="240" w:before="0" w:after="240"/>
        <w:ind w:left="0" w:right="0" w:hanging="360"/>
        <w:jc w:val="both"/>
        <w:rPr/>
      </w:pPr>
      <w:r>
        <w:rPr>
          <w:rFonts w:ascii="Times New Roman;serif" w:hAnsi="Times New Roman;serif"/>
          <w:b w:val="false"/>
          <w:color w:val="000000"/>
          <w:sz w:val="24"/>
        </w:rPr>
        <w:t>(f)For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40" w:before="0" w:after="0"/>
        <w:jc w:val="both"/>
        <w:rPr/>
      </w:pPr>
      <w:r>
        <w:rPr>
          <w:rFonts w:ascii="Times New Roman;serif" w:hAnsi="Times New Roman;serif"/>
          <w:b w:val="false"/>
          <w:color w:val="000000"/>
          <w:sz w:val="24"/>
        </w:rPr>
        <w:t xml:space="preserve">(i) 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(ii) The Grantee’s commission of any dishonest or fraudulent act, which has caused or may reasonably be expected to cause a material injury to the interest or business reputation of the Company or any of its affiliates;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4"/>
        </w:rPr>
        <w:t xml:space="preserve">(iii) The Grantee’s plea of guilty or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or conviction of a felony under the laws of the United States or any state thereof or any other plea or confession of a similar crime in a jurisdiction in which the Company or any of its affiliates conducts business; or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(iv) The Grantee’s commission of a fraudulent act or participation in misconduct which leads to a material restatement of the Company’s financial statements</w:t>
      </w:r>
    </w:p>
    <w:p>
      <w:pPr>
        <w:pStyle w:val="TextBody"/>
        <w:bidi w:val="0"/>
        <w:spacing w:before="0" w:after="0"/>
        <w:jc w:val="both"/>
        <w:rPr/>
      </w:pPr>
      <w:r>
        <w:rPr/>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(g)For purposes of this Agreement, “Good Reason” means the occurrence of any of the following:</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 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(ii) Any reduction in the Grantee’s base salary, annual target cash bonus opportunity or long-term incentive award opportunity immediately prior to a Change in Control;</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(iii) A relocation of more than fifty (50) miles from the location of the Grantee’s principal job location or office prior to a Change in Control; or</w:t>
      </w:r>
    </w:p>
    <w:p>
      <w:pPr>
        <w:pStyle w:val="TextBody"/>
        <w:bidi w:val="0"/>
        <w:jc w:val="both"/>
        <w:rPr/>
      </w:pPr>
      <w:r>
        <w:rPr/>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10.35</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(iv) Any other action or inaction that constitutes a material breach by the Company or any of its affiliates of any employment or similar agreement pursuant to which the Grantee provides services to the Company or any of its affiliates;</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that the Grantee provides the Company with a written notice of termination indicating the Grantee’s 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pStyle w:val="TextBody"/>
        <w:bidi w:val="0"/>
        <w:spacing w:before="0" w:after="0"/>
        <w:ind w:left="0" w:right="0" w:firstLine="108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3.The “</w:t>
      </w:r>
      <w:r>
        <w:rPr>
          <w:rFonts w:ascii="Times New Roman;serif" w:hAnsi="Times New Roman;serif"/>
          <w:b w:val="false"/>
          <w:color w:val="000000"/>
          <w:sz w:val="24"/>
          <w:u w:val="single"/>
        </w:rPr>
        <w:t>Performance Measures</w:t>
      </w:r>
      <w:r>
        <w:rPr>
          <w:color w:val="000000"/>
        </w:rPr>
        <w:t xml:space="preserve">” </w:t>
      </w:r>
      <w:r>
        <w:rPr>
          <w:rFonts w:ascii="Times New Roman;serif" w:hAnsi="Times New Roman;serif"/>
          <w:b w:val="false"/>
          <w:color w:val="000000"/>
          <w:sz w:val="24"/>
        </w:rPr>
        <w:t>for this Award are: (i) 80% of the Target RSUs (the “</w:t>
      </w:r>
      <w:r>
        <w:rPr>
          <w:rFonts w:ascii="Times New Roman;serif" w:hAnsi="Times New Roman;serif"/>
          <w:b w:val="false"/>
          <w:color w:val="000000"/>
          <w:sz w:val="24"/>
          <w:u w:val="single"/>
        </w:rPr>
        <w:t>TSR Units</w:t>
      </w:r>
      <w:r>
        <w:rPr>
          <w:color w:val="000000"/>
        </w:rPr>
        <w:t>”</w:t>
      </w:r>
      <w:r>
        <w:rPr>
          <w:rFonts w:ascii="Times New Roman;serif" w:hAnsi="Times New Roman;serif"/>
          <w:b w:val="false"/>
          <w:color w:val="000000"/>
          <w:sz w:val="24"/>
        </w:rPr>
        <w:t>) shall be based on and subject to the achievement of the Company’s total shareholder return (“</w:t>
      </w:r>
      <w:r>
        <w:rPr>
          <w:rFonts w:ascii="Times New Roman;serif" w:hAnsi="Times New Roman;serif"/>
          <w:b w:val="false"/>
          <w:color w:val="000000"/>
          <w:sz w:val="24"/>
          <w:u w:val="single"/>
        </w:rPr>
        <w:t>TSR</w:t>
      </w:r>
      <w:r>
        <w:rPr>
          <w:color w:val="000000"/>
        </w:rPr>
        <w:t>”</w:t>
      </w:r>
      <w:r>
        <w:rPr>
          <w:rFonts w:ascii="Times New Roman;serif" w:hAnsi="Times New Roman;serif"/>
          <w:b w:val="false"/>
          <w:color w:val="000000"/>
          <w:sz w:val="24"/>
        </w:rPr>
        <w:t xml:space="preserve">) over the Performance Measurement Period compared to the TSR of the Company’s peer group, and (ii) 20% of the Target RSUs (the “ROACE </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 shall be based on and subject to the achievement of the amount determined by dividing (a) the sum of the Company’s cumulative earnings before interest, tax, depreciation and amortization for each of the three years in the Performance Measurement Period (Cumulative EBITDA), by (b) the sum of the Company’s average capital employed for each of the three years in the Performance Measurement Period (ACE). The number of Target RSUs earned (the “</w:t>
      </w:r>
      <w:r>
        <w:rPr>
          <w:rFonts w:ascii="Times New Roman;serif" w:hAnsi="Times New Roman;serif"/>
          <w:b w:val="false"/>
          <w:color w:val="000000"/>
          <w:sz w:val="24"/>
          <w:u w:val="single"/>
        </w:rPr>
        <w:t>Payout Percentage</w:t>
      </w:r>
      <w:r>
        <w:rPr>
          <w:color w:val="000000"/>
        </w:rPr>
        <w:t>”</w:t>
      </w:r>
      <w:r>
        <w:rPr>
          <w:rFonts w:ascii="Times New Roman;serif" w:hAnsi="Times New Roman;serif"/>
          <w:b w:val="false"/>
          <w:color w:val="000000"/>
          <w:sz w:val="24"/>
        </w:rPr>
        <w:t>) is detailed in the tables below.</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TSR Performance Measure</w:t>
      </w:r>
      <w:r>
        <w:rPr>
          <w:rFonts w:ascii="Times New Roman;serif" w:hAnsi="Times New Roman;serif"/>
          <w:b w:val="false"/>
          <w:color w:val="000000"/>
          <w:sz w:val="24"/>
        </w:rPr>
        <w:t>. The number of TSR Units earned will be based on the Company’s percentile ranking in TSR over the Performance Measurement Period compared to that of the Company’s peer group, as set forth in the table below:</w:t>
      </w:r>
    </w:p>
    <w:tbl>
      <w:tblPr>
        <w:tblW w:w="5970" w:type="dxa"/>
        <w:jc w:val="left"/>
        <w:tblInd w:w="0" w:type="dxa"/>
        <w:tblLayout w:type="fixed"/>
        <w:tblCellMar>
          <w:top w:w="28" w:type="dxa"/>
          <w:left w:w="28" w:type="dxa"/>
          <w:bottom w:w="28" w:type="dxa"/>
          <w:right w:w="28" w:type="dxa"/>
        </w:tblCellMar>
      </w:tblPr>
      <w:tblGrid>
        <w:gridCol w:w="1418"/>
        <w:gridCol w:w="1244"/>
        <w:gridCol w:w="1253"/>
        <w:gridCol w:w="601"/>
        <w:gridCol w:w="601"/>
        <w:gridCol w:w="853"/>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TSR Percentile Rank</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Payout Percentage</w:t>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(Threshold)</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(Target)</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39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At or Above 90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(Maximum)</w:t>
            </w:r>
          </w:p>
        </w:tc>
        <w:tc>
          <w:tcPr>
            <w:tcW w:w="20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r>
    </w:tbl>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Payout Percentage in respect of the TSR Units will be interpolated for points between the Threshold and Maximum performance levels. Notwithstanding the foregoing, if the Company’s absolute TSR over the Performance Measurement Period is less than 0%, the Payout Percentage shall not exceed 100%.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ROACE UNITS Performance Measure</w:t>
      </w:r>
      <w:r>
        <w:rPr>
          <w:rFonts w:ascii="Times New Roman;serif" w:hAnsi="Times New Roman;serif"/>
          <w:b w:val="false"/>
          <w:color w:val="000000"/>
          <w:sz w:val="24"/>
        </w:rPr>
        <w:t>. The number of ROACE Units earned will be based on the Company’s achievement of the amount determined by dividing the Cumulative EBITDA by the ACE, as defined above, for the Performance Measurement Period, as set forth in the table below:</w:t>
      </w:r>
    </w:p>
    <w:tbl>
      <w:tblPr>
        <w:tblW w:w="5655" w:type="dxa"/>
        <w:jc w:val="left"/>
        <w:tblInd w:w="0" w:type="dxa"/>
        <w:tblLayout w:type="fixed"/>
        <w:tblCellMar>
          <w:top w:w="28" w:type="dxa"/>
          <w:left w:w="28" w:type="dxa"/>
          <w:bottom w:w="28" w:type="dxa"/>
          <w:right w:w="28" w:type="dxa"/>
        </w:tblCellMar>
      </w:tblPr>
      <w:tblGrid>
        <w:gridCol w:w="1304"/>
        <w:gridCol w:w="1147"/>
        <w:gridCol w:w="1149"/>
        <w:gridCol w:w="601"/>
        <w:gridCol w:w="601"/>
        <w:gridCol w:w="853"/>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ROACE Units Performance Level</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Payout Percentage</w:t>
            </w:r>
          </w:p>
        </w:tc>
      </w:tr>
      <w:tr>
        <w:trPr/>
        <w:tc>
          <w:tcPr>
            <w:tcW w:w="36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Below [</w:t>
            </w:r>
            <w:r>
              <w:rPr>
                <w:color w:val="000000"/>
              </w:rPr>
              <w:t>•</w:t>
            </w:r>
            <w:r>
              <w:rPr>
                <w:rFonts w:ascii="Times New Roman;serif" w:hAnsi="Times New Roman;serif"/>
                <w:b w:val="false"/>
                <w:color w:val="000000"/>
                <w:sz w:val="24"/>
              </w:rPr>
              <w:t>]%</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36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(Threshold)</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36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(Target)</w:t>
            </w:r>
          </w:p>
        </w:tc>
        <w:tc>
          <w:tcPr>
            <w:tcW w:w="20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36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or Above (Maximum)</w:t>
            </w:r>
          </w:p>
        </w:tc>
        <w:tc>
          <w:tcPr>
            <w:tcW w:w="20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r>
    </w:tbl>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 Payout Percentage in respect of the ROACE Units will be interpolated for points between the Threshold and Maximum performance levels.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Performance Measurement Period</w:t>
      </w:r>
      <w:r>
        <w:rPr>
          <w:rFonts w:ascii="Times New Roman;serif" w:hAnsi="Times New Roman;serif"/>
          <w:b w:val="false"/>
          <w:color w:val="000000"/>
          <w:sz w:val="24"/>
        </w:rPr>
        <w:t>. The “</w:t>
      </w:r>
      <w:r>
        <w:rPr>
          <w:rFonts w:ascii="Times New Roman;serif" w:hAnsi="Times New Roman;serif"/>
          <w:b w:val="false"/>
          <w:color w:val="000000"/>
          <w:sz w:val="24"/>
          <w:u w:val="single"/>
        </w:rPr>
        <w:t>Performance Measurement Period</w:t>
      </w:r>
      <w:r>
        <w:rPr>
          <w:color w:val="000000"/>
        </w:rPr>
        <w:t xml:space="preserve">” </w:t>
      </w:r>
      <w:r>
        <w:rPr>
          <w:rFonts w:ascii="Times New Roman;serif" w:hAnsi="Times New Roman;serif"/>
          <w:b w:val="false"/>
          <w:color w:val="000000"/>
          <w:sz w:val="24"/>
        </w:rPr>
        <w:t>under this Award is January 1, 202[</w:t>
      </w:r>
      <w:r>
        <w:rPr>
          <w:color w:val="000000"/>
        </w:rPr>
        <w:t>•</w:t>
      </w:r>
      <w:r>
        <w:rPr>
          <w:rFonts w:ascii="Times New Roman;serif" w:hAnsi="Times New Roman;serif"/>
          <w:b w:val="false"/>
          <w:color w:val="000000"/>
          <w:sz w:val="24"/>
        </w:rPr>
        <w:t>] through December 31, 202[</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4.Provided that the Performance Measures as set forth in Section 3 above are satisfied and Shares are to be paid to the Grantee without restriction, such Shares paid will be the net Shares earned pursuant to Section 3 above less the number of Shares which must be withheld to satisfy the tax withholding requirements applicable to such payment of Shares.</w:t>
      </w:r>
    </w:p>
    <w:p>
      <w:pPr>
        <w:pStyle w:val="TextBody"/>
        <w:bidi w:val="0"/>
        <w:jc w:val="both"/>
        <w:rPr/>
      </w:pPr>
      <w:r>
        <w:rPr/>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10.35</w:t>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5.Notwithstanding anything to the contrary in this Agreement, in no event will Grantee be entitled to receive Shares pursuant to this Award that would result in a violation of the individual limits imposed by Section 5(c) of the Plan. In the event the number of Shares that become issuable pursuant to this Award (determined based on the achievement of the Performance Measures in Section 3) would otherwise violate the individual limits set forth in Section 5(c) of the Plan, the Compensation Committee shall reduce the number of Shares issuable to the Grantee under this Award such that no such violation will occur, and the number of Shares subject to the portion of the Award that is so reduced will be deemed automatically forfeited and canceled for no consideration</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6.In the event of any relevant change in the capitalization of the Company prior to the issuance of Shares underlying the Target RSUs, the number of Target RSUs may be equitably adjusted pursuant to the Plan to reflect that change.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7.This Award is not assignable except as provided under the Plan in the case of death and is not subject in whole or in part to attachment, execution, or levy of any kind.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8.The Grantee shall have no voting rights with respect to Shares underlying the Target RSUs unless and until such Shares are reflected as issued and outstanding shares on the Company’s stock ledger.</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9.The Grantee is eligible to receive a payment equivalent to the dividends paid on shares of Common Stock equal in number to the earned Target RSUs granted hereunder. These dividend equivalents will be accrued over the performance period and included in any Shares issued at the end of the period. In the event that Shares are not earned, the accompanying accrued dividend equivalents will be forfeited.</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10.The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serif" w:hAnsi="Times New Roman;serif"/>
          <w:b w:val="false"/>
          <w:color w:val="000000"/>
          <w:sz w:val="24"/>
          <w:u w:val="single"/>
        </w:rPr>
        <w:t>Recoupment Policy</w:t>
      </w:r>
      <w:r>
        <w:rPr>
          <w:color w:val="000000"/>
        </w:rPr>
        <w:t>”</w:t>
      </w:r>
      <w:r>
        <w:rPr>
          <w:rFonts w:ascii="Times New Roman;serif" w:hAnsi="Times New Roman;serif"/>
          <w:b w:val="false"/>
          <w:color w:val="000000"/>
          <w:sz w:val="24"/>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cancellation and/or recoupment in accordance with the terms of the Recoupment Policy or such other applicable clawback or recoupment arrangements or policies.</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11.Except as otherwise determined by the Compensation Committee, Awards granted under the Plan and pursuant to this Agreement shall satisfy the requirements of Section 409A of the Code and related regulations and Treasury pronouncements (“Section 409A”) to avoid the imposition of any taxes, including additional income taxes, thereunder. In accordance with the terms of the Plan, if the Grantee is deemed to be a “specified employee” under Section 409A at the time of such Grantee’s “separation from service” (as defined in Section 409A), and any amount with respect to an Award is “deferred compensation” subject to Section 409A, any distribution of such amount that otherwise would be made to such Grantee with respect to an Award as a result of such “separation from service” shall not be made until the date that is six months after such “separation from service,” except to the extent that earlier distribution would not result in such Grantee’s incurring interest or additional tax under Section 409A.If the Award is “deferred compensation” subject to Section 409A and provides for payment (or the acceleration of a payment date) upon the disability of the Grantee, such amounts shall only be paid (or such payment date shall only be accelerated) to the extent the Grantee’s disability meets the requirements for “disability” within the meaning of Section 1.409A-3(i)(4) of the Treasury Regulations. If the Award includes a “series of installment payments” (within the meaning of Section 1.409A-2(b)(2)(iii) of the Treasury Regulations), the Grantee’s right to such series of installment payments shall be treated as a right to a series of separate payments and not as a right to a single payment, and if the Award includes “dividend equivalents” (within the meaning of Section 1.409A-3(e) of the Treasury Regulations), the Grantee’s right to such dividend equivalents shall be treated separately from the right to other amounts under the Award. In the case of any Award which is to be paid out when vested and is intended to qualify as an exempt “short term deferral” under </w:t>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10.35</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Section 409A, such payment shall be made as soon as administratively feasible after the Award became vested, but in no event shall such payment be made later than 2-1/2 months after the end of the calendar year in which the Award became vested unless otherwise permitted under the exemption provisions of Section 409A.</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12.The Plan, this Agreement and the Brochure are administered by the Compensation Committee. In the event of any conflict between the terms and provisions of the Plan, this Agreement and/or the Brochure, the terms and provisions of the Plan shall control. The Compensation Committee has the full authority and discretion to interpret and administer the Plan consistent with the terms and provisions of the Plan.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Attest:                         Murphy Oil Corporation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 By___________________________________</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10.36</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MURPHY OIL CORPORATION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TIME-BASED RESTRICTED STOCK UNIT GRANT AGREEMENT</w:t>
      </w:r>
    </w:p>
    <w:tbl>
      <w:tblPr>
        <w:tblW w:w="10205" w:type="dxa"/>
        <w:jc w:val="left"/>
        <w:tblInd w:w="0" w:type="dxa"/>
        <w:tblLayout w:type="fixed"/>
        <w:tblCellMar>
          <w:top w:w="28" w:type="dxa"/>
          <w:left w:w="28" w:type="dxa"/>
          <w:bottom w:w="28" w:type="dxa"/>
          <w:right w:w="28" w:type="dxa"/>
        </w:tblCellMar>
      </w:tblPr>
      <w:tblGrid>
        <w:gridCol w:w="1080"/>
        <w:gridCol w:w="949"/>
        <w:gridCol w:w="952"/>
        <w:gridCol w:w="1082"/>
        <w:gridCol w:w="1082"/>
        <w:gridCol w:w="1083"/>
        <w:gridCol w:w="1163"/>
        <w:gridCol w:w="1163"/>
        <w:gridCol w:w="1651"/>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Time-Based</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Restricted Stock Unit Award Number</w:t>
            </w:r>
          </w:p>
          <w:p>
            <w:pPr>
              <w:pStyle w:val="TableContents"/>
              <w:bidi w:val="0"/>
              <w:spacing w:before="0" w:after="0"/>
              <w:jc w:val="left"/>
              <w:rPr/>
            </w:pPr>
            <w:r>
              <w:rPr/>
            </w:r>
          </w:p>
          <w:p>
            <w:pPr>
              <w:pStyle w:val="TableContents"/>
              <w:bidi w:val="0"/>
              <w:spacing w:lineRule="auto" w:line="240" w:before="0" w:after="0"/>
              <w:jc w:val="center"/>
              <w:rPr>
                <w:color w:val="000000"/>
                <w:u w:val="single"/>
              </w:rPr>
            </w:pPr>
            <w:r>
              <w:rPr>
                <w:color w:val="000000"/>
                <w:u w:val="single"/>
              </w:rPr>
              <w:t> </w:t>
            </w:r>
            <w:r>
              <w:rPr>
                <w:rFonts w:ascii="Times New Roman;serif" w:hAnsi="Times New Roman;serif"/>
                <w:b w:val="false"/>
                <w:color w:val="000000"/>
                <w:sz w:val="24"/>
                <w:u w:val="single"/>
              </w:rPr>
              <w:t>[[GRANTNUMBER]]</w:t>
            </w:r>
          </w:p>
        </w:tc>
        <w:tc>
          <w:tcPr>
            <w:tcW w:w="3247"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Name of Grantee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[[FIRSTNAME]] [[MIDDLENAME]]</w:t>
            </w:r>
          </w:p>
          <w:p>
            <w:pPr>
              <w:pStyle w:val="TableContents"/>
              <w:bidi w:val="0"/>
              <w:spacing w:lineRule="auto" w:line="240" w:before="0" w:after="0"/>
              <w:jc w:val="left"/>
              <w:rPr/>
            </w:pPr>
            <w:r>
              <w:rPr>
                <w:color w:val="000000"/>
              </w:rPr>
              <w:t> </w:t>
            </w:r>
            <w:r>
              <w:rPr>
                <w:color w:val="000000"/>
                <w:u w:val="single"/>
              </w:rPr>
              <w:t>                 </w:t>
            </w:r>
            <w:r>
              <w:rPr>
                <w:rFonts w:ascii="Times New Roman;serif" w:hAnsi="Times New Roman;serif"/>
                <w:b w:val="false"/>
                <w:color w:val="000000"/>
                <w:sz w:val="24"/>
                <w:u w:val="single"/>
              </w:rPr>
              <w:t xml:space="preserve">[[LASTNAME]] </w:t>
            </w:r>
          </w:p>
        </w:tc>
        <w:tc>
          <w:tcPr>
            <w:tcW w:w="3977" w:type="dxa"/>
            <w:gridSpan w:val="3"/>
            <w:tcBorders>
              <w:top w:val="double" w:sz="5" w:space="0" w:color="000000"/>
              <w:left w:val="double" w:sz="5" w:space="0" w:color="000000"/>
              <w:bottom w:val="single" w:sz="12"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Number of Restricted Stock Units Subject to this Grant</w:t>
            </w:r>
          </w:p>
          <w:p>
            <w:pPr>
              <w:pStyle w:val="TableContents"/>
              <w:bidi w:val="0"/>
              <w:spacing w:before="0" w:after="0"/>
              <w:jc w:val="left"/>
              <w:rPr/>
            </w:pPr>
            <w:r>
              <w:rPr/>
            </w:r>
          </w:p>
          <w:p>
            <w:pPr>
              <w:pStyle w:val="TableContents"/>
              <w:bidi w:val="0"/>
              <w:spacing w:lineRule="auto" w:line="240" w:before="0" w:after="0"/>
              <w:jc w:val="left"/>
              <w:rPr>
                <w:color w:val="000000"/>
                <w:u w:val="single"/>
              </w:rPr>
            </w:pPr>
            <w:r>
              <w:rPr>
                <w:color w:val="000000"/>
                <w:u w:val="single"/>
              </w:rPr>
              <w:t>  </w:t>
            </w:r>
            <w:r>
              <w:rPr>
                <w:rFonts w:ascii="Times New Roman;serif" w:hAnsi="Times New Roman;serif"/>
                <w:b w:val="false"/>
                <w:color w:val="000000"/>
                <w:sz w:val="24"/>
                <w:u w:val="single"/>
              </w:rPr>
              <w:t xml:space="preserve">[[SHARESGRANTED]] </w:t>
            </w:r>
          </w:p>
        </w:tc>
      </w:tr>
    </w:tbl>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4"/>
        </w:rPr>
        <w:t>This Time-Based Restricted Stock Unit Award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is granted on and dated [[GRANTDATE]]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by Murphy Oil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and for the purposes of the 2025 Long-Term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subject to the provisions set forth herein and in the Plan. Any terms used herein and not otherwise defined shall have the meanings set forth in the Plan.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1. The Company hereby grants to the individual named above (the “</w:t>
      </w:r>
      <w:r>
        <w:rPr>
          <w:rFonts w:ascii="Times New Roman;serif" w:hAnsi="Times New Roman;serif"/>
          <w:b w:val="false"/>
          <w:color w:val="000000"/>
          <w:sz w:val="24"/>
          <w:u w:val="single"/>
        </w:rPr>
        <w:t>Grantee</w:t>
      </w:r>
      <w:r>
        <w:rPr>
          <w:color w:val="000000"/>
        </w:rPr>
        <w:t>”</w:t>
      </w:r>
      <w:r>
        <w:rPr>
          <w:rFonts w:ascii="Times New Roman;serif" w:hAnsi="Times New Roman;serif"/>
          <w:b w:val="false"/>
          <w:color w:val="000000"/>
          <w:sz w:val="24"/>
        </w:rPr>
        <w:t>) an Award of Time-Based Restricted Stock Units each equal in value to one share of Common Stock (collectively, the “</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 This Award constitutes a right to receive Shares in the future and does not represent any current interest in the Shares subject to this Award.</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This Award is subject to the following vesting and time lapse restrictions: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(a) In accordance with the Plan, this Award will fully vest on the third anniversary of the Grant Date (the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xml:space="preserve">) and Shares will be issued, less any Shares deducted for applicable withholding taxes, within the 60-day period following such vesting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except as set forth in Sections 2(c), 2(d) and 2(e) below, the Grantee is employed by the Company on the Vesting Date; </w:t>
      </w:r>
      <w:r>
        <w:rPr>
          <w:rFonts w:ascii="Times New Roman;serif" w:hAnsi="Times New Roman;serif"/>
          <w:b w:val="false"/>
          <w:i/>
          <w:color w:val="000000"/>
          <w:sz w:val="24"/>
        </w:rPr>
        <w:t>provided further</w:t>
      </w:r>
      <w:r>
        <w:rPr>
          <w:rFonts w:ascii="Times New Roman;serif" w:hAnsi="Times New Roman;serif"/>
          <w:b w:val="false"/>
          <w:color w:val="000000"/>
          <w:sz w:val="24"/>
        </w:rPr>
        <w:t>, that this Award shall not vest whenever the delivery of Shares under it would be a violation of any applicable law, rule or regulation.</w:t>
      </w:r>
    </w:p>
    <w:p>
      <w:pPr>
        <w:pStyle w:val="TextBody"/>
        <w:bidi w:val="0"/>
        <w:spacing w:before="0" w:after="0"/>
        <w:ind w:left="0" w:right="0" w:hanging="36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In the event that the Grantee’s employment terminates any time prior to the Vesting Date, except as set forth in Sections 2(c), 2(d) and 2(e) below, he or she will forfeit this Award.</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Except as set forth in Section 2(d) below, in the event of the Grantee’s death or Normal Termination (other than a termination for Cause or when grounds for Cause exist) prior to the Vesting Date, any then outstanding Units pursuant to this Award shall vest on the date of such termination in a pro-rated amount determined by multiplying the number of Units granted by a fraction, the numerator of which is the number of months in the period beginning on the Grant Date and ending on the last day of the month in which the Grantee terminates employment, and the denominator of which is the total number of months in the Restricted Period. The Grantee (or his/her beneficiary) will be paid his/her Shares, less any Shares deducted for applicable withholding taxes, as soon as reasonably practicable within the 60-day period following the date of the Grantee’s termination of employment.</w:t>
      </w:r>
    </w:p>
    <w:p>
      <w:pPr>
        <w:pStyle w:val="TextBody"/>
        <w:bidi w:val="0"/>
        <w:spacing w:before="0" w:after="0"/>
        <w:ind w:left="0" w:right="0" w:hanging="360"/>
        <w:jc w:val="both"/>
        <w:rPr/>
      </w:pPr>
      <w:r>
        <w:rPr/>
      </w:r>
    </w:p>
    <w:p>
      <w:pPr>
        <w:pStyle w:val="TextBody"/>
        <w:bidi w:val="0"/>
        <w:spacing w:lineRule="auto" w:line="26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In the event of the Grantee’s termination of employment (other than a termination for Cause or when grounds for Cause exist) when the Grantee is (i) Retirement Eligible and (ii) (x) is 60 years or older and has ten (10) or more continuous years of service as an Employee or (y) is 65 years or older and has five (5) or more continuous years of service as an Employee, any then outstanding and unvested Units pursuant to this Award shall vest in full on the date of Grantee’s termination of employment. The Grantee will be credited with one year of service following each full year of employment for purposes of this section; provided, that, any years of service accrued prior to a break in service will not count towards the determination if the break in service was more than twelve (12) months in duration. Partial years of service, including partial years of prior service, will not be recognized and will not count towards such determination of years of service for purposes of this section. The Grantee will be paid his/her Shares, less any Shares deducted for applicable withholding taxes, as soon as reasonably practicable within the 60-day period following the date of the Grantee’s termination of employment.</w:t>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10.36</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Notwithstanding anything to the contrary herein, this Award will fully vest and one hundred percent (100%) of the Units granted will be deemed to be earned as of the date of the Grantee’s Qualifying Termination of Employment. “Qualifying Termination of Employment” means the termination of the Grantee’s employment within the two-year period immediately following a Change in Control (x) by the Company or any of its affiliates without Cause or (y) by the Grantee for Good Reason. Shares will be issued as soon as reasonably practicable within the 60-day period following the date of the Grantee’s Qualifying Termination of Employment, less any Shares deducted for applicable withholding taxes.</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(f)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4"/>
        </w:rPr>
        <w:t xml:space="preserve">(i) 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(ii) The Grantee’s commission of any dishonest or fraudulent act, which has caused or may reasonably be expected to cause a material injury to the interest or business reputation of the Company or any of its affiliates;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4"/>
        </w:rPr>
        <w:t xml:space="preserve">(iii) The Grantee’s plea of guilty or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or conviction of a felony under the laws of the United States or any state thereof or any other plea or confession of a similar crime in a jurisdiction in which the Company or any of its affiliates conducts business; or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(iv) The Grantee’s commission of a fraudulent act or participation in misconduct which leads to a material restatement of the Company’s financial statements.</w:t>
      </w:r>
    </w:p>
    <w:p>
      <w:pPr>
        <w:pStyle w:val="TextBody"/>
        <w:bidi w:val="0"/>
        <w:spacing w:before="0" w:after="0"/>
        <w:ind w:left="0" w:right="0" w:firstLine="180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(g) For purposes of this Agreement,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before="0" w:after="0"/>
        <w:ind w:left="0" w:right="0" w:hanging="36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 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(ii) Any reduction in the Grantee’s base salary, annual target cash bonus opportunity or long-term incentive award opportunity immediately prior to a Change in Control;</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(iii) A relocation of more than fifty (50) miles from the location of the Grantee’s principal job location or office prior to a Change in Control; or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(iv) Any other action or inaction that constitutes a material breach by the Company or any of its affiliates of any employment or similar agreement pursuant to which the Grantee provides services to the Company or any of its affiliates;</w:t>
      </w:r>
    </w:p>
    <w:p>
      <w:pPr>
        <w:pStyle w:val="TextBody"/>
        <w:bidi w:val="0"/>
        <w:jc w:val="both"/>
        <w:rPr/>
      </w:pPr>
      <w:r>
        <w:rPr/>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10.36</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that the Grantee provides the Company with a written notice of termination indicating the Grantee’s 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 In the event of any relevant change in the capitalization of the Company subsequent to the Grant Date and prior to the issuance of Shares underlying the Units, the number of Units may be equitably adjusted pursuant to the Plan to reflect that change.</w:t>
      </w:r>
    </w:p>
    <w:p>
      <w:pPr>
        <w:pStyle w:val="TextBody"/>
        <w:bidi w:val="0"/>
        <w:spacing w:before="0" w:after="0"/>
        <w:ind w:left="0" w:right="0" w:hanging="36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 This Award is not assignable except as provided under the Plan in the case of death and is not subject in whole or in part to attachment, execution or levy of any kind.</w:t>
      </w:r>
    </w:p>
    <w:p>
      <w:pPr>
        <w:pStyle w:val="TextBody"/>
        <w:bidi w:val="0"/>
        <w:spacing w:before="0" w:after="0"/>
        <w:ind w:left="0" w:right="0" w:hanging="36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 The Grantee shall have no voting rights with respect to Shares underlying the Units unless and until such Shares are reflected as issued and outstanding shares on the Company’s stock ledger.</w:t>
      </w:r>
    </w:p>
    <w:p>
      <w:pPr>
        <w:pStyle w:val="TextBody"/>
        <w:bidi w:val="0"/>
        <w:spacing w:before="0" w:after="0"/>
        <w:ind w:left="0" w:right="0" w:hanging="36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 The Grantee shall not be eligible to receive any dividends or other distributions paid with respect to the Units during the Restricted Period. An amount equivalent to these dividends and/or other distributions shall be paid to the Grantee upon and subject to the issuance of Shares and payment of this Award. Any such payment (unadjusted for interest) shall be made in whole Shares, valued as of the date that this Award vests in accordance with Section 2 above, subject to applicable withholding taxes.</w:t>
      </w:r>
    </w:p>
    <w:p>
      <w:pPr>
        <w:pStyle w:val="TextBody"/>
        <w:bidi w:val="0"/>
        <w:spacing w:before="0" w:after="0"/>
        <w:ind w:left="0" w:right="0" w:hanging="360"/>
        <w:jc w:val="left"/>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4"/>
        </w:rPr>
        <w:t>7. 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serif" w:hAnsi="Times New Roman;serif"/>
          <w:b w:val="false"/>
          <w:color w:val="000000"/>
          <w:sz w:val="24"/>
          <w:u w:val="single"/>
        </w:rPr>
        <w:t>Recoupment Policy</w:t>
      </w:r>
      <w:r>
        <w:rPr>
          <w:color w:val="000000"/>
        </w:rPr>
        <w:t>”</w:t>
      </w:r>
      <w:r>
        <w:rPr>
          <w:rFonts w:ascii="Times New Roman;serif" w:hAnsi="Times New Roman;serif"/>
          <w:b w:val="false"/>
          <w:color w:val="000000"/>
          <w:sz w:val="24"/>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cancellation and/or recoupment in accordance with the terms of the Recoupment Policy or such other applicable clawback or recoupment arrangements or policies.</w:t>
      </w:r>
    </w:p>
    <w:p>
      <w:pPr>
        <w:pStyle w:val="TextBody"/>
        <w:bidi w:val="0"/>
        <w:spacing w:before="0" w:after="0"/>
        <w:ind w:left="0" w:right="0" w:hanging="360"/>
        <w:jc w:val="both"/>
        <w:rPr/>
      </w:pPr>
      <w:r>
        <w:rPr/>
      </w:r>
    </w:p>
    <w:p>
      <w:pPr>
        <w:pStyle w:val="TextBody"/>
        <w:bidi w:val="0"/>
        <w:spacing w:lineRule="auto" w:line="240"/>
        <w:ind w:left="0" w:right="0" w:hanging="360"/>
        <w:jc w:val="both"/>
        <w:rPr/>
      </w:pPr>
      <w:r>
        <w:rPr>
          <w:rFonts w:ascii="Times New Roman;serif" w:hAnsi="Times New Roman;serif"/>
          <w:b w:val="false"/>
          <w:color w:val="000000"/>
          <w:sz w:val="24"/>
        </w:rPr>
        <w:t>8. Awards granted under the Plan and pursuant to this Agreement are intended to satisfy or be exempt from the requirements of Section 409A of the Code and related regulations and Treasury pronouncements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to avoid the imposition of any taxes, including additional income taxes, thereunder. In accordance with the terms of the Plan, if the Grantee is deemed to be a “specified employee” under Section 409A at the time of such Grantee’s “separation from service” (as defined in Section 409A), and any amount with respect to an Award is “deferred compensation” subject to Section 409A, any distribution of such amount that otherwise would be made to such Grantee with respect to an Award as a result of such “separation from service” shall not be made until the date that is six months after such “separation from service,” except to the extent that earlier distribution would not result in such Grantee’s incurring interest or additional tax under Section 409A. If the Award is “deferred compensation” subject to Section 409A and provides for payment (or the acceleration of a payment date) upon the disability of the Grantee, such amounts shall only be paid (or such payment date shall only be accelerated) to the extent the Grantee’s disability meets the requirements for “disability” within the meaning of Section 1.409A-3(i)(4) of the Treasury Regulations. If the Award includes a “series of installment payments” (within the meaning of Section 1.409A-2(b)(2)(iii) of the Treasury Regulations), the Grantee’s right to such series of installment payments shall be treated as a right to a series of separate payments and not as a right to a single payment, and if the Award includes “dividend equivalents” (within the meaning of Section 1.409A-3(e) of the Treasury Regulations), the Grantee’s right to such dividend equivalents shall be treated separately from the right to other amounts under the Award. In the case of any Award which is to be paid out when vested and is intended to qualify as an exempt “short term deferral” under Section 409A, such payment shall be made as soon as administratively feasible after the Award became vested, but in no event shall such payment be made later than 2-1/2 months after the end of the calendar year </w:t>
      </w:r>
    </w:p>
    <w:p>
      <w:pPr>
        <w:pStyle w:val="TextBody"/>
        <w:bidi w:val="0"/>
        <w:spacing w:before="120" w:after="283"/>
        <w:ind w:left="0" w:right="0" w:firstLine="72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120" w:after="283"/>
        <w:ind w:left="0" w:right="0" w:firstLine="720"/>
        <w:jc w:val="right"/>
        <w:rPr>
          <w:rFonts w:ascii="Avenir Next LT Pro;sans-serif" w:hAnsi="Avenir Next LT Pro;sans-serif"/>
          <w:b/>
          <w:color w:val="000000"/>
          <w:sz w:val="22"/>
        </w:rPr>
      </w:pPr>
      <w:r>
        <w:rPr>
          <w:rFonts w:ascii="Avenir Next LT Pro;sans-serif" w:hAnsi="Avenir Next LT Pro;sans-serif"/>
          <w:b/>
          <w:color w:val="000000"/>
          <w:sz w:val="22"/>
        </w:rPr>
        <w:t>EXHIBIT 10.36</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 which the Award became vested unless otherwise permitted under the exemption provisions of Section 409A.</w:t>
      </w:r>
    </w:p>
    <w:p>
      <w:pPr>
        <w:pStyle w:val="TextBody"/>
        <w:bidi w:val="0"/>
        <w:spacing w:before="0" w:after="0"/>
        <w:ind w:left="0" w:right="0" w:hanging="36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 The Plan and this Agreement are administered by the Compensation Committee. In the event of any conflict between the terms and provisions of the Plan and this Agreement, the terms and provisions of the Plan shall control. The Compensation Committee has the full authority and discretion to interpret and administer the Plan consistent with the terms and provisions of the Plan.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Attest:                         Murphy Oil Corporation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 By___________________________________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Eric M. Hambly,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2549" w:type="dxa"/>
        <w:jc w:val="left"/>
        <w:tblInd w:w="0" w:type="dxa"/>
        <w:tblLayout w:type="fixed"/>
        <w:tblCellMar>
          <w:top w:w="28" w:type="dxa"/>
          <w:left w:w="28" w:type="dxa"/>
          <w:bottom w:w="28" w:type="dxa"/>
          <w:right w:w="28" w:type="dxa"/>
        </w:tblCellMar>
      </w:tblPr>
      <w:tblGrid>
        <w:gridCol w:w="815"/>
        <w:gridCol w:w="716"/>
        <w:gridCol w:w="101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November 5, 2025</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Thomas J. Mireles,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2549" w:type="dxa"/>
        <w:jc w:val="left"/>
        <w:tblInd w:w="0" w:type="dxa"/>
        <w:tblLayout w:type="fixed"/>
        <w:tblCellMar>
          <w:top w:w="28" w:type="dxa"/>
          <w:left w:w="28" w:type="dxa"/>
          <w:bottom w:w="28" w:type="dxa"/>
          <w:right w:w="28" w:type="dxa"/>
        </w:tblCellMar>
      </w:tblPr>
      <w:tblGrid>
        <w:gridCol w:w="815"/>
        <w:gridCol w:w="716"/>
        <w:gridCol w:w="101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November 5, 2025</w:t>
            </w:r>
          </w:p>
        </w:tc>
      </w:tr>
    </w:tbl>
    <w:p>
      <w:pPr>
        <w:pStyle w:val="TextBody"/>
        <w:bidi w:val="0"/>
        <w:spacing w:before="10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32.1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5"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18 U.S.C. SECTION 1350,</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AS ADOPTED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906 OF THE SARBANES-OXLEY ACT OF 2002</w:t>
      </w:r>
    </w:p>
    <w:p>
      <w:pPr>
        <w:pStyle w:val="TextBody"/>
        <w:bidi w:val="0"/>
        <w:spacing w:lineRule="auto" w:line="288" w:before="200" w:after="283"/>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In connection with the quarterly report of Murphy Oil Corporation (the “Company”) on Form 10-Q for the period ended September 30, 2025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(2)The information contained in the Report fairly presents, in all material respects, the financial condition and results of operations of the Company.</w:t>
      </w:r>
    </w:p>
    <w:tbl>
      <w:tblPr>
        <w:tblW w:w="2549" w:type="dxa"/>
        <w:jc w:val="left"/>
        <w:tblInd w:w="0" w:type="dxa"/>
        <w:tblLayout w:type="fixed"/>
        <w:tblCellMar>
          <w:top w:w="28" w:type="dxa"/>
          <w:left w:w="28" w:type="dxa"/>
          <w:bottom w:w="28" w:type="dxa"/>
          <w:right w:w="28" w:type="dxa"/>
        </w:tblCellMar>
      </w:tblPr>
      <w:tblGrid>
        <w:gridCol w:w="815"/>
        <w:gridCol w:w="716"/>
        <w:gridCol w:w="101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November 5, 2025</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spacing w:before="8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6"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Next LT Pro">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717423/000119312525066248/d903153ddef14a.htm" TargetMode="External"/><Relationship Id="rId4" Type="http://schemas.openxmlformats.org/officeDocument/2006/relationships/hyperlink" Target="https://www.sec.gov/Archives/edgar/data/717423/000119312511049276/dex31.htm" TargetMode="External"/><Relationship Id="rId5" Type="http://schemas.openxmlformats.org/officeDocument/2006/relationships/hyperlink" Target="https://www.sec.gov/Archives/edgar/data/717423/000119312511049276/dex31.htm" TargetMode="External"/><Relationship Id="rId6" Type="http://schemas.openxmlformats.org/officeDocument/2006/relationships/hyperlink" Target="https://www.sec.gov/Archives/edgar/data/717423/000071742320000051/mur-20200630xex32ng.htm" TargetMode="External"/><Relationship Id="rId7" Type="http://schemas.openxmlformats.org/officeDocument/2006/relationships/hyperlink" Target="https://www.sec.gov/Archives/edgar/data/717423/000071742320000051/mur-20200630xex32ng.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27834</Words>
  <Characters>153514</Characters>
  <CharactersWithSpaces>179358</CharactersWithSpaces>
  <Paragraphs>4463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