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As filed with the Securities and Exchange Commission on September 30, 1994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ind w:left="3900"/>
        <w:spacing w:after="0" w:line="238" w:lineRule="auto"/>
        <w:rPr>
          <w:sz w:val="20"/>
          <w:szCs w:val="20"/>
          <w:color w:val="auto"/>
        </w:rPr>
      </w:pPr>
      <w:r>
        <w:rPr>
          <w:rFonts w:ascii="Courier New" w:cs="Courier New" w:eastAsia="Courier New" w:hAnsi="Courier New"/>
          <w:sz w:val="18"/>
          <w:szCs w:val="18"/>
          <w:color w:val="auto"/>
        </w:rPr>
        <w:t>TO</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S-3</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Murphy Oil Corporation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1380"/>
        <w:spacing w:after="0"/>
        <w:tabs>
          <w:tab w:leader="none" w:pos="568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71-0361522</w:t>
      </w:r>
    </w:p>
    <w:p>
      <w:pPr>
        <w:ind w:left="220"/>
        <w:spacing w:after="0"/>
        <w:tabs>
          <w:tab w:leader="none" w:pos="430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 Identification No.)</w:t>
      </w:r>
    </w:p>
    <w:p>
      <w:pPr>
        <w:ind w:left="2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200 Peach Street</w:t>
      </w:r>
    </w:p>
    <w:p>
      <w:pPr>
        <w:ind w:left="3480"/>
        <w:spacing w:after="0" w:line="238" w:lineRule="auto"/>
        <w:rPr>
          <w:sz w:val="20"/>
          <w:szCs w:val="20"/>
          <w:color w:val="auto"/>
        </w:rPr>
      </w:pPr>
      <w:r>
        <w:rPr>
          <w:rFonts w:ascii="Courier New" w:cs="Courier New" w:eastAsia="Courier New" w:hAnsi="Courier New"/>
          <w:sz w:val="18"/>
          <w:szCs w:val="18"/>
          <w:color w:val="auto"/>
        </w:rPr>
        <w:t>P.O. Box 7000</w:t>
      </w:r>
    </w:p>
    <w:p>
      <w:pPr>
        <w:jc w:val="center"/>
        <w:ind w:right="1999"/>
        <w:spacing w:after="0"/>
        <w:rPr>
          <w:sz w:val="20"/>
          <w:szCs w:val="20"/>
          <w:color w:val="auto"/>
        </w:rPr>
      </w:pPr>
      <w:r>
        <w:rPr>
          <w:rFonts w:ascii="Courier New" w:cs="Courier New" w:eastAsia="Courier New" w:hAnsi="Courier New"/>
          <w:sz w:val="18"/>
          <w:szCs w:val="18"/>
          <w:color w:val="auto"/>
        </w:rPr>
        <w:t>El Dorado, Arkansas 71731-7000</w:t>
      </w:r>
    </w:p>
    <w:p>
      <w:pPr>
        <w:jc w:val="center"/>
        <w:ind w:right="1999"/>
        <w:spacing w:after="0" w:line="237" w:lineRule="auto"/>
        <w:rPr>
          <w:sz w:val="20"/>
          <w:szCs w:val="20"/>
          <w:color w:val="auto"/>
        </w:rPr>
      </w:pPr>
      <w:r>
        <w:rPr>
          <w:rFonts w:ascii="Courier New" w:cs="Courier New" w:eastAsia="Courier New" w:hAnsi="Courier New"/>
          <w:sz w:val="18"/>
          <w:szCs w:val="18"/>
          <w:color w:val="auto"/>
        </w:rPr>
        <w:t>(501) 862-6411</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rPr>
          <w:sz w:val="20"/>
          <w:szCs w:val="20"/>
          <w:color w:val="auto"/>
        </w:rPr>
      </w:pPr>
      <w:r>
        <w:rPr>
          <w:rFonts w:ascii="Courier New" w:cs="Courier New" w:eastAsia="Courier New" w:hAnsi="Courier New"/>
          <w:sz w:val="18"/>
          <w:szCs w:val="18"/>
          <w:color w:val="auto"/>
        </w:rPr>
        <w:t>registrant's principal executive offices)</w:t>
      </w:r>
    </w:p>
    <w:p>
      <w:pPr>
        <w:spacing w:after="0" w:line="200" w:lineRule="exact"/>
        <w:rPr>
          <w:sz w:val="24"/>
          <w:szCs w:val="24"/>
          <w:color w:val="auto"/>
        </w:rPr>
      </w:pP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STEVEN A. COSSE , ESQ.</w:t>
      </w:r>
    </w:p>
    <w:p>
      <w:pPr>
        <w:ind w:left="232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ind w:left="2960"/>
        <w:spacing w:after="0"/>
        <w:rPr>
          <w:sz w:val="20"/>
          <w:szCs w:val="20"/>
          <w:color w:val="auto"/>
        </w:rPr>
      </w:pPr>
      <w:r>
        <w:rPr>
          <w:rFonts w:ascii="Courier New" w:cs="Courier New" w:eastAsia="Courier New" w:hAnsi="Courier New"/>
          <w:sz w:val="18"/>
          <w:szCs w:val="18"/>
          <w:color w:val="auto"/>
        </w:rPr>
        <w:t>Murphy Oil Corporation</w:t>
      </w:r>
    </w:p>
    <w:p>
      <w:pPr>
        <w:ind w:left="3280"/>
        <w:spacing w:after="0" w:line="237" w:lineRule="auto"/>
        <w:rPr>
          <w:sz w:val="20"/>
          <w:szCs w:val="20"/>
          <w:color w:val="auto"/>
        </w:rPr>
      </w:pPr>
      <w:r>
        <w:rPr>
          <w:rFonts w:ascii="Courier New" w:cs="Courier New" w:eastAsia="Courier New" w:hAnsi="Courier New"/>
          <w:sz w:val="18"/>
          <w:szCs w:val="18"/>
          <w:color w:val="auto"/>
        </w:rPr>
        <w:t>200 Peach Street</w:t>
      </w:r>
    </w:p>
    <w:p>
      <w:pPr>
        <w:ind w:left="3480"/>
        <w:spacing w:after="0" w:line="238" w:lineRule="auto"/>
        <w:rPr>
          <w:sz w:val="20"/>
          <w:szCs w:val="20"/>
          <w:color w:val="auto"/>
        </w:rPr>
      </w:pPr>
      <w:r>
        <w:rPr>
          <w:rFonts w:ascii="Courier New" w:cs="Courier New" w:eastAsia="Courier New" w:hAnsi="Courier New"/>
          <w:sz w:val="18"/>
          <w:szCs w:val="18"/>
          <w:color w:val="auto"/>
        </w:rPr>
        <w:t>P.O. Box 7000</w:t>
      </w:r>
    </w:p>
    <w:p>
      <w:pPr>
        <w:ind w:left="2540"/>
        <w:spacing w:after="0"/>
        <w:rPr>
          <w:sz w:val="20"/>
          <w:szCs w:val="20"/>
          <w:color w:val="auto"/>
        </w:rPr>
      </w:pPr>
      <w:r>
        <w:rPr>
          <w:rFonts w:ascii="Courier New" w:cs="Courier New" w:eastAsia="Courier New" w:hAnsi="Courier New"/>
          <w:sz w:val="18"/>
          <w:szCs w:val="18"/>
          <w:color w:val="auto"/>
        </w:rPr>
        <w:t>El Dorado, Arkansas 71731-7000</w:t>
      </w:r>
    </w:p>
    <w:p>
      <w:pPr>
        <w:ind w:left="3380"/>
        <w:spacing w:after="0" w:line="237" w:lineRule="auto"/>
        <w:rPr>
          <w:sz w:val="20"/>
          <w:szCs w:val="20"/>
          <w:color w:val="auto"/>
        </w:rPr>
      </w:pPr>
      <w:r>
        <w:rPr>
          <w:rFonts w:ascii="Courier New" w:cs="Courier New" w:eastAsia="Courier New" w:hAnsi="Courier New"/>
          <w:sz w:val="18"/>
          <w:szCs w:val="18"/>
          <w:color w:val="auto"/>
        </w:rPr>
        <w:t>(501) 862-6411</w:t>
      </w:r>
    </w:p>
    <w:p>
      <w:pPr>
        <w:ind w:left="320"/>
        <w:spacing w:after="0"/>
        <w:rPr>
          <w:sz w:val="20"/>
          <w:szCs w:val="20"/>
          <w:color w:val="auto"/>
        </w:rPr>
      </w:pPr>
      <w:r>
        <w:rPr>
          <w:rFonts w:ascii="Courier New" w:cs="Courier New" w:eastAsia="Courier New" w:hAnsi="Courier New"/>
          <w:sz w:val="18"/>
          <w:szCs w:val="18"/>
          <w:color w:val="auto"/>
        </w:rPr>
        <w:t>(Name, address, including zip code, and telephone number, including area</w:t>
      </w:r>
    </w:p>
    <w:p>
      <w:pPr>
        <w:ind w:left="2740"/>
        <w:spacing w:after="0" w:line="237" w:lineRule="auto"/>
        <w:rPr>
          <w:sz w:val="20"/>
          <w:szCs w:val="20"/>
          <w:color w:val="auto"/>
        </w:rPr>
      </w:pPr>
      <w:r>
        <w:rPr>
          <w:rFonts w:ascii="Courier New" w:cs="Courier New" w:eastAsia="Courier New" w:hAnsi="Courier New"/>
          <w:sz w:val="18"/>
          <w:szCs w:val="18"/>
          <w:color w:val="auto"/>
        </w:rPr>
        <w:t>code, of agent for service)</w:t>
      </w:r>
    </w:p>
    <w:p>
      <w:pPr>
        <w:spacing w:after="0" w:line="200" w:lineRule="exact"/>
        <w:rPr>
          <w:sz w:val="24"/>
          <w:szCs w:val="24"/>
          <w:color w:val="auto"/>
        </w:rPr>
      </w:pPr>
    </w:p>
    <w:p>
      <w:pPr>
        <w:spacing w:after="0" w:line="204"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2620" w:type="dxa"/>
            <w:vAlign w:val="bottom"/>
          </w:tcPr>
          <w:p>
            <w:pPr>
              <w:spacing w:after="0"/>
              <w:rPr>
                <w:sz w:val="17"/>
                <w:szCs w:val="17"/>
                <w:color w:val="auto"/>
              </w:rPr>
            </w:pP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Copies to:</w:t>
            </w:r>
          </w:p>
        </w:tc>
      </w:tr>
      <w:tr>
        <w:trPr>
          <w:trHeight w:val="203"/>
        </w:trPr>
        <w:tc>
          <w:tcPr>
            <w:tcW w:w="26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Keith L. Kearney, Esq.</w:t>
            </w:r>
          </w:p>
        </w:tc>
        <w:tc>
          <w:tcPr>
            <w:tcW w:w="432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Kenneth W. Orce, Esq.</w:t>
            </w:r>
          </w:p>
        </w:tc>
      </w:tr>
      <w:tr>
        <w:trPr>
          <w:trHeight w:val="203"/>
        </w:trPr>
        <w:tc>
          <w:tcPr>
            <w:tcW w:w="2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432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Cahill Gordon &amp; Reindel</w:t>
            </w:r>
          </w:p>
        </w:tc>
      </w:tr>
      <w:tr>
        <w:trPr>
          <w:trHeight w:val="203"/>
        </w:trPr>
        <w:tc>
          <w:tcPr>
            <w:tcW w:w="26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450 Lexington Avenue</w:t>
            </w:r>
          </w:p>
        </w:tc>
        <w:tc>
          <w:tcPr>
            <w:tcW w:w="4320" w:type="dxa"/>
            <w:vAlign w:val="bottom"/>
          </w:tcPr>
          <w:p>
            <w:pPr>
              <w:jc w:val="center"/>
              <w:ind w:left="1712"/>
              <w:spacing w:after="0" w:line="203" w:lineRule="exact"/>
              <w:rPr>
                <w:sz w:val="20"/>
                <w:szCs w:val="20"/>
                <w:color w:val="auto"/>
              </w:rPr>
            </w:pPr>
            <w:r>
              <w:rPr>
                <w:rFonts w:ascii="Courier New" w:cs="Courier New" w:eastAsia="Courier New" w:hAnsi="Courier New"/>
                <w:sz w:val="18"/>
                <w:szCs w:val="18"/>
                <w:color w:val="auto"/>
                <w:w w:val="97"/>
              </w:rPr>
              <w:t>80 Pine Street</w:t>
            </w:r>
          </w:p>
        </w:tc>
      </w:tr>
      <w:tr>
        <w:trPr>
          <w:trHeight w:val="203"/>
        </w:trPr>
        <w:tc>
          <w:tcPr>
            <w:tcW w:w="26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New York, New York 10017</w:t>
            </w:r>
          </w:p>
        </w:tc>
        <w:tc>
          <w:tcPr>
            <w:tcW w:w="4320" w:type="dxa"/>
            <w:vAlign w:val="bottom"/>
          </w:tcPr>
          <w:p>
            <w:pPr>
              <w:jc w:val="center"/>
              <w:ind w:left="1712"/>
              <w:spacing w:after="0" w:line="203" w:lineRule="exact"/>
              <w:rPr>
                <w:sz w:val="20"/>
                <w:szCs w:val="20"/>
                <w:color w:val="auto"/>
              </w:rPr>
            </w:pPr>
            <w:r>
              <w:rPr>
                <w:rFonts w:ascii="Courier New" w:cs="Courier New" w:eastAsia="Courier New" w:hAnsi="Courier New"/>
                <w:sz w:val="18"/>
                <w:szCs w:val="18"/>
                <w:color w:val="auto"/>
                <w:w w:val="97"/>
              </w:rPr>
              <w:t>New York, New York 10005</w:t>
            </w:r>
          </w:p>
        </w:tc>
      </w:tr>
      <w:tr>
        <w:trPr>
          <w:trHeight w:val="203"/>
        </w:trPr>
        <w:tc>
          <w:tcPr>
            <w:tcW w:w="26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4320" w:type="dxa"/>
            <w:vAlign w:val="bottom"/>
          </w:tcPr>
          <w:p>
            <w:pPr>
              <w:jc w:val="center"/>
              <w:ind w:left="1712"/>
              <w:spacing w:after="0" w:line="203" w:lineRule="exact"/>
              <w:rPr>
                <w:sz w:val="20"/>
                <w:szCs w:val="20"/>
                <w:color w:val="auto"/>
              </w:rPr>
            </w:pPr>
            <w:r>
              <w:rPr>
                <w:rFonts w:ascii="Courier New" w:cs="Courier New" w:eastAsia="Courier New" w:hAnsi="Courier New"/>
                <w:sz w:val="18"/>
                <w:szCs w:val="18"/>
                <w:color w:val="auto"/>
                <w:w w:val="97"/>
              </w:rPr>
              <w:t>(212) 701-3000</w:t>
            </w:r>
          </w:p>
        </w:tc>
      </w:tr>
    </w:tbl>
    <w:p>
      <w:pPr>
        <w:spacing w:after="0" w:line="200" w:lineRule="exact"/>
        <w:rPr>
          <w:sz w:val="24"/>
          <w:szCs w:val="24"/>
          <w:color w:val="auto"/>
        </w:rPr>
      </w:pPr>
    </w:p>
    <w:p>
      <w:pPr>
        <w:spacing w:after="0" w:line="209" w:lineRule="exact"/>
        <w:rPr>
          <w:sz w:val="24"/>
          <w:szCs w:val="24"/>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the effective date of the Registration Statement pending market conditions.</w:t>
      </w:r>
    </w:p>
    <w:p>
      <w:pPr>
        <w:spacing w:after="0" w:line="209" w:lineRule="exact"/>
        <w:rPr>
          <w:sz w:val="24"/>
          <w:szCs w:val="24"/>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w:t>
      </w:r>
    </w:p>
    <w:p>
      <w:pPr>
        <w:spacing w:after="0"/>
        <w:tabs>
          <w:tab w:leader="none" w:pos="1880" w:val="left"/>
        </w:tabs>
        <w:rPr>
          <w:sz w:val="20"/>
          <w:szCs w:val="20"/>
          <w:color w:val="auto"/>
        </w:rPr>
      </w:pPr>
      <w:r>
        <w:rPr>
          <w:rFonts w:ascii="Courier New" w:cs="Courier New" w:eastAsia="Courier New" w:hAnsi="Courier New"/>
          <w:sz w:val="18"/>
          <w:szCs w:val="18"/>
          <w:color w:val="auto"/>
        </w:rPr>
        <w:t>following box.</w:t>
      </w:r>
      <w:r>
        <w:rPr>
          <w:sz w:val="20"/>
          <w:szCs w:val="20"/>
          <w:color w:val="auto"/>
        </w:rPr>
        <w:tab/>
      </w:r>
      <w:r>
        <w:rPr>
          <w:rFonts w:ascii="Courier New" w:cs="Courier New" w:eastAsia="Courier New" w:hAnsi="Courier New"/>
          <w:sz w:val="16"/>
          <w:szCs w:val="16"/>
          <w:color w:val="auto"/>
        </w:rPr>
        <w:t>[ ]</w:t>
      </w:r>
    </w:p>
    <w:p>
      <w:pPr>
        <w:spacing w:after="0" w:line="208" w:lineRule="exact"/>
        <w:rPr>
          <w:sz w:val="24"/>
          <w:szCs w:val="24"/>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w:t>
      </w:r>
    </w:p>
    <w:p>
      <w:pPr>
        <w:spacing w:after="0"/>
        <w:tabs>
          <w:tab w:leader="none" w:pos="6000" w:val="left"/>
        </w:tabs>
        <w:rPr>
          <w:sz w:val="20"/>
          <w:szCs w:val="20"/>
          <w:color w:val="auto"/>
        </w:rPr>
      </w:pPr>
      <w:r>
        <w:rPr>
          <w:rFonts w:ascii="Courier New" w:cs="Courier New" w:eastAsia="Courier New" w:hAnsi="Courier New"/>
          <w:sz w:val="18"/>
          <w:szCs w:val="18"/>
          <w:color w:val="auto"/>
        </w:rPr>
        <w:t>interest reinvestment plans, check the following box.</w:t>
      </w:r>
      <w:r>
        <w:rPr>
          <w:sz w:val="20"/>
          <w:szCs w:val="20"/>
          <w:color w:val="auto"/>
        </w:rPr>
        <w:tab/>
      </w:r>
      <w:r>
        <w:rPr>
          <w:rFonts w:ascii="Courier New" w:cs="Courier New" w:eastAsia="Courier New" w:hAnsi="Courier New"/>
          <w:sz w:val="16"/>
          <w:szCs w:val="16"/>
          <w:color w:val="auto"/>
        </w:rPr>
        <w:t>[X]</w:t>
      </w:r>
    </w:p>
    <w:p>
      <w:pPr>
        <w:spacing w:after="0" w:line="200" w:lineRule="exact"/>
        <w:rPr>
          <w:sz w:val="24"/>
          <w:szCs w:val="24"/>
          <w:color w:val="auto"/>
        </w:rPr>
      </w:pPr>
    </w:p>
    <w:p>
      <w:pPr>
        <w:spacing w:after="0" w:line="210"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ind w:left="3480"/>
        <w:spacing w:after="0" w:line="238" w:lineRule="auto"/>
        <w:rPr>
          <w:sz w:val="20"/>
          <w:szCs w:val="20"/>
          <w:color w:val="auto"/>
        </w:rPr>
      </w:pPr>
      <w:r>
        <w:rPr>
          <w:rFonts w:ascii="Courier New" w:cs="Courier New" w:eastAsia="Courier New" w:hAnsi="Courier New"/>
          <w:sz w:val="18"/>
          <w:szCs w:val="18"/>
          <w:color w:val="auto"/>
        </w:rPr>
        <w:t>$250,000,000</w:t>
      </w:r>
    </w:p>
    <w:p>
      <w:pPr>
        <w:ind w:left="2960"/>
        <w:spacing w:after="0"/>
        <w:rPr>
          <w:sz w:val="20"/>
          <w:szCs w:val="20"/>
          <w:color w:val="auto"/>
        </w:rPr>
      </w:pPr>
      <w:r>
        <w:rPr>
          <w:rFonts w:ascii="Courier New" w:cs="Courier New" w:eastAsia="Courier New" w:hAnsi="Courier New"/>
          <w:sz w:val="18"/>
          <w:szCs w:val="18"/>
          <w:color w:val="auto"/>
        </w:rPr>
        <w:t>Murphy Oil Corporation</w:t>
      </w:r>
    </w:p>
    <w:p>
      <w:pPr>
        <w:ind w:left="3380"/>
        <w:spacing w:after="0" w:line="237" w:lineRule="auto"/>
        <w:rPr>
          <w:sz w:val="20"/>
          <w:szCs w:val="20"/>
          <w:color w:val="auto"/>
        </w:rPr>
      </w:pPr>
      <w:r>
        <w:rPr>
          <w:rFonts w:ascii="Courier New" w:cs="Courier New" w:eastAsia="Courier New" w:hAnsi="Courier New"/>
          <w:sz w:val="18"/>
          <w:szCs w:val="18"/>
          <w:color w:val="auto"/>
        </w:rPr>
        <w:t>Debt Securities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Murphy Oil Corporation (the "Company"), a Delaware corporation, may offer from time to time up to $250,000,000 aggregate principal amount of its senior debt securities (the "Debt Securities") on terms to be determined by</w:t>
      </w:r>
    </w:p>
    <w:p>
      <w:pPr>
        <w:sectPr>
          <w:pgSz w:w="11900" w:h="16884" w:orient="portrait"/>
          <w:cols w:equalWidth="0" w:num="1">
            <w:col w:w="10219"/>
          </w:cols>
          <w:pgMar w:left="240" w:top="244" w:right="1440" w:bottom="0" w:gutter="0" w:footer="0" w:header="0"/>
        </w:sectPr>
      </w:pPr>
    </w:p>
    <w:bookmarkStart w:id="1" w:name="page2"/>
    <w:bookmarkEnd w:id="1"/>
    <w:p>
      <w:pPr>
        <w:ind w:right="2099"/>
        <w:spacing w:after="0" w:line="237" w:lineRule="auto"/>
        <w:rPr>
          <w:sz w:val="20"/>
          <w:szCs w:val="20"/>
          <w:color w:val="auto"/>
        </w:rPr>
      </w:pPr>
      <w:r>
        <w:rPr>
          <w:rFonts w:ascii="Courier New" w:cs="Courier New" w:eastAsia="Courier New" w:hAnsi="Courier New"/>
          <w:sz w:val="18"/>
          <w:szCs w:val="18"/>
          <w:color w:val="auto"/>
        </w:rPr>
        <w:t>market conditions at the time of sale. The Debt Securities may be offered as separate series in amounts, at prices and on terms to be determined at the time of sale and to be set forth in supplements to this Prospectus. The Debt Securities may be sold to underwriters for public offering pursuant to terms of offering fixed at the time of sale. In addition, Debt Securities may be sold by the Company directly or through agents or dealers.</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specific aggregate principal amount, maturity, rate and time of payment of interest, purchase price, any terms for redemption or other special terms and the names of the underwriters, agents or dealers, if any, in connection with the sale of Debt Securities in respect of which this Prospectus is being delivered ("Offered Debt Securities") are set forth in the accompanying Prospectus Supplement ("Prospectus Supplement"), together with the terms of offering of the Offered Debt Securities. Unless otherwise set forth in the Prospectus Supplement, (i) the underwriters, if any, may include Smith Barney Inc., J.P. Morgan Securities Inc. and NatWest Capital Markets Limited, acting alone or as representatives of a group of underwriters, and</w:t>
      </w:r>
    </w:p>
    <w:p>
      <w:pPr>
        <w:spacing w:after="0" w:line="184" w:lineRule="exact"/>
        <w:rPr>
          <w:sz w:val="20"/>
          <w:szCs w:val="20"/>
          <w:color w:val="auto"/>
        </w:rPr>
      </w:pPr>
    </w:p>
    <w:p>
      <w:pPr>
        <w:ind w:right="199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agents or dealers, if any, may include Smith Barney Inc., J.P. Morgan Securities Inc. and National Westminster Bank Plc, New York Branch.</w:t>
      </w:r>
    </w:p>
    <w:p>
      <w:pPr>
        <w:spacing w:after="0" w:line="200" w:lineRule="exact"/>
        <w:rPr>
          <w:sz w:val="20"/>
          <w:szCs w:val="20"/>
          <w:color w:val="auto"/>
        </w:rPr>
      </w:pP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 SION NOR HAS THE COMMISSION OR ANY STATE SECURITIES COMMISSION PASSED UPON THE ACCURACY OR ADEQUACY OF THIS PROSPECTUS. ANY REPRESENTATION TO THE CONTRARY IS A CRIMINAL OFFENSE.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Inc.</w:t>
      </w:r>
    </w:p>
    <w:p>
      <w:pPr>
        <w:ind w:left="2740"/>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line="202"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NatWest Markets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30, 1994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representations other than those contained or incorporated by reference in this Prospectus and, if given or made, such information or representations must not be relied upon as having been authorized by the Company or any underwriter, agent or dealer. This Prospectus does not constitute an offer to sell or a solicitation of an offer to buy Debt Securities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nor any sale made hereunder shall, under any circumstances, create any implication that information herein is correct as of any time subsequent to the date hereof.</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CONNECTION WITH THIS OFFERING, THE UNDERWRITERS MAY OVER-ALLOT OR EFFECT TRANSACTIONS WHICH STABILIZE OR MAINTAIN THE MARKET PRICES OF THE DEBT SECURITIES OR OTHER SECURITIES OF THE COMPANY AT LEVELS ABOVE THOSE WHICH MIGHT OTHERWISE PREVAIL IN THE OPEN MARKET. SUCH STABILIZING, IF COMMENCED, MAY BE DISCONTINUED AT ANY TIME.</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relating to its business, financial statements and other matters. Such reports, proxy statements and other information filed by the Company may be inspected and copied at the Public Reference Section maintained by the Commission at Room 1024, Judiciary Plaza, 450 Fifth Street, N.W., Washington, D.C. 20549 and its Regional Offices located in the Northwestern Atrium Center, 500 West Madison Street, Suite 1400, Chicago, Illinois 60661, and at 7 World Trade Center, 13th Floor, New York, New York 10048. Copies of such material may be obtained from the Commission's Public Reference Section, 450 Fifth Street, N.W., Washington, D.C. 20549 at prescribed rates. These reports, proxy statements and other information may also be inspected at the offices of the New York Stock Exchange, Inc. at 20 Broad Street, New York, New York 10005.</w:t>
      </w:r>
    </w:p>
    <w:p>
      <w:pPr>
        <w:spacing w:after="0" w:line="208" w:lineRule="exact"/>
        <w:rPr>
          <w:sz w:val="20"/>
          <w:szCs w:val="20"/>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This Prospectus constitutes a part of a Registration Statement filed by the Company with the Commission under the Securities Act of 1933, as amended (the "Securities Act"). This Prospectus omits certain of the information contained in the Registration Statement, and reference is hereby made to the Registration Statement and to the exhibits relating thereto for further information with respect to the Company and the Debt Securities offered</w:t>
      </w:r>
    </w:p>
    <w:p>
      <w:pPr>
        <w:sectPr>
          <w:pgSz w:w="11900" w:h="16838" w:orient="portrait"/>
          <w:cols w:equalWidth="0" w:num="1">
            <w:col w:w="10219"/>
          </w:cols>
          <w:pgMar w:left="240" w:top="142" w:right="1440" w:bottom="0" w:gutter="0" w:footer="0" w:header="0"/>
        </w:sectPr>
      </w:pPr>
    </w:p>
    <w:bookmarkStart w:id="2" w:name="page3"/>
    <w:bookmarkEnd w:id="2"/>
    <w:p>
      <w:pPr>
        <w:ind w:right="2199"/>
        <w:spacing w:after="0" w:line="237" w:lineRule="auto"/>
        <w:rPr>
          <w:sz w:val="20"/>
          <w:szCs w:val="20"/>
          <w:color w:val="auto"/>
        </w:rPr>
      </w:pPr>
      <w:r>
        <w:rPr>
          <w:rFonts w:ascii="Courier New" w:cs="Courier New" w:eastAsia="Courier New" w:hAnsi="Courier New"/>
          <w:sz w:val="18"/>
          <w:szCs w:val="18"/>
          <w:color w:val="auto"/>
        </w:rPr>
        <w:t>hereby. Any statements contained herein concerning the provisions of any documents are not necessarily complete, and, in each instance, reference is made to such copy filed as an exhibit to the Registration Statement or otherwise filed with the Commission. Each such statement is qualified in its entirety by such reference.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documents of the Company filed with the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 are incorporated herein by reference:</w:t>
      </w:r>
    </w:p>
    <w:p>
      <w:pPr>
        <w:spacing w:after="0" w:line="202" w:lineRule="exact"/>
        <w:rPr>
          <w:sz w:val="20"/>
          <w:szCs w:val="20"/>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1993; and</w:t>
      </w:r>
    </w:p>
    <w:p>
      <w:pPr>
        <w:spacing w:after="0" w:line="207" w:lineRule="exact"/>
        <w:rPr>
          <w:rFonts w:ascii="Courier New" w:cs="Courier New" w:eastAsia="Courier New" w:hAnsi="Courier New"/>
          <w:sz w:val="18"/>
          <w:szCs w:val="18"/>
          <w:color w:val="auto"/>
        </w:rPr>
      </w:pPr>
    </w:p>
    <w:p>
      <w:pPr>
        <w:ind w:right="2099" w:firstLine="535"/>
        <w:spacing w:after="0" w:line="235"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Reports on Form 10-Q for the quarters ended March 31, 1994 and June 30, 1994.</w:t>
      </w:r>
    </w:p>
    <w:p>
      <w:pPr>
        <w:spacing w:after="0" w:line="20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All reports and other documents filed by the Company pursuant to Sections 13(a), 13(c), 14 or 15(d) of the Exchange Act subsequent to the date of this Prospectus and prior to the termination of the offering of the Debt Securities offered hereby shall be deemed to be incorporated by reference in this Prospectus and to be part hereof from the date of filing such documents. Any statements contained in a document incorporated by reference herein shall be deemed to be modified or superseded for purposes hereof to the extent that a statement contained herein, in the accompanying Prospectus Supplement or in any subsequently filed document, which also is incorporated by reference herein, modifies or supersedes such statement. Any statement so modified or superseded shall not be deemed to constitute a part hereof, except as so modified or superseded.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INCLUDING ANY BENEFICIAL OWNER, TO WHOM THIS PROSPECTUS IS DELIVERED, ON THE WRITTEN OR ORAL REQUEST OF ANY SUCH PERSON, A COPY OF ANY OR ALL OF THE DOCUMENTS WHICH HAVE BEEN OR MAY BE INCORPORATED BY REFERENCE IN THIS PROSPECTUS (OTHER THAN EXHIBITS TO SUCH DOCUMENTS). SUCH REQUEST SHOULD BE DIRECTED TO: CORPORATE SECRETARY, MURPHY OIL CORPORATION, P. O. BOX 7000, EL DORADO, ARKANSAS 71731-7000, TELEPHONE NUMBER (501) 862-6411.</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Murphy Oil Corporation was originally incorporated in Louisiana in 1950 as Murphy Corporation, reincorporated in Delaware in 1964, at which time it adopted the name Murphy Oil Corporation, and reorganized in 1983 to operate solely as a holding company of its various businesses.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is a natural resources company that conducts various business activities in the United States and internationally through wholly owned subsidiaries. During 1993, Murphy was engaged in onshore and/or offshore oil and gas exploration activities in the United States, Canada, the U.K. North Sea, Ecuador, Peru, Ireland and China. Crude oil and natural gas liquids are produced in the United States, Canada, the U.K. North Sea, Ecuador, Gabon and Spain. Natural gas is sold in the United States, Canada, the U.K. North Sea and Spain.</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Murphy owns and operates two refineries in the United States and has an effective 30% interest in a refinery in the United Kingdom. Petroleum products are sold at wholesale and retail in the United States, Western Europe and Canada. Murphy also purchases, transports (via owned and operated pipelines and otherwise) and resells crude oil in Canada.</w:t>
      </w:r>
    </w:p>
    <w:p>
      <w:pPr>
        <w:spacing w:after="0" w:line="209"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In addition to its oil and gas operations, Murphy is engaged in farming, timber and land management, and lumber manufacturing operations, primarily in Arkansas and North Louisiana, and in real estate development in Little Rock, Arkansas.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principal executive offices are located at 200 Peach Street, El Dorado, Arkansas 71731-7000, telephone number (501) 862-6411. Its capital stock is listed on the New York Stock Exchange and on The Toronto Stock Exchange under the symbol MUR. Unless otherwise indicated or the context otherwise requires, all references in this Prospectus to the Company include Murphy Oil Corporation and its subsidiaries.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Except as otherwise described in the Prospectus Supplement, the net proceeds from the sale of the Debt Securities will be added to the general funds of the Company to be used for capital expenditures, to meet working capital requirements and for other general corporate purposes, including the repayment of borrowings. The Company may also use some or all of such net proceeds to finance the acquisition of direct or indirect interests in oil and gas producing properties.</w:t>
      </w:r>
    </w:p>
    <w:p>
      <w:pPr>
        <w:sectPr>
          <w:pgSz w:w="11900" w:h="16838" w:orient="portrait"/>
          <w:cols w:equalWidth="0" w:num="1">
            <w:col w:w="10219"/>
          </w:cols>
          <w:pgMar w:left="240" w:top="142"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RATIO OF</w:t>
            </w:r>
          </w:p>
        </w:tc>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EARNINGS TO FIXED CHARGES</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28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The following table shows</w:t>
            </w:r>
          </w:p>
        </w:tc>
        <w:tc>
          <w:tcPr>
            <w:tcW w:w="4940" w:type="dxa"/>
            <w:vAlign w:val="bottom"/>
            <w:gridSpan w:val="4"/>
          </w:tcPr>
          <w:p>
            <w:pPr>
              <w:spacing w:after="0"/>
              <w:rPr>
                <w:sz w:val="20"/>
                <w:szCs w:val="20"/>
                <w:color w:val="auto"/>
              </w:rPr>
            </w:pPr>
            <w:r>
              <w:rPr>
                <w:rFonts w:ascii="Courier New" w:cs="Courier New" w:eastAsia="Courier New" w:hAnsi="Courier New"/>
                <w:sz w:val="18"/>
                <w:szCs w:val="18"/>
                <w:color w:val="auto"/>
              </w:rPr>
              <w:t>the Company's ratio of earnings to fixed</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charges</w:t>
            </w:r>
          </w:p>
        </w:tc>
        <w:tc>
          <w:tcPr>
            <w:tcW w:w="53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for each of the past five years and the six months</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ended June 30, 1994</w:t>
            </w:r>
          </w:p>
        </w:tc>
      </w:tr>
      <w:tr>
        <w:trPr>
          <w:trHeight w:val="203"/>
        </w:trPr>
        <w:tc>
          <w:tcPr>
            <w:tcW w:w="20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and 1993.(1)</w:t>
            </w: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Six</w:t>
            </w:r>
          </w:p>
        </w:tc>
        <w:tc>
          <w:tcPr>
            <w:tcW w:w="1200" w:type="dxa"/>
            <w:vAlign w:val="bottom"/>
          </w:tcPr>
          <w:p>
            <w:pPr>
              <w:ind w:left="60"/>
              <w:spacing w:after="0"/>
              <w:rPr>
                <w:sz w:val="20"/>
                <w:szCs w:val="20"/>
                <w:color w:val="auto"/>
              </w:rPr>
            </w:pPr>
            <w:r>
              <w:rPr>
                <w:rFonts w:ascii="Courier New" w:cs="Courier New" w:eastAsia="Courier New" w:hAnsi="Courier New"/>
                <w:sz w:val="18"/>
                <w:szCs w:val="18"/>
                <w:color w:val="auto"/>
              </w:rPr>
              <w:t>Months</w:t>
            </w: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w:t>
            </w:r>
          </w:p>
        </w:tc>
        <w:tc>
          <w:tcPr>
            <w:tcW w:w="128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Year Ended December</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w:t>
            </w:r>
          </w:p>
        </w:tc>
        <w:tc>
          <w:tcPr>
            <w:tcW w:w="1200" w:type="dxa"/>
            <w:vAlign w:val="bottom"/>
          </w:tcPr>
          <w:p>
            <w:pPr>
              <w:spacing w:after="0"/>
              <w:rPr>
                <w:sz w:val="17"/>
                <w:szCs w:val="17"/>
                <w:color w:val="auto"/>
              </w:rPr>
            </w:pPr>
          </w:p>
        </w:tc>
      </w:tr>
      <w:tr>
        <w:trPr>
          <w:trHeight w:val="203"/>
        </w:trPr>
        <w:tc>
          <w:tcPr>
            <w:tcW w:w="20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622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280" w:type="dxa"/>
            <w:vAlign w:val="bottom"/>
          </w:tcPr>
          <w:p>
            <w:pPr>
              <w:ind w:left="740"/>
              <w:spacing w:after="0"/>
              <w:rPr>
                <w:sz w:val="20"/>
                <w:szCs w:val="20"/>
                <w:color w:val="auto"/>
              </w:rPr>
            </w:pPr>
            <w:r>
              <w:rPr>
                <w:rFonts w:ascii="Courier New" w:cs="Courier New" w:eastAsia="Courier New" w:hAnsi="Courier New"/>
                <w:sz w:val="18"/>
                <w:szCs w:val="18"/>
                <w:color w:val="auto"/>
              </w:rPr>
              <w:t>1993</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1992</w:t>
            </w:r>
          </w:p>
        </w:tc>
        <w:tc>
          <w:tcPr>
            <w:tcW w:w="14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1991</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1990</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8.31</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9.71</w:t>
            </w:r>
          </w:p>
        </w:tc>
        <w:tc>
          <w:tcPr>
            <w:tcW w:w="1280" w:type="dxa"/>
            <w:vAlign w:val="bottom"/>
          </w:tcPr>
          <w:p>
            <w:pPr>
              <w:ind w:left="740"/>
              <w:spacing w:after="0"/>
              <w:rPr>
                <w:sz w:val="20"/>
                <w:szCs w:val="20"/>
                <w:color w:val="auto"/>
              </w:rPr>
            </w:pPr>
            <w:r>
              <w:rPr>
                <w:rFonts w:ascii="Courier New" w:cs="Courier New" w:eastAsia="Courier New" w:hAnsi="Courier New"/>
                <w:sz w:val="18"/>
                <w:szCs w:val="18"/>
                <w:color w:val="auto"/>
                <w:w w:val="96"/>
              </w:rPr>
              <w:t>13.56</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4.35</w:t>
            </w:r>
          </w:p>
        </w:tc>
        <w:tc>
          <w:tcPr>
            <w:tcW w:w="14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1.78</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7.24</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4.62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the ratio of earnings to fixed charges, earnings consist of income from continuing operations (adjusted for undistributed earnings of companies accounted for by the equity method) before income taxes and minority interest plus fixed charges (adjusted to exclude capitalized interest). Fixed charges consist of interest and amortization of debt discount and expense, whether capitalized or expensed, and that portion of rental expense determined to be representative of the interest factor.</w:t>
      </w:r>
    </w:p>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Debt Securities will be unsecured obligations of the Company and will be issued under an Indenture to be dated as of October 1, 1994 (the "Indenture") between the Company and Chemical Bank (the "Trustee"), a copy of which is filed as an exhibit to the Registration Statement. The following summaries of certain provisions of the Indenture do not purport to be complete and are subject to, and are qualified in their entirety by reference to, all the provisions of the Indenture, including the definitions therein of certain terms. Wherever particular sections or defined terms of the Indenture are referred to, it is intended that such sections or defined terms shall be incorporated herein by reference. Under this caption, the term the "Company" refers solely to Murphy Oil Corporation.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Debt Securities will be unsecured obligations of the Company and will be issued as registered securities without coupons. The Debt Securities will rank on a parity with all other unsecured and unsubordinated obligations of the Company. The Indenture does not limit the amount of Debt Securities which may be issued thereunder, and provides that the specific terms of any Debt Securities shall be set forth in, or determined pursuant to, a resolution of the Board of Directors and/or a supplemental indenture, if any, relating to such Debt Securities.</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Indenture provides that Debt Securities may be issued from time to time in one or more series and may be denominated and payable in foreign currencies or units based on or relating to foreign currencies, including European Currency Units. Special United States federal income tax considerations applicable to any Debt Securities so denominated are described in the relevant Prospectus Supplement.</w:t>
      </w:r>
    </w:p>
    <w:p>
      <w:pPr>
        <w:spacing w:after="0" w:line="210"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The specific terms of the Debt Securities in respect of which this Prospectus is being delivered are set forth in the accompanying Prospectus Supplement relating thereto, including the following, as applicable: (i) the title; (ii) any limit on the aggregate principal amount; (iii) the date of maturity; (iv) the currency or units based on or relating to currencies in which Debt Securities are denominated and the currency or units in which principal or interest or both will or may be payable; (v) the interest rate (or method by which such rate will be determined), if any, and the date from which interest will accrue; (vi) the date(s) on which interest will be payable; (vii) the place or places where the principal of and interest on such Debt Securities will be payable; (viii) provisions relating to redemption, if any, and the terms and conditions for such redemption; (ix) the denominations in which the Debt Securities are issuable; (x) additional or different covenants or Events of Default, if any, with respect to the Debt Securities in addition to or in lieu of the covenants and Events of Default specified in the Indenture; (xi) whether and under what circumstances the Company will pay additional amounts on Debt Securities held by a person who is not a U.S. person (as defined in the Prospectus Supplement) in respect of any tax, assessment or governmental charge withheld or deducted and, if so, whether the Company will have the option to redeem such Debt Securities rather than pay such additional amount; and (xii) any other specific terms of the Debt Securities, including any terms which may be required by or advisable</w:t>
      </w:r>
    </w:p>
    <w:p>
      <w:pPr>
        <w:sectPr>
          <w:pgSz w:w="11900" w:h="16838" w:orient="portrait"/>
          <w:cols w:equalWidth="0" w:num="1">
            <w:col w:w="10219"/>
          </w:cols>
          <w:pgMar w:left="240" w:top="339" w:right="1440" w:bottom="116"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under United States laws or regulations.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Debt Securities may be issued under the Indenture as Original Issue Discount Securities (bearing either no interest or bearing interest at the rate which at the time of issuance is below the prevailing market rate) to be sold at a discount below their stated principal amount. Any special federal income tax and other considerations applicable to such Original Issue Discount Securities are described in the Prospectus Supplement relating thereto.</w:t>
      </w:r>
    </w:p>
    <w:p>
      <w:pPr>
        <w:spacing w:after="0" w:line="18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Debt Securities may be presented for exchange 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Debt Securities may be issued in the form of one or more fully registered global Debt Securities (a "Global Security") that will be deposited with a depositary (a "Depositary") or with a nominee for a Depositary or a nominee thereof. In such case, one or more Global Securities will be issued in a denomination or aggregate denominations equal to the portion of the aggregate principal amount of outstanding Debt Securities to be represented by such Global Security or Securities. Unless and until it is exchanged in whole or in part for Debt Securities in definitive form,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Depositary currently accepts only Debt Securities that are payable in United States dollars.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specific terms of the depositary arrangement with respect to any portion of the Debt Securities to be represented by a Global Security will be described in the Prospectus Supplement relating to such Debt Securities. The Company anticipates that the following provisions will apply to all depositary arrangements.</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Ownership of beneficial interests in a Global Security will be limited to persons that have accounts with the Depositary for such Global Security ("participants") or persons that may hold interests through participants. Upon the issuance of a Global Security, the Depositary for such Global Security will credit, on its book-entry registration and transfer system, the participants' accounts with the respective principal amounts of the Debt Securities represented by such Global Security beneficially owned by such participants. The accounts to be credited shall be designated by any dealers, underwriters or agents participating in the distribution of such Debt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Indenture. Except as set forth below, owners of beneficial interests in the Global Security will not be entitled to have the Debt Securities represented by such Global Security registered in their names, will not receive or be entitled to receive physical delivery of such Debt Securities in definitive form and will not be considered the owners or Holders thereof under the Indenture.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Indenture. The Company understands that under existing industry practices, if the Company requests any action of Holders or if an owner of a beneficial interest in a Global Security desires to give or take any action which a Holder is entitled to give or take under the Indenture,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Principal and interest payments on Debt Securities represented by a</w:t>
      </w:r>
    </w:p>
    <w:p>
      <w:pPr>
        <w:sectPr>
          <w:pgSz w:w="11900" w:h="16838" w:orient="portrait"/>
          <w:cols w:equalWidth="0" w:num="1">
            <w:col w:w="10219"/>
          </w:cols>
          <w:pgMar w:left="240" w:top="136" w:right="1440" w:bottom="0" w:gutter="0" w:footer="0" w:header="0"/>
        </w:sectPr>
      </w:pPr>
    </w:p>
    <w:bookmarkStart w:id="5" w:name="page6"/>
    <w:bookmarkEnd w:id="5"/>
    <w:p>
      <w:pPr>
        <w:ind w:right="2099"/>
        <w:spacing w:after="0" w:line="237" w:lineRule="auto"/>
        <w:rPr>
          <w:sz w:val="20"/>
          <w:szCs w:val="20"/>
          <w:color w:val="auto"/>
        </w:rPr>
      </w:pPr>
      <w:r>
        <w:rPr>
          <w:rFonts w:ascii="Courier New" w:cs="Courier New" w:eastAsia="Courier New" w:hAnsi="Courier New"/>
          <w:sz w:val="18"/>
          <w:szCs w:val="18"/>
          <w:color w:val="auto"/>
        </w:rPr>
        <w:t>Global Security registered in the name of a Depositary or its nominee will be made to such Depositary or its nominee, as the case may be, as the registered owner of such Global Security. None of the Company, the Trustee or any other agent of the Company or agent of the Trustee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212"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 expects that the Depositary for any Debt Securities represented by a Global Security, upon receipt of any payment of principal, premium, if any, or any interest in respect of such Global Security, will immediately credit participants' accounts with payments in amounts proportionate to their respective beneficial interests in such Global Security as shown on the records of such Depositary. The Company also expects that payments by participants to owners of beneficial interests in such Global Security held through such participants will be governed by standing customer instructions and customary practices, as is now the case with securities held for the accounts of customers in bearer form or registered in "street name," and that the distribution of these payments will be the responsibility of such participants.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If the Depositary for any Debt Securities represented by a Global Security is at any time unwilling or unable to continue as Depositary or ceases to be a clearing agency registered under the Exchange Act and a successor Depositary registered as a clearing agency under the Exchange Act is not appointed by the Company within 90 days, the Company will issue such Debt Securities in definitive form in exchange for such Global Security. In addition, the Company may at any time and in its sole discretion determine not to have any of the Debt Securities of a series represented by one or more Global Securities and, in such event, will issue Debt Securities of such series in definitive form in exchange for all of the Global Security or Securities representing such Debt Securities. Any Debt Securities issued in definitive form in exchange for a Global Security will be registered in such name or names as the Depositary shall instruct the Trustee. It is expected that such instructions will be based upon directions received by the Depositary from participants with respect to ownership of beneficial interests in such Global Security.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Restrictive Covenants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following restrictions apply to the Debt Securities unless the Prospectus Supplement relating to particular Offered Debt Securities provides otherwise.</w:t>
      </w:r>
    </w:p>
    <w:p>
      <w:pPr>
        <w:spacing w:after="0" w:line="209"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Limitation on Liens. The Indenture states that the Company will not, nor will it permit any Restricted Subsidiary (as hereinafter defined) to, incur, assume, guarantee or suffer to exist any indebtedness for money borrowed (herein referred to as "Debt") if such Debt is secured, directly or indirectly, by any mortgage, pledge, security interest or lien of any kind (hereinafter referred to as a "Mortgage") upon any Principal Property (as hereinafter defined) or upon any indebtedness or share of capital stock of any Restricted Subsidiary which owns any Principal Property, now owned or hereafter acquired, without making effective provision, and the Company in such case will make or cause to be made effective provision, whereby the Debt Securities of each series will be secured by such Mortgage equally and ratably with (or prior to) any other Debt thereby secured so long as such Debt shall be so secured, except that the foregoing provisions shall not apply to: (i) Mortgages existing at the time of acquisition of the property, shares of stock or indebtedness affected thereby or incurred to secure payment of all or part of the purchase price of such property, shares of stock or indebtedness or to secure Debt incurred prior to, at the time of or within 120 days after the acquisition or completion of construction of such property, shares of stock or indebtedness for the purpose of financing all or part of the purchase price or cost of construction thereof, as the case may be (provided that such mortgages are limited to such property and improvements thereon or the shares of stock or indebtedness so acquired), (ii) Mortgages affecting property, shares of stock or indebtedness of a Person existing at the time it becomes a Restricted Subsidiary (provided that any such Mortgage shall attach only to the properties and improvements thereon or the shares of stock or indebtedness so acquired), (iii) Mortgages which secure only Debt of a Restricted Subsidiary owing to the Company or a Subsidiary, (iv) Mortgages or easements on property of the Company or any Restricted Subsidiary related to the financing of such property on a tax-exempt basis pursuant to Section 103(b)(4) or (b)(6) of the Internal Revenue Code of 1986, as amended (or any successor section thereto), that do not in the aggregate materially detract from the value of property or assets or materially impair the use thereof in the operation of the business of the Company or any Restricted Subsidiary, (v) Mortgages in favor of the United States of America or any instrumentality thereof, or in favor of any foreign government or any department, agency, instrumentality or political subdivision thereof, to secure partial, progress, advance or other payments</w:t>
      </w:r>
    </w:p>
    <w:p>
      <w:pPr>
        <w:sectPr>
          <w:pgSz w:w="11900" w:h="16838" w:orient="portrait"/>
          <w:cols w:equalWidth="0" w:num="1">
            <w:col w:w="10219"/>
          </w:cols>
          <w:pgMar w:left="240" w:top="142" w:right="1440" w:bottom="134" w:gutter="0" w:footer="0" w:header="0"/>
        </w:sectPr>
      </w:pPr>
    </w:p>
    <w:bookmarkStart w:id="6" w:name="page7"/>
    <w:bookmarkEnd w:id="6"/>
    <w:p>
      <w:pPr>
        <w:ind w:right="1999"/>
        <w:spacing w:after="0" w:line="238" w:lineRule="auto"/>
        <w:rPr>
          <w:sz w:val="20"/>
          <w:szCs w:val="20"/>
          <w:color w:val="auto"/>
        </w:rPr>
      </w:pPr>
      <w:r>
        <w:rPr>
          <w:rFonts w:ascii="Courier New" w:cs="Courier New" w:eastAsia="Courier New" w:hAnsi="Courier New"/>
          <w:sz w:val="18"/>
          <w:szCs w:val="18"/>
          <w:color w:val="auto"/>
        </w:rPr>
        <w:t>pursuant to any contract or statute, (vi) Mortgages existing at the date of the Indenture, (vii) liens on property or assets of the Company or any Restricted Subsidiary consisting of marine Mortgages provided for in Title XI of the Merchant Marine Act of 1936 or foreign equivalents, (viii) Mortgages on property of the Company or any Restricted Subsidiary securing Debt incurred in connection with the financing of operating, constructing or acquiring projects, provided that the recourse for such Debt is limited to the assets of such projects, and (ix) any extension, renewal or replacement (or successive extensions, renewals or replacements), in whole or in part, of any Mortgage referred to in the foregoing clauses (i) to (viii) inclusive or of any Debt secured thereby, provided that the principal amount of Debt secured thereby shall not exceed the principal amount of Debt so secured at the time of such extension, renewal or replacement, and; provided, further, that such Mortgage shall be limited to all or part of substantially the same property which secured the Mortgage extended, renewed or replaced (plus improvements on such property).</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the Company or any Restricted Subsidiary may create or permit to exist Mortgages on any Principal Property, or upon any indebtedness or share of capital stock of any Restricted Subsidiary so long as the aggregate amount of Debt secured by all such Mortgages (excluding therefrom the Debt secured by Mortgages set forth in clauses (i) through (ix), inclusive, above) does not exceed 5% of the Consolidated Net Tangible Assets of the Company.</w:t>
      </w:r>
    </w:p>
    <w:p>
      <w:pPr>
        <w:spacing w:after="0" w:line="211"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Limitation on Sale and Lease-Back Transactions. The Indenture states that the Company will not, nor will it permit any Restricted Subsidiary to, enter into any arrangement with any person providing for the leasing by the Company or a Restricted Subsidiary as lessee of any Principal Property (except for temporary leases for a term of not more than three years), which property has been or is to be sold or transferred by the Company or such Restricted Subsidiary to such person (herein referred to as a "Sale and Lease-Back Transaction"), unless (i) the Company or such Restricted Subsidiary would be entitled to incur Debt secured by a Mortgage on the property to be leased without violation of the provisions described above under "Limitation on Liens" and without equally and ratably securing the Debt Securities of each series or (ii) the Company shall, and in any such case the Company covenants that it will, apply an amount equal to the greater of (a) the proceeds of such sale or transfer or (b) the fair value (as determined by the Board of Directors) of the property so leased to the defeasance or retirement (other than any mandatory retirement), within 120 days of the effective date of any such arrangement, of Senior Funded Indebtedness; provided, however, that the amount to be so applied to the defeasance or retirement of such Senior Funded Indebtedness will be reduced by an amount (not previously used to reduce the amount of such defeasance or retirement) equal to the lesser of (x) the amount expended by the Company since the date of the Indenture and within twelve months prior to the effective date of any such arrangement or within 120 days thereafter for the acquisition by it of unencumbered Principal Properties or</w:t>
      </w:r>
    </w:p>
    <w:p>
      <w:pPr>
        <w:spacing w:after="0" w:line="190" w:lineRule="exact"/>
        <w:rPr>
          <w:sz w:val="20"/>
          <w:szCs w:val="20"/>
          <w:color w:val="auto"/>
        </w:rPr>
      </w:pPr>
    </w:p>
    <w:p>
      <w:pPr>
        <w:ind w:right="2199" w:firstLine="8"/>
        <w:spacing w:after="0" w:line="23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value (as determined by the Board of Directors) of unencumbered Principal Properties so acquired by the Company during such twelve-month period and 120-day period.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Certain Definitions. Set forth below is a summary of certain defined terms used in the Indenture. Reference is made to the Indenture for the full definition of all such terms and to the definition of other defined terms used herein.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term "Consolidated Net Tangible Assets" means the total of all assets (less depreciation and amortization reserves and other valuation reserves and loss reserves) which, under generally accepted accounting principles, would appear on the asset side of a consolidated balance sheet of the Company and its Subsidiaries, less the aggregate of all liabilities, deferred credits, minority shareholders' interests in Subsidiaries, reserves and other items which, under such principles, would appear on the liability side of such consolidated balance sheet, except Funded Indebtedness and Stockholders' Equity (as defined in the Indenture); provided, however, that in determining Consolidated Net Tangible Assets, there shall not be included as assets, (i) all assets (other than goodwill, which shall be included) which would be classified as intangible assets under generally accepted accounting principles, including, without limitation, patents, trademarks, copyrights and unamortized debt discount and expense, (ii) any treasury stock carried as an asset, or (iii) any write-ups of capital assets (other than write-ups resulting from the acquisition of stock or assets of another corporation or business).</w:t>
      </w:r>
    </w:p>
    <w:p>
      <w:pPr>
        <w:spacing w:after="0" w:line="209"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The term "Funded Indebtedness" of any Person means all indebtedness for borrowed money created, incurred, assumed or guaranteed in any manner by such Person and all indebtedness incurred or assumed by such Person in connection with the acquisition of any business, property or asset, which in each case matures more than one year after, or which by its terms is renewable or extendible or payable out of the proceeds of similar indebtedness incurred</w:t>
      </w:r>
    </w:p>
    <w:p>
      <w:pPr>
        <w:sectPr>
          <w:pgSz w:w="11900" w:h="16838" w:orient="portrait"/>
          <w:cols w:equalWidth="0" w:num="1">
            <w:col w:w="10219"/>
          </w:cols>
          <w:pgMar w:left="240" w:top="142" w:right="1440" w:bottom="0" w:gutter="0" w:footer="0" w:header="0"/>
        </w:sectPr>
      </w:pPr>
    </w:p>
    <w:bookmarkStart w:id="7" w:name="page8"/>
    <w:bookmarkEnd w:id="7"/>
    <w:p>
      <w:pPr>
        <w:ind w:right="1999"/>
        <w:spacing w:after="0" w:line="270" w:lineRule="auto"/>
        <w:rPr>
          <w:sz w:val="20"/>
          <w:szCs w:val="20"/>
          <w:color w:val="auto"/>
        </w:rPr>
      </w:pPr>
      <w:r>
        <w:rPr>
          <w:rFonts w:ascii="Courier New" w:cs="Courier New" w:eastAsia="Courier New" w:hAnsi="Courier New"/>
          <w:sz w:val="16"/>
          <w:szCs w:val="16"/>
          <w:color w:val="auto"/>
        </w:rPr>
        <w:t>pursuant to the terms of any revolving credit agreement or any similar agreement at the option of such Person for a period ending more than one year after the date as of which Funded Indebtedness is being determined (excluding any amount thereof which is included in current liabilities); provided, however, that Funded Indebtedness shall not include: (i) any indebtedness for the payment, redemption or satisfaction of which money (or evidences of indebtedness, if permitted under the instrument creating or evidencing such indebtedness) in the necessary amount shall have been irrevocably deposited in trust with a trustee or proper depository either on or before the maturity or redemption date thereof, (ii) any indebtedness of such Person to any of its subsidiaries or of any subsidiary to such Person or any other subsidiary or</w:t>
      </w:r>
    </w:p>
    <w:p>
      <w:pPr>
        <w:spacing w:after="0" w:line="189" w:lineRule="exact"/>
        <w:rPr>
          <w:sz w:val="20"/>
          <w:szCs w:val="20"/>
          <w:color w:val="auto"/>
        </w:rPr>
      </w:pPr>
    </w:p>
    <w:p>
      <w:pPr>
        <w:ind w:right="1999" w:firstLine="8"/>
        <w:spacing w:after="0" w:line="236"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incurred in connection with the financing of operating, construction or acquisition projects, provided that the recourse for such indebtedness is limited to the assets of such projects.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term "Principal Property" means all property and equipment directly engaged in the exploration, production, refining and transportation activities of the Company and its Subsidiaries, except any such property and equipment which the Board of Directors declares is not material to the business of the Company and its Subsidiaries taken as a whole.</w:t>
      </w: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term "Restricted Subsidiary" means any Subsidiary of the Company that owns a Principal Property and has Stockholders' Equity that is greater than 2% of Consolidated Net Tangible Assets of the Company.</w:t>
      </w:r>
    </w:p>
    <w:p>
      <w:pPr>
        <w:spacing w:after="0" w:line="209" w:lineRule="exact"/>
        <w:rPr>
          <w:sz w:val="20"/>
          <w:szCs w:val="20"/>
          <w:color w:val="auto"/>
        </w:rPr>
      </w:pPr>
    </w:p>
    <w:p>
      <w:pPr>
        <w:jc w:val="both"/>
        <w:ind w:right="1999" w:firstLine="527"/>
        <w:spacing w:after="0" w:line="235" w:lineRule="auto"/>
        <w:rPr>
          <w:sz w:val="20"/>
          <w:szCs w:val="20"/>
          <w:color w:val="auto"/>
        </w:rPr>
      </w:pPr>
      <w:r>
        <w:rPr>
          <w:rFonts w:ascii="Courier New" w:cs="Courier New" w:eastAsia="Courier New" w:hAnsi="Courier New"/>
          <w:sz w:val="18"/>
          <w:szCs w:val="18"/>
          <w:color w:val="auto"/>
        </w:rPr>
        <w:t>The term "Senior Funded Indebtedness" means any Funded Indebtedness which is also Senior Indebtedness.</w:t>
      </w:r>
    </w:p>
    <w:p>
      <w:pPr>
        <w:spacing w:after="0" w:line="208"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The term "Senior Indebtedness" shall mean the principal of and premium, if any, and interest on (including interest accruing after the filing of a petition initiating any proceeding pursuant to any bankruptcy law) and other amounts due on or in connection with any Indebtedness of the Company, whether outstanding on the date of this Indenture or hereafter created, incurred or assumed, unless, in the case of any particular Indebtedness, the instrument creating or evidencing the same or pursuant to which the same is outstanding expressly provides that such Indebtedness shall be subordinated to the Securities. Notwithstanding the foregoing, Senior Indebtedness shall not include Indebtedness of the Company to a Subsidiary of the Company for money borrowed or advanced from such Subsidiary.</w:t>
      </w:r>
    </w:p>
    <w:p>
      <w:pPr>
        <w:spacing w:after="0" w:line="392"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term "Subsidiary" means (i) any corporation of which more than 50% of the total voting power of shares of Capital Stock entitled (without regard to the occurrence of any contingency) to vote in the election of directors thereof is at the time directly or indirectly owned by the Company or by the Company and one or more Subsidiaries or by one or more Subsidiaries, and (ii) any limited partnership in which the Company or a Subsidiary is a general partner or any partnership or limited liability company in which more than 50% of the voting interests thereof is at the time directly or indirectly owned by the Company or by the Company and one or more Subsidiaries or by one or more Subsidiaries. The term "subsidiary," when used with respect to any Person other than the Company, shall have a meaning correlative to the foregoing.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and Sale of Assets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Indenture provides that the Company will not consolidate with or merge with or into any other corporation or sell or convey (including by way of lease) all or substantially all of its assets to any Person unless permitted by law and unless (1) either the Company shall be the continuing corporation, or the successor corporation or the Person which acquires by sale or conveyance substantially all the assets of the Company (if other than the Company) shall be a corporation or entity organized under the laws of the United States of America or any State thereof and shall expressly assume the due and punctual payment of the principal of and interest on all the Debt Securities, according to their tenor, and the due and punctual performance and observance of all of the covenants and conditions of the Indenture to be performed or observed by the Company, by supplemental indenture satisfactory to the Trustee, executed and delivered to the Trustee by such corporation or entity, and (2) the Company or such successor corporation entity, as the case may be, shall not, immediately after such merger or consolidation, or such sale or conveyance, be in default in the performance of any such covenant or condition.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Unless otherwise indicated in the Prospectus Supplement, certain of the convenants described above would not necessarily afford holders of the Debt Securities protection in the event of a highly leveraged transaction involving the Company, such as a leveraged buyout.</w:t>
      </w:r>
    </w:p>
    <w:p>
      <w:pPr>
        <w:spacing w:after="0" w:line="202"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Events of Default;</w:t>
      </w:r>
      <w:r>
        <w:rPr>
          <w:sz w:val="20"/>
          <w:szCs w:val="20"/>
          <w:color w:val="auto"/>
        </w:rPr>
        <w:tab/>
      </w:r>
      <w:r>
        <w:rPr>
          <w:rFonts w:ascii="Courier New" w:cs="Courier New" w:eastAsia="Courier New" w:hAnsi="Courier New"/>
          <w:sz w:val="16"/>
          <w:szCs w:val="16"/>
          <w:color w:val="auto"/>
        </w:rPr>
        <w:t>Rights on Default</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An "Event of Default" with respect to the Debt Securities of any series is defined in the Indenture to mean failure to pay interest on the Debt</w:t>
      </w:r>
    </w:p>
    <w:p>
      <w:pPr>
        <w:sectPr>
          <w:pgSz w:w="11900" w:h="16838" w:orient="portrait"/>
          <w:cols w:equalWidth="0" w:num="1">
            <w:col w:w="10219"/>
          </w:cols>
          <w:pgMar w:left="240" w:top="142" w:right="1440" w:bottom="0" w:gutter="0" w:footer="0" w:header="0"/>
        </w:sectPr>
      </w:pPr>
    </w:p>
    <w:bookmarkStart w:id="8" w:name="page9"/>
    <w:bookmarkEnd w:id="8"/>
    <w:p>
      <w:pPr>
        <w:ind w:right="1999"/>
        <w:spacing w:after="0" w:line="270" w:lineRule="auto"/>
        <w:rPr>
          <w:sz w:val="20"/>
          <w:szCs w:val="20"/>
          <w:color w:val="auto"/>
        </w:rPr>
      </w:pPr>
      <w:r>
        <w:rPr>
          <w:rFonts w:ascii="Courier New" w:cs="Courier New" w:eastAsia="Courier New" w:hAnsi="Courier New"/>
          <w:sz w:val="16"/>
          <w:szCs w:val="16"/>
          <w:color w:val="auto"/>
        </w:rPr>
        <w:t>Securities of such series when due for 30 days; failure to pay principal of the Debt Securities of such series when due; default in the payment of any sinking fund installment when due on any of the Debt Securities of such series; failure on the Company's part to observe any of its other agreements in the Indenture or the Debt Securities and applicable to the Debt Securities of such series for a period of 90 days after notice to the Company (given as described below); default involving the payment of interest, principal, premium or a sinking fund or redemption payment under any Debt of the Company in excess of $5,000,000 if either such Debt is then due and payable and demand has been made or such default results in the acceleration of such Debt which acceleration is not stayed, rescinded or annulled within ten days after written notice (provided that the resulting Event of Default under the Indenture will, in any event, be deemed to have been cured or waived by the curing or waiving of the default under such other Debt); and certain events of bankruptcy or reorganization of the Company.</w:t>
      </w:r>
    </w:p>
    <w:p>
      <w:pPr>
        <w:spacing w:after="0" w:line="3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 Event of Default occurs and is continuing, either the Trustee or the Holders of not less than 25% of the aggregate principal amount of the Debt Securities of each series so affected then outstanding may declare the principal and accrued interest of all the Debt Securities of such series due and payable immediately by written notice to the Company (and to the Trustee, if given by the Securityholders). However such declaration and its consequences may be rescinded and annulled by the Holders of a majority in aggregate principal amount of the Debt Securities of such series then outstanding, upon the conditions provided in the Indenture.</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Indenture provides that the Trustee shall, within 90 days after the occurrence of a default on a series of Debt Securities, give to the Holders of the Debt Securities of such series written notice of all uncured defaults; provided that, except in the case of default in the payment of principal of or interest on any of the Debt Securities of such series, the Trustee may withhold such notice if in good faith it determines that the withholding of such notice is in the interest of the Holders of the Debt Securities of such series.</w:t>
      </w:r>
    </w:p>
    <w:p>
      <w:pPr>
        <w:spacing w:after="0" w:line="212"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The Company is required, pursuant to the terms of the Indenture, to deliver to the Trustee within 120 days after the end of each fiscal year a certificate of certain of the Company's officers stating whether the signers know of any default by the Company in performing any of its obligations under the Indenture (and, if one has occurred, specifying its nature).</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case an Event of Default shall occur and is continuing, the Trustee will be required to exercise its rights and powers and use the degree of care and skill of a prudent man in the conduct of his own affairs. Subject to certain limitations, Holders of a majority in principal amount of the outstanding Debt Securities of any series may direct the Trustee in its exercise of any trust or power. Except as specifically provided in the Indenture, nothing therein relieves the Trustee from liability for its own negligent action, its own negligent failure to act or its own willful misconduct.</w:t>
      </w:r>
    </w:p>
    <w:p>
      <w:pPr>
        <w:spacing w:after="0" w:line="21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No Holder of the Debt Securities of any series will have any right to pursue any remedy with respect to the Indenture unless such Holder previously shall have given to the Trustee written notice of a default (and no inconsistent notice shall be subsequently delivered to the Trustee) and unless also the Holders of at least 25% of the principal amount of outstanding Debt Securities of such series shall have made a written request to the Trustee to pursue the remedy, offering indemnity satisfactory to the Trustee, and the Trustee does not comply with such request within 60 days after receipt of such request. The right of each Holder of the Debt Securities of any series to enforce his rights to receive payment of principal of, or interest on the Debt Securities held by him shall not be impaired or compromised without his consent.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Under the terms of the Indenture and the Debt Securities, the Company, at its option, (a) will be discharged from any and all obligations in respect of the Debt Securities (except in each case for certain obligations to register the transfer or exchange of Debt Securities, replace stolen, lost or mutilated Debt Securities, maintain paying agencies and hold moneys for payment in trust) or (b) need not comply with the covenants of the Indenture, in each case, if the Company irrevocably deposits with the Trustee, in trust, money or (in the case of Debt Securities denominated in currency of the United States) U.S. Government Obligations (as defined in the Indenture) which through the payment of interest thereon and principal thereof in accordance with their terms will provide money in an amount sufficient to pay the principal of and interest on the Debt Securities on the dates such payments are due in accordance with the terms of the Debt Securities.</w:t>
      </w: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exercise the option under clause (a) and (b) above, the Company is</w:t>
      </w:r>
    </w:p>
    <w:p>
      <w:pPr>
        <w:sectPr>
          <w:pgSz w:w="11900" w:h="16838" w:orient="portrait"/>
          <w:cols w:equalWidth="0" w:num="1">
            <w:col w:w="10219"/>
          </w:cols>
          <w:pgMar w:left="240" w:top="142" w:right="1440" w:bottom="0" w:gutter="0" w:footer="0" w:header="0"/>
        </w:sectPr>
      </w:pPr>
    </w:p>
    <w:bookmarkStart w:id="9" w:name="page10"/>
    <w:bookmarkEnd w:id="9"/>
    <w:p>
      <w:pPr>
        <w:ind w:right="2319"/>
        <w:spacing w:after="0" w:line="236" w:lineRule="auto"/>
        <w:rPr>
          <w:sz w:val="20"/>
          <w:szCs w:val="20"/>
          <w:color w:val="auto"/>
        </w:rPr>
      </w:pPr>
      <w:r>
        <w:rPr>
          <w:rFonts w:ascii="Courier New" w:cs="Courier New" w:eastAsia="Courier New" w:hAnsi="Courier New"/>
          <w:sz w:val="18"/>
          <w:szCs w:val="18"/>
          <w:color w:val="auto"/>
        </w:rPr>
        <w:t>required to deliver to the Trustee an opinion of counsel to the effect that Holders of the Debt Securities will not recognize income, gain or loss for Federal income tax purposes as a result of such defeasance.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event the Company exercises its option under clause (a) or (b) of the second preceding paragraph and the Debt Securities are declared due and payable because of the occurrence of any Event of Default, the amount of money and U.S. Government Obligations on deposit with the Trustee will be sufficient to pay amounts due on the Debt Securities at the time of their stated maturity but may not be sufficient to pay amounts due on the Debt Securities at the time of the acceleration resulting from such Event of Default. However, the Company shall remain liable for such payments.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With certain exceptions, the Company's obligations and the rights of the Holders of Debt Securities may be modified only with the consent of the Company, the Trustee and the Holders of not less than a majority in principal amount of the outstanding Debt Securities of all series affected by the amendment voting as one class; provided, however, that no extension of the maturity of any Debt Securities, no reduction of the interest rate or extension of time for the payment of interest, no reduction in the principal amount or any amount payable on redemption, repayment or acceleration of maturity, no impairment of the right of repayment at the option of the Holder, if applicable, or the right to institute suit for repayment and no reduction of the percentage required for modification of the Indenture will be effective without the consent of each Holder so affected. A default on any series of the Debt Securities, except as stated above, may be waived by the Holders of a majority of the principal amount of the Debt Securities of such series.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Chemical Bank acts as a depositary of funds of, extends lines of credit to, and performs other services for the Company and its affiliates in the normal course of its business.</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 may sell the Debt Securities to or through underwriters or dealers and also may sell Debt Securities directly to dealers or other purchasers or through agents. Any such dealer or agent, in addition to any underwriter, may be deemed to be an underwriter within the meaning of the Securities Act. The terms of the offering of the Debt Securities with respect to which this Prospectus is being delivered are set forth in the accompanying Prospectus Supplement, including the name or names of any underwriters, dealers or agents, the purchase price of such Debt Securities and the proceeds to the Company from such sale, any underwriting discounts and other items constituting underwriters' compensation, the initial public offering price and any discounts or concessions which may be allowed or reallowed or paid to dealers and any securities exchanges on which the Debt Securities may be listed.</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If underwriters are used in the sale, the Debt Securities will be acquired by the underwriters for their own account and may be sold from time to time in one or more transactions, including negotiated transactions, at a fixed public offering price or at varying prices determined at the time of sale. The Debt Securities may be offered to the public either through underwriting syndicates represented by managing underwriters or directly by one or more underwriters acting alone. Unless otherwise set forth in the Prospectus Supplement, such underwriters may include Smith Barney Inc., J.P. Morgan Securities Inc. and NatWest Capital Markets Limited. Unless otherwise set forth in the Prospectus Supplement, the obligations of the underwriters to purchase the Debt Securities described in the accompanying Prospectus Supplement will be subject to certain conditions precedent and the underwriters will be obligated to purchase all such Debt Securities if any are so purchased by them. Any initial public offering price and any discounts or concessions allowed or reallowed or paid to dealers may be changed from time to time.</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Debt Securities may be sold directly by the Company or through agents designated by the Company from time to time. Unless otherwise set forth in the Prospectus Supplement, such agents may include Smith Barney Inc., J.P. Morgan Securities Inc. and National Westminster Bank Plc, New York Branch. Any agents involved in the offer or sale of the Debt Securities in respect of which this Prospectus is being delivered are named, and any commissions payable by the Company to such agents are set forth in the accompanying Prospectus Supplement. Unless otherwise indicated in the Prospectus Supplement, any such agent will be acting on a best efforts basis for the period of its appointment.</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dealers are utilized in the sale of any Debt Securities, the Company</w:t>
      </w:r>
    </w:p>
    <w:p>
      <w:pPr>
        <w:sectPr>
          <w:pgSz w:w="11900" w:h="16838" w:orient="portrait"/>
          <w:cols w:equalWidth="0" w:num="1">
            <w:col w:w="10219"/>
          </w:cols>
          <w:pgMar w:left="240" w:top="142" w:right="1440" w:bottom="0" w:gutter="0" w:footer="0" w:header="0"/>
        </w:sectPr>
      </w:pPr>
    </w:p>
    <w:bookmarkStart w:id="10" w:name="page11"/>
    <w:bookmarkEnd w:id="10"/>
    <w:p>
      <w:pPr>
        <w:ind w:right="1999"/>
        <w:spacing w:after="0" w:line="271" w:lineRule="auto"/>
        <w:rPr>
          <w:sz w:val="20"/>
          <w:szCs w:val="20"/>
          <w:color w:val="auto"/>
        </w:rPr>
      </w:pPr>
      <w:r>
        <w:rPr>
          <w:rFonts w:ascii="Courier New" w:cs="Courier New" w:eastAsia="Courier New" w:hAnsi="Courier New"/>
          <w:sz w:val="16"/>
          <w:szCs w:val="16"/>
          <w:color w:val="auto"/>
        </w:rPr>
        <w:t>will sell the Debt Securities to the dealers as principals. Any dealer may resell the Debt Securities to the public at varying prices to be determined by the dealer at the time of resale. Unless otherwise set forth in the Prospectus Supplement, such dealers may include Smith Barney Inc., J.P. Morgan Securities Inc. and National Westminster Bank Plc, New York Branch. The names of any dealers and the terms of the transaction will be set forth in the Prospectus Supplement with respect to the Debt Securities being offered thereby.</w:t>
      </w:r>
    </w:p>
    <w:p>
      <w:pPr>
        <w:spacing w:after="0" w:line="18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If so indicated in the Prospectus Supplement, the Company will authorize agents, underwriters or dealers to solicit offers by certain specified institutions to purchase the Debt Securities to which this Prospectus and the Prospectus Supplement relates from the Company at the public offering price set forth in the Prospectus Supplement, plus accrued interest,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84" w:lineRule="exact"/>
        <w:rPr>
          <w:sz w:val="20"/>
          <w:szCs w:val="20"/>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Underwriters will not be obligated to make a market in any Debt Securities. The Company cannot predict the activity of trading in, or liquidity of, any Debt Securities.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Agents, dealers and underwriters may be entitled under agreements entered into with the Company to indemnification by the Company against certain civil liabilities, including liabilities under the Securities Act, or to contribution by the Company to payments they may be required to make in respect thereof.</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Agents, dealers and underwriters may be customers of, engage in transactions with, or perform services for, the Company and its affiliates in the ordinary course of business.</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legality of the Debt Securities offered hereby will be passed upon for the Company by Davis Polk &amp; Wardwell, New York, New York, and certain legal matters in connection with the Debt Securities will be passed upon for the underwriters or the agents by Cahill Gordon &amp; Reindel, a partnership including a professional corporation.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related schedules of the Company as of December 31, 1993 and 1992 and for each of the years in the three-year period ended December 31, 1993, incorporated by reference herein and elsewhere in the Registration Statement, have been incorporated by reference herein and in the Registration Statement in reliance upon the reports of KPMG Peat Marwick LLP, independent certified public accountants, incorporated by reference herein, and upon the authority of said firm as experts in accounting and auditing. The reports of KPMG Peat Marwick LLP covering the 1993 consolidated financial statements and related schedules refer to changes in methods of accounting for post-retirement benefits other than pensions and income taxes.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60" w:type="dxa"/>
            <w:vAlign w:val="bottom"/>
          </w:tcPr>
          <w:p>
            <w:pPr>
              <w:ind w:left="1940"/>
              <w:spacing w:after="0"/>
              <w:rPr>
                <w:sz w:val="20"/>
                <w:szCs w:val="20"/>
                <w:color w:val="auto"/>
              </w:rPr>
            </w:pPr>
            <w:r>
              <w:rPr>
                <w:rFonts w:ascii="Courier New" w:cs="Courier New" w:eastAsia="Courier New" w:hAnsi="Courier New"/>
                <w:sz w:val="18"/>
                <w:szCs w:val="18"/>
                <w:color w:val="auto"/>
              </w:rPr>
              <w:t>PART II</w:t>
            </w:r>
          </w:p>
        </w:tc>
      </w:tr>
      <w:tr>
        <w:trPr>
          <w:trHeight w:val="405"/>
        </w:trPr>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60" w:type="dxa"/>
            <w:vAlign w:val="bottom"/>
          </w:tcPr>
          <w:p>
            <w:pPr>
              <w:ind w:left="260"/>
              <w:spacing w:after="0"/>
              <w:rPr>
                <w:sz w:val="20"/>
                <w:szCs w:val="20"/>
                <w:color w:val="auto"/>
              </w:rPr>
            </w:pPr>
            <w:r>
              <w:rPr>
                <w:rFonts w:ascii="Courier New" w:cs="Courier New" w:eastAsia="Courier New" w:hAnsi="Courier New"/>
                <w:sz w:val="18"/>
                <w:szCs w:val="18"/>
                <w:color w:val="auto"/>
                <w:w w:val="96"/>
              </w:rPr>
              <w:t>INFORMATION NOT REQUIRED IN PROSPECTUS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16.</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List of</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Exhibits and Exhibit Index.</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90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w:t>
            </w:r>
          </w:p>
        </w:tc>
        <w:tc>
          <w:tcPr>
            <w:tcW w:w="5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___________</w:t>
            </w:r>
          </w:p>
        </w:tc>
      </w:tr>
      <w:tr>
        <w:trPr>
          <w:trHeight w:val="608"/>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1.1</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 Form</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of Underwriting Agreement.</w:t>
            </w:r>
          </w:p>
        </w:tc>
      </w:tr>
      <w:tr>
        <w:trPr>
          <w:trHeight w:val="405"/>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1.2</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 Form</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of Distribution Agreement.</w:t>
            </w:r>
          </w:p>
        </w:tc>
      </w:tr>
      <w:tr>
        <w:trPr>
          <w:trHeight w:val="405"/>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4.1</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 Form</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of Indenture.</w:t>
            </w:r>
          </w:p>
        </w:tc>
      </w:tr>
      <w:tr>
        <w:trPr>
          <w:trHeight w:val="405"/>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4.2</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 Form</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of Debt Security.*</w:t>
            </w:r>
          </w:p>
        </w:tc>
      </w:tr>
      <w:tr>
        <w:trPr>
          <w:trHeight w:val="405"/>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4.2a</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 Form</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of fixed rate medium-term note.*</w:t>
            </w:r>
          </w:p>
        </w:tc>
      </w:tr>
      <w:tr>
        <w:trPr>
          <w:trHeight w:val="405"/>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4.2b</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 Form</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of floating rate medium-term note.*</w:t>
            </w:r>
          </w:p>
        </w:tc>
      </w:tr>
    </w:tbl>
    <w:p>
      <w:pPr>
        <w:spacing w:after="0" w:line="207" w:lineRule="exact"/>
        <w:rPr>
          <w:sz w:val="20"/>
          <w:szCs w:val="20"/>
          <w:color w:val="auto"/>
        </w:rPr>
      </w:pPr>
    </w:p>
    <w:p>
      <w:pPr>
        <w:ind w:left="1380" w:right="2099" w:hanging="1056"/>
        <w:spacing w:after="0" w:line="235" w:lineRule="auto"/>
        <w:tabs>
          <w:tab w:leader="none" w:pos="10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Opinion of Davis Polk &amp; Wardwell as to legality of securities to be issued.*</w:t>
      </w:r>
    </w:p>
    <w:p>
      <w:pPr>
        <w:sectPr>
          <w:pgSz w:w="11900" w:h="16838" w:orient="portrait"/>
          <w:cols w:equalWidth="0" w:num="1">
            <w:col w:w="10219"/>
          </w:cols>
          <w:pgMar w:left="240" w:top="142" w:right="1440" w:bottom="0" w:gutter="0" w:footer="0" w:header="0"/>
        </w:sectPr>
      </w:pPr>
    </w:p>
    <w:bookmarkStart w:id="11" w:name="page12"/>
    <w:bookmarkEnd w:id="11"/>
    <w:p>
      <w:pPr>
        <w:ind w:left="1060" w:hanging="841"/>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Computation of ratio of earnings to fixed charges.*</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r>
        <w:rPr>
          <w:rFonts w:ascii="Courier New" w:cs="Courier New" w:eastAsia="Courier New" w:hAnsi="Courier New"/>
          <w:sz w:val="16"/>
          <w:szCs w:val="16"/>
          <w:color w:val="auto"/>
        </w:rPr>
        <w:t>-- Consent of independent auditors.*</w:t>
      </w:r>
    </w:p>
    <w:p>
      <w:pPr>
        <w:spacing w:after="0" w:line="201" w:lineRule="exact"/>
        <w:rPr>
          <w:sz w:val="20"/>
          <w:szCs w:val="20"/>
          <w:color w:val="auto"/>
        </w:rPr>
      </w:pP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 Consent of Davis Polk &amp; Wardwell (included as part of Exhibit</w:t>
      </w:r>
    </w:p>
    <w:p>
      <w:pPr>
        <w:ind w:left="1380"/>
        <w:spacing w:after="0" w:line="238" w:lineRule="auto"/>
        <w:rPr>
          <w:sz w:val="20"/>
          <w:szCs w:val="20"/>
          <w:color w:val="auto"/>
        </w:rPr>
      </w:pPr>
      <w:r>
        <w:rPr>
          <w:rFonts w:ascii="Courier New" w:cs="Courier New" w:eastAsia="Courier New" w:hAnsi="Courier New"/>
          <w:sz w:val="18"/>
          <w:szCs w:val="18"/>
          <w:color w:val="auto"/>
        </w:rPr>
        <w:t>5).*</w:t>
      </w:r>
    </w:p>
    <w:p>
      <w:pPr>
        <w:spacing w:after="0" w:line="202" w:lineRule="exact"/>
        <w:rPr>
          <w:sz w:val="20"/>
          <w:szCs w:val="20"/>
          <w:color w:val="auto"/>
        </w:rPr>
      </w:pPr>
    </w:p>
    <w:p>
      <w:pPr>
        <w:ind w:left="1060" w:hanging="841"/>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Power of Attorney.*</w:t>
      </w:r>
    </w:p>
    <w:p>
      <w:pPr>
        <w:spacing w:after="0" w:line="206" w:lineRule="exact"/>
        <w:rPr>
          <w:rFonts w:ascii="Courier New" w:cs="Courier New" w:eastAsia="Courier New" w:hAnsi="Courier New"/>
          <w:sz w:val="18"/>
          <w:szCs w:val="18"/>
          <w:color w:val="auto"/>
        </w:rPr>
      </w:pPr>
    </w:p>
    <w:p>
      <w:pPr>
        <w:ind w:left="1380" w:right="1999" w:hanging="1161"/>
        <w:spacing w:after="0" w:line="235" w:lineRule="auto"/>
        <w:tabs>
          <w:tab w:leader="none" w:pos="10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Statement of Eligibility and Qualification of Trustee on Form T-1 under the Trust Indenture Act of 1939.*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w:t>
      </w:r>
    </w:p>
    <w:p>
      <w:pPr>
        <w:ind w:left="420"/>
        <w:spacing w:after="0" w:line="238" w:lineRule="auto"/>
        <w:rPr>
          <w:sz w:val="20"/>
          <w:szCs w:val="20"/>
          <w:color w:val="auto"/>
        </w:rPr>
      </w:pPr>
      <w:r>
        <w:rPr>
          <w:rFonts w:ascii="Courier New" w:cs="Courier New" w:eastAsia="Courier New" w:hAnsi="Courier New"/>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El Dorado, State of Arkansas, on September 30, 1994.</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4220"/>
        <w:spacing w:after="0"/>
        <w:tabs>
          <w:tab w:leader="none" w:pos="4720" w:val="left"/>
          <w:tab w:leader="none" w:pos="52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STEVEN A. COSSE</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5060"/>
        <w:spacing w:after="0"/>
        <w:rPr>
          <w:sz w:val="20"/>
          <w:szCs w:val="20"/>
          <w:color w:val="auto"/>
        </w:rPr>
      </w:pPr>
      <w:r>
        <w:rPr>
          <w:rFonts w:ascii="Courier New" w:cs="Courier New" w:eastAsia="Courier New" w:hAnsi="Courier New"/>
          <w:sz w:val="18"/>
          <w:szCs w:val="18"/>
          <w:color w:val="auto"/>
        </w:rPr>
        <w:t>Steven A. Cosse</w:t>
      </w:r>
    </w:p>
    <w:p>
      <w:pPr>
        <w:ind w:left="4320"/>
        <w:spacing w:after="0" w:line="237"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or amendment thereto has been signed by the following persons in the capacities indicated below and on the date indicated above.</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rPr>
              <w:t>C.H. MURPHY, JR.*</w:t>
            </w:r>
          </w:p>
        </w:tc>
        <w:tc>
          <w:tcPr>
            <w:tcW w:w="1480" w:type="dxa"/>
            <w:vAlign w:val="bottom"/>
          </w:tcPr>
          <w:p>
            <w:pPr>
              <w:spacing w:after="0"/>
              <w:rPr>
                <w:sz w:val="17"/>
                <w:szCs w:val="17"/>
                <w:color w:val="auto"/>
              </w:rPr>
            </w:pPr>
          </w:p>
        </w:tc>
        <w:tc>
          <w:tcPr>
            <w:tcW w:w="1680" w:type="dxa"/>
            <w:vAlign w:val="bottom"/>
          </w:tcPr>
          <w:p>
            <w:pPr>
              <w:ind w:left="1260"/>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H. RODES HART*</w:t>
            </w:r>
          </w:p>
        </w:tc>
      </w:tr>
      <w:tr>
        <w:trPr>
          <w:trHeight w:val="203"/>
        </w:trPr>
        <w:tc>
          <w:tcPr>
            <w:tcW w:w="42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C.H. Murphy, Jr., Chairman and Director</w:t>
            </w:r>
          </w:p>
        </w:tc>
        <w:tc>
          <w:tcPr>
            <w:tcW w:w="4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H. Rodes Hart, Director</w:t>
            </w:r>
          </w:p>
        </w:tc>
      </w:tr>
      <w:tr>
        <w:trPr>
          <w:trHeight w:val="405"/>
        </w:trPr>
        <w:tc>
          <w:tcPr>
            <w:tcW w:w="740" w:type="dxa"/>
            <w:vAlign w:val="bottom"/>
          </w:tcPr>
          <w:p>
            <w:pPr>
              <w:spacing w:after="0"/>
              <w:rPr>
                <w:sz w:val="24"/>
                <w:szCs w:val="24"/>
                <w:color w:val="auto"/>
              </w:rPr>
            </w:pPr>
          </w:p>
        </w:tc>
        <w:tc>
          <w:tcPr>
            <w:tcW w:w="20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JACK W. MCNUTT*</w:t>
            </w:r>
          </w:p>
        </w:tc>
        <w:tc>
          <w:tcPr>
            <w:tcW w:w="1480" w:type="dxa"/>
            <w:vAlign w:val="bottom"/>
          </w:tcPr>
          <w:p>
            <w:pPr>
              <w:spacing w:after="0"/>
              <w:rPr>
                <w:sz w:val="24"/>
                <w:szCs w:val="24"/>
                <w:color w:val="auto"/>
              </w:rPr>
            </w:pPr>
          </w:p>
        </w:tc>
        <w:tc>
          <w:tcPr>
            <w:tcW w:w="400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VESTER T. HUGHES, JR.*</w:t>
            </w:r>
          </w:p>
        </w:tc>
      </w:tr>
      <w:tr>
        <w:trPr>
          <w:trHeight w:val="203"/>
        </w:trPr>
        <w:tc>
          <w:tcPr>
            <w:tcW w:w="42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w:t>
            </w: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Jack W. McNutt, President and Chief</w:t>
            </w:r>
          </w:p>
        </w:tc>
        <w:tc>
          <w:tcPr>
            <w:tcW w:w="4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Vester T. Hughes, Jr., Director</w:t>
            </w:r>
          </w:p>
        </w:tc>
      </w:tr>
      <w:tr>
        <w:trPr>
          <w:trHeight w:val="203"/>
        </w:trPr>
        <w:tc>
          <w:tcPr>
            <w:tcW w:w="4220" w:type="dxa"/>
            <w:vAlign w:val="bottom"/>
            <w:gridSpan w:val="3"/>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Executive Officer and Director</w:t>
            </w:r>
          </w:p>
        </w:tc>
        <w:tc>
          <w:tcPr>
            <w:tcW w:w="1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220" w:type="dxa"/>
            <w:vAlign w:val="bottom"/>
            <w:gridSpan w:val="3"/>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(Principal Executive Officer)</w:t>
            </w:r>
          </w:p>
        </w:tc>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MICHAEL W. MURPHY*</w:t>
            </w:r>
          </w:p>
        </w:tc>
      </w:tr>
      <w:tr>
        <w:trPr>
          <w:trHeight w:val="203"/>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w:t>
            </w:r>
          </w:p>
        </w:tc>
      </w:tr>
      <w:tr>
        <w:trPr>
          <w:trHeight w:val="203"/>
        </w:trPr>
        <w:tc>
          <w:tcPr>
            <w:tcW w:w="740" w:type="dxa"/>
            <w:vAlign w:val="bottom"/>
          </w:tcPr>
          <w:p>
            <w:pPr>
              <w:spacing w:after="0"/>
              <w:rPr>
                <w:sz w:val="17"/>
                <w:szCs w:val="17"/>
                <w:color w:val="auto"/>
              </w:rPr>
            </w:pPr>
          </w:p>
        </w:tc>
        <w:tc>
          <w:tcPr>
            <w:tcW w:w="20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R. MADISON MURPHY*</w:t>
            </w:r>
          </w:p>
        </w:tc>
        <w:tc>
          <w:tcPr>
            <w:tcW w:w="1480" w:type="dxa"/>
            <w:vAlign w:val="bottom"/>
          </w:tcPr>
          <w:p>
            <w:pPr>
              <w:spacing w:after="0"/>
              <w:rPr>
                <w:sz w:val="17"/>
                <w:szCs w:val="17"/>
                <w:color w:val="auto"/>
              </w:rPr>
            </w:pPr>
          </w:p>
        </w:tc>
        <w:tc>
          <w:tcPr>
            <w:tcW w:w="40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Michael W. Murphy, Director</w:t>
            </w:r>
          </w:p>
        </w:tc>
      </w:tr>
      <w:tr>
        <w:trPr>
          <w:trHeight w:val="203"/>
        </w:trPr>
        <w:tc>
          <w:tcPr>
            <w:tcW w:w="42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w:t>
            </w:r>
          </w:p>
        </w:tc>
        <w:tc>
          <w:tcPr>
            <w:tcW w:w="1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220" w:type="dxa"/>
            <w:vAlign w:val="bottom"/>
            <w:gridSpan w:val="3"/>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R. Madison Murphy, Executive Vice</w:t>
            </w:r>
          </w:p>
        </w:tc>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WILLIAM C. NOLAN, JR.*</w:t>
            </w:r>
          </w:p>
        </w:tc>
      </w:tr>
      <w:tr>
        <w:trPr>
          <w:trHeight w:val="203"/>
        </w:trPr>
        <w:tc>
          <w:tcPr>
            <w:tcW w:w="4220" w:type="dxa"/>
            <w:vAlign w:val="bottom"/>
            <w:gridSpan w:val="3"/>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President and Chief Financial and</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w:t>
            </w:r>
          </w:p>
        </w:tc>
      </w:tr>
      <w:tr>
        <w:trPr>
          <w:trHeight w:val="203"/>
        </w:trPr>
        <w:tc>
          <w:tcPr>
            <w:tcW w:w="4220" w:type="dxa"/>
            <w:vAlign w:val="bottom"/>
            <w:gridSpan w:val="3"/>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Administrative Officer and Director</w:t>
            </w:r>
          </w:p>
        </w:tc>
        <w:tc>
          <w:tcPr>
            <w:tcW w:w="4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William C. Nolan, Jr., Director</w:t>
            </w:r>
          </w:p>
        </w:tc>
      </w:tr>
      <w:tr>
        <w:trPr>
          <w:trHeight w:val="203"/>
        </w:trPr>
        <w:tc>
          <w:tcPr>
            <w:tcW w:w="4220" w:type="dxa"/>
            <w:vAlign w:val="bottom"/>
            <w:gridSpan w:val="3"/>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(Principal Financial Officer)</w:t>
            </w:r>
          </w:p>
        </w:tc>
        <w:tc>
          <w:tcPr>
            <w:tcW w:w="1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CAROLINE G. THEUS*</w:t>
            </w:r>
          </w:p>
        </w:tc>
      </w:tr>
      <w:tr>
        <w:trPr>
          <w:trHeight w:val="203"/>
        </w:trPr>
        <w:tc>
          <w:tcPr>
            <w:tcW w:w="740" w:type="dxa"/>
            <w:vAlign w:val="bottom"/>
          </w:tcPr>
          <w:p>
            <w:pPr>
              <w:spacing w:after="0"/>
              <w:rPr>
                <w:sz w:val="17"/>
                <w:szCs w:val="17"/>
                <w:color w:val="auto"/>
              </w:rPr>
            </w:pPr>
          </w:p>
        </w:tc>
        <w:tc>
          <w:tcPr>
            <w:tcW w:w="3480" w:type="dxa"/>
            <w:vAlign w:val="bottom"/>
            <w:gridSpan w:val="2"/>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CLAIBORNE P. DEMING*</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w:t>
            </w:r>
          </w:p>
        </w:tc>
      </w:tr>
      <w:tr>
        <w:trPr>
          <w:trHeight w:val="203"/>
        </w:trPr>
        <w:tc>
          <w:tcPr>
            <w:tcW w:w="42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w:t>
            </w:r>
          </w:p>
        </w:tc>
        <w:tc>
          <w:tcPr>
            <w:tcW w:w="40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Caroline G. Theus, Director</w:t>
            </w:r>
          </w:p>
        </w:tc>
      </w:tr>
      <w:tr>
        <w:trPr>
          <w:trHeight w:val="203"/>
        </w:trPr>
        <w:tc>
          <w:tcPr>
            <w:tcW w:w="4220" w:type="dxa"/>
            <w:vAlign w:val="bottom"/>
            <w:gridSpan w:val="3"/>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Claiborne P. Deming, Executive Vice</w:t>
            </w:r>
          </w:p>
        </w:tc>
        <w:tc>
          <w:tcPr>
            <w:tcW w:w="1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220" w:type="dxa"/>
            <w:vAlign w:val="bottom"/>
            <w:gridSpan w:val="3"/>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President and Chief Operating</w:t>
            </w:r>
          </w:p>
        </w:tc>
        <w:tc>
          <w:tcPr>
            <w:tcW w:w="40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LORNE C. WEBSTER*</w:t>
            </w:r>
          </w:p>
        </w:tc>
      </w:tr>
      <w:tr>
        <w:trPr>
          <w:trHeight w:val="203"/>
        </w:trPr>
        <w:tc>
          <w:tcPr>
            <w:tcW w:w="740" w:type="dxa"/>
            <w:vAlign w:val="bottom"/>
          </w:tcPr>
          <w:p>
            <w:pPr>
              <w:spacing w:after="0"/>
              <w:rPr>
                <w:sz w:val="17"/>
                <w:szCs w:val="17"/>
                <w:color w:val="auto"/>
              </w:rPr>
            </w:pPr>
          </w:p>
        </w:tc>
        <w:tc>
          <w:tcPr>
            <w:tcW w:w="3480" w:type="dxa"/>
            <w:vAlign w:val="bottom"/>
            <w:gridSpan w:val="2"/>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Officer and Director</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w:t>
            </w:r>
          </w:p>
        </w:tc>
      </w:tr>
      <w:tr>
        <w:trPr>
          <w:trHeight w:val="203"/>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Lorne C. Webster, Director</w:t>
            </w:r>
          </w:p>
        </w:tc>
      </w:tr>
      <w:tr>
        <w:trPr>
          <w:trHeight w:val="203"/>
        </w:trPr>
        <w:tc>
          <w:tcPr>
            <w:tcW w:w="740" w:type="dxa"/>
            <w:vAlign w:val="bottom"/>
          </w:tcPr>
          <w:p>
            <w:pPr>
              <w:spacing w:after="0"/>
              <w:rPr>
                <w:sz w:val="17"/>
                <w:szCs w:val="17"/>
                <w:color w:val="auto"/>
              </w:rPr>
            </w:pPr>
          </w:p>
        </w:tc>
        <w:tc>
          <w:tcPr>
            <w:tcW w:w="20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B.R.R. BUTLER*</w:t>
            </w: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2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w:t>
            </w:r>
          </w:p>
        </w:tc>
        <w:tc>
          <w:tcPr>
            <w:tcW w:w="400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rPr>
              <w:t>RONALD W. HERMAN*</w:t>
            </w:r>
          </w:p>
        </w:tc>
      </w:tr>
      <w:tr>
        <w:trPr>
          <w:trHeight w:val="203"/>
        </w:trPr>
        <w:tc>
          <w:tcPr>
            <w:tcW w:w="4220" w:type="dxa"/>
            <w:vAlign w:val="bottom"/>
            <w:gridSpan w:val="3"/>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B.R.R. Butler, Director</w:t>
            </w: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_____________________________________</w:t>
            </w:r>
          </w:p>
        </w:tc>
      </w:tr>
      <w:tr>
        <w:trPr>
          <w:trHeight w:val="203"/>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Ronald W. Herman, Controller</w:t>
            </w:r>
          </w:p>
        </w:tc>
      </w:tr>
      <w:tr>
        <w:trPr>
          <w:trHeight w:val="203"/>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(Principal Accounting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STEVEN S. COSSE</w:t>
            </w:r>
          </w:p>
        </w:tc>
        <w:tc>
          <w:tcPr>
            <w:tcW w:w="148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2"/>
              </w:rPr>
              <w:t>*</w:t>
            </w:r>
          </w:p>
        </w:tc>
        <w:tc>
          <w:tcPr>
            <w:tcW w:w="1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42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_________________________________</w:t>
            </w:r>
          </w:p>
        </w:tc>
        <w:tc>
          <w:tcPr>
            <w:tcW w:w="1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(Steven A. Cosse,</w:t>
            </w: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0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Attorney-in-Fact</w:t>
            </w: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0"/>
        </w:trPr>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60" w:type="dxa"/>
            <w:vAlign w:val="bottom"/>
            <w:gridSpan w:val="2"/>
          </w:tcPr>
          <w:p>
            <w:pPr>
              <w:jc w:val="center"/>
              <w:ind w:right="212"/>
              <w:spacing w:after="0"/>
              <w:rPr>
                <w:sz w:val="20"/>
                <w:szCs w:val="20"/>
                <w:color w:val="auto"/>
              </w:rPr>
            </w:pPr>
            <w:r>
              <w:rPr>
                <w:rFonts w:ascii="Courier New" w:cs="Courier New" w:eastAsia="Courier New" w:hAnsi="Courier New"/>
                <w:sz w:val="18"/>
                <w:szCs w:val="18"/>
                <w:color w:val="auto"/>
                <w:w w:val="98"/>
              </w:rPr>
              <w:t>EXHIBIT INDEX</w:t>
            </w:r>
          </w:p>
        </w:tc>
        <w:tc>
          <w:tcPr>
            <w:tcW w:w="2320" w:type="dxa"/>
            <w:vAlign w:val="bottom"/>
          </w:tcPr>
          <w:p>
            <w:pPr>
              <w:spacing w:after="0"/>
              <w:rPr>
                <w:sz w:val="24"/>
                <w:szCs w:val="24"/>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Exhibit</w:t>
            </w:r>
          </w:p>
        </w:tc>
        <w:tc>
          <w:tcPr>
            <w:tcW w:w="2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Sequential</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2000" w:type="dxa"/>
            <w:vAlign w:val="bottom"/>
          </w:tcPr>
          <w:p>
            <w:pPr>
              <w:spacing w:after="0"/>
              <w:rPr>
                <w:sz w:val="17"/>
                <w:szCs w:val="17"/>
                <w:color w:val="auto"/>
              </w:rPr>
            </w:pPr>
          </w:p>
        </w:tc>
        <w:tc>
          <w:tcPr>
            <w:tcW w:w="316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Description</w:t>
            </w: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Page No.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_______</w:t>
            </w:r>
          </w:p>
        </w:tc>
        <w:tc>
          <w:tcPr>
            <w:tcW w:w="2000" w:type="dxa"/>
            <w:vAlign w:val="bottom"/>
          </w:tcPr>
          <w:p>
            <w:pPr>
              <w:spacing w:after="0"/>
              <w:rPr>
                <w:sz w:val="17"/>
                <w:szCs w:val="17"/>
                <w:color w:val="auto"/>
              </w:rPr>
            </w:pPr>
          </w:p>
        </w:tc>
        <w:tc>
          <w:tcPr>
            <w:tcW w:w="316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___________</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bl>
    <w:p>
      <w:pPr>
        <w:sectPr>
          <w:pgSz w:w="11900" w:h="16838" w:orient="portrait"/>
          <w:cols w:equalWidth="0" w:num="1">
            <w:col w:w="10219"/>
          </w:cols>
          <w:pgMar w:left="240" w:top="136" w:right="1440" w:bottom="0" w:gutter="0" w:footer="0" w:header="0"/>
        </w:sectPr>
      </w:pPr>
    </w:p>
    <w:bookmarkStart w:id="12" w:name="page13"/>
    <w:bookmarkEnd w:id="12"/>
    <w:p>
      <w:pPr>
        <w:ind w:left="220"/>
        <w:spacing w:after="0"/>
        <w:rPr>
          <w:sz w:val="20"/>
          <w:szCs w:val="20"/>
          <w:color w:val="auto"/>
        </w:rPr>
      </w:pPr>
      <w:r>
        <w:rPr>
          <w:rFonts w:ascii="Courier New" w:cs="Courier New" w:eastAsia="Courier New" w:hAnsi="Courier New"/>
          <w:sz w:val="18"/>
          <w:szCs w:val="18"/>
          <w:color w:val="auto"/>
        </w:rPr>
        <w:t>1.1 -- Form of Underwriting Agreement.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1.2 -- Form of Distribution Agreement.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4.1 -- Form of Indenture.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4.2 -- Form of Debt Security.*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4.2a-- Form of fixed rate medium-term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4.2b-- Form of floating rate medium-term note.*</w:t>
      </w:r>
    </w:p>
    <w:p>
      <w:pPr>
        <w:spacing w:after="0" w:line="207" w:lineRule="exact"/>
        <w:rPr>
          <w:sz w:val="20"/>
          <w:szCs w:val="20"/>
          <w:color w:val="auto"/>
        </w:rPr>
      </w:pPr>
    </w:p>
    <w:p>
      <w:pPr>
        <w:ind w:left="960" w:right="3999" w:hanging="741"/>
        <w:spacing w:after="0" w:line="235" w:lineRule="auto"/>
        <w:tabs>
          <w:tab w:leader="none" w:pos="64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Opinion of Davis Polk &amp; Wardwell as to legality of securities to be issued.*</w:t>
      </w:r>
    </w:p>
    <w:p>
      <w:pPr>
        <w:spacing w:after="0" w:line="208" w:lineRule="exact"/>
        <w:rPr>
          <w:sz w:val="20"/>
          <w:szCs w:val="20"/>
          <w:color w:val="auto"/>
        </w:rPr>
      </w:pPr>
    </w:p>
    <w:p>
      <w:pPr>
        <w:ind w:left="120" w:right="3899" w:hanging="7"/>
        <w:spacing w:after="0" w:line="470" w:lineRule="auto"/>
        <w:tabs>
          <w:tab w:leader="none" w:pos="64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Computation of ratio of earnings to fixed charges.* 23.1 -- Consent of independent auditors.*</w:t>
      </w:r>
    </w:p>
    <w:p>
      <w:pPr>
        <w:spacing w:after="0" w:line="12" w:lineRule="exact"/>
        <w:rPr>
          <w:sz w:val="20"/>
          <w:szCs w:val="20"/>
          <w:color w:val="auto"/>
        </w:rPr>
      </w:pPr>
    </w:p>
    <w:p>
      <w:pPr>
        <w:ind w:left="960" w:right="3679" w:hanging="842"/>
        <w:spacing w:after="0" w:line="235" w:lineRule="auto"/>
        <w:rPr>
          <w:sz w:val="20"/>
          <w:szCs w:val="20"/>
          <w:color w:val="auto"/>
        </w:rPr>
      </w:pPr>
      <w:r>
        <w:rPr>
          <w:rFonts w:ascii="Courier New" w:cs="Courier New" w:eastAsia="Courier New" w:hAnsi="Courier New"/>
          <w:sz w:val="18"/>
          <w:szCs w:val="18"/>
          <w:color w:val="auto"/>
        </w:rPr>
        <w:t>23.2 -- Consent of Davis Polk &amp; Wardwell (included as part of Exhibit 5).*</w:t>
      </w:r>
    </w:p>
    <w:p>
      <w:pPr>
        <w:spacing w:after="0" w:line="203" w:lineRule="exact"/>
        <w:rPr>
          <w:sz w:val="20"/>
          <w:szCs w:val="20"/>
          <w:color w:val="auto"/>
        </w:rPr>
      </w:pPr>
    </w:p>
    <w:p>
      <w:pPr>
        <w:ind w:left="640" w:hanging="527"/>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Power of Attorney.*</w:t>
      </w:r>
    </w:p>
    <w:p>
      <w:pPr>
        <w:spacing w:after="0" w:line="206" w:lineRule="exact"/>
        <w:rPr>
          <w:rFonts w:ascii="Courier New" w:cs="Courier New" w:eastAsia="Courier New" w:hAnsi="Courier New"/>
          <w:sz w:val="18"/>
          <w:szCs w:val="18"/>
          <w:color w:val="auto"/>
        </w:rPr>
      </w:pPr>
    </w:p>
    <w:p>
      <w:pPr>
        <w:ind w:left="960" w:right="3359" w:hanging="847"/>
        <w:spacing w:after="0" w:line="235" w:lineRule="auto"/>
        <w:tabs>
          <w:tab w:leader="none" w:pos="64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Statement of Eligibility and Qualification of Trustee on Form T-1 under the Trust Indenture Act of 1939.*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w:t>
      </w:r>
    </w:p>
    <w:p>
      <w:pPr>
        <w:ind w:left="120"/>
        <w:spacing w:after="0" w:line="238" w:lineRule="auto"/>
        <w:rPr>
          <w:sz w:val="20"/>
          <w:szCs w:val="20"/>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136" w:right="1440" w:bottom="1440" w:gutter="0" w:footer="0" w:header="0"/>
        </w:sectPr>
      </w:pPr>
    </w:p>
    <w:bookmarkStart w:id="13" w:name="page14"/>
    <w:bookmarkEnd w:id="13"/>
    <w:p>
      <w:pPr>
        <w:ind w:left="296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Murphy Oil Corporation</w:t>
      </w:r>
    </w:p>
    <w:p>
      <w:pPr>
        <w:spacing w:after="0" w:line="238" w:lineRule="auto"/>
        <w:rPr>
          <w:sz w:val="20"/>
          <w:szCs w:val="20"/>
          <w:color w:val="auto"/>
        </w:rPr>
      </w:pPr>
      <w:r>
        <w:rPr>
          <w:rFonts w:ascii="Courier New" w:cs="Courier New" w:eastAsia="Courier New" w:hAnsi="Courier New"/>
          <w:sz w:val="18"/>
          <w:szCs w:val="18"/>
          <w:color w:val="auto"/>
        </w:rPr>
        <w:t>200 Peach Street, P.O. Box 7000</w:t>
      </w:r>
    </w:p>
    <w:p>
      <w:pPr>
        <w:spacing w:after="0"/>
        <w:tabs>
          <w:tab w:leader="none" w:pos="2200" w:val="left"/>
        </w:tabs>
        <w:rPr>
          <w:sz w:val="20"/>
          <w:szCs w:val="20"/>
          <w:color w:val="auto"/>
        </w:rPr>
      </w:pPr>
      <w:r>
        <w:rPr>
          <w:rFonts w:ascii="Courier New" w:cs="Courier New" w:eastAsia="Courier New" w:hAnsi="Courier New"/>
          <w:sz w:val="18"/>
          <w:szCs w:val="18"/>
          <w:color w:val="auto"/>
        </w:rPr>
        <w:t>El Dorado, Arkansas</w:t>
      </w:r>
      <w:r>
        <w:rPr>
          <w:sz w:val="20"/>
          <w:szCs w:val="20"/>
          <w:color w:val="auto"/>
        </w:rPr>
        <w:tab/>
      </w:r>
      <w:r>
        <w:rPr>
          <w:rFonts w:ascii="Courier New" w:cs="Courier New" w:eastAsia="Courier New" w:hAnsi="Courier New"/>
          <w:sz w:val="16"/>
          <w:szCs w:val="16"/>
          <w:color w:val="auto"/>
        </w:rPr>
        <w:t>71731-7000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We (the "Manager") are acting on behalf of the underwriter or underwriters (including ourselves) identified on the table below (such underwriter or underwriters being herein called the "Underwriters"), and we understand that Murphy Oil Corporation, a Delaware corporation (the "Company"), proposes to issue and sell [Currency and Principal Amount] aggregate initial offering price of [Full title of Debt Securities] (the "Debt Securities"). (The Debt Securities are also referred to herein as the "Offered Securities.") The Debt Securities will be issued pursuant to the provisions of an Indenture dated as of _______________, 1994 (the "Indenture") between the Company and Chemical Bank, as Trustee (the "Trustee").</w:t>
      </w:r>
    </w:p>
    <w:p>
      <w:pPr>
        <w:spacing w:after="0" w:line="386"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Subject to the terms and conditions set forth or incorporated by reference herein, the Company hereby agrees to issue and sell to each Underwriter and, upon the basis of the representations, warranties and agreements of the Company herein contained and subject to all the terms and conditions set forth herein, each of the Underwriters agrees to purchase from the Company, severally and not jointly, the principal amount of Debt Securities set forth below opposite its name (or such principal amount of Debt Securities increased as set forth in Section 8 hereof) at a purchase price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 of the principal amount of such Debt Securities, plus accrued interest,</w:t>
      </w:r>
    </w:p>
    <w:p>
      <w:pPr>
        <w:spacing w:after="0" w:line="16"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if any, from</w:t>
      </w:r>
      <w:r>
        <w:rPr>
          <w:sz w:val="20"/>
          <w:szCs w:val="20"/>
          <w:color w:val="auto"/>
        </w:rPr>
        <w:tab/>
      </w:r>
      <w:r>
        <w:rPr>
          <w:rFonts w:ascii="Courier New" w:cs="Courier New" w:eastAsia="Courier New" w:hAnsi="Courier New"/>
          <w:sz w:val="16"/>
          <w:szCs w:val="16"/>
          <w:color w:val="auto"/>
        </w:rPr>
        <w:t>, 1994, to the Closing Date (as hereinafter defined):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Principal Amount of</w:t>
      </w:r>
    </w:p>
    <w:p>
      <w:pPr>
        <w:ind w:left="640"/>
        <w:spacing w:after="0" w:line="238" w:lineRule="auto"/>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Debt Securities</w:t>
      </w:r>
    </w:p>
    <w:p>
      <w:pPr>
        <w:ind w:left="640"/>
        <w:spacing w:after="0"/>
        <w:tabs>
          <w:tab w:leader="none" w:pos="526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8"/>
          <w:szCs w:val="18"/>
          <w:color w:val="auto"/>
        </w:rPr>
        <w:t>___________________</w:t>
      </w:r>
    </w:p>
    <w:p>
      <w:pPr>
        <w:ind w:left="570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160"/>
        <w:spacing w:after="0"/>
        <w:tabs>
          <w:tab w:leader="none" w:pos="5680" w:val="left"/>
        </w:tabs>
        <w:rPr>
          <w:sz w:val="20"/>
          <w:szCs w:val="20"/>
          <w:color w:val="auto"/>
        </w:rPr>
      </w:pPr>
      <w:r>
        <w:rPr>
          <w:rFonts w:ascii="Courier New" w:cs="Courier New" w:eastAsia="Courier New" w:hAnsi="Courier New"/>
          <w:sz w:val="18"/>
          <w:szCs w:val="18"/>
          <w:color w:val="auto"/>
        </w:rPr>
        <w:t>Total . . . . . .</w:t>
      </w:r>
      <w:r>
        <w:rPr>
          <w:sz w:val="20"/>
          <w:szCs w:val="20"/>
          <w:color w:val="auto"/>
        </w:rPr>
        <w:tab/>
      </w:r>
      <w:r>
        <w:rPr>
          <w:rFonts w:ascii="Courier New" w:cs="Courier New" w:eastAsia="Courier New" w:hAnsi="Courier New"/>
          <w:sz w:val="16"/>
          <w:szCs w:val="16"/>
          <w:color w:val="auto"/>
        </w:rPr>
        <w:t>$</w:t>
      </w:r>
    </w:p>
    <w:p>
      <w:pPr>
        <w:ind w:left="5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The Underwriters will pay for the Offered Securities upon delivery thereof at [office] at ______ a.m. (New York time) on ___________, 199_, or at</w:t>
      </w:r>
    </w:p>
    <w:p>
      <w:pPr>
        <w:spacing w:after="0"/>
        <w:rPr>
          <w:sz w:val="20"/>
          <w:szCs w:val="20"/>
          <w:color w:val="auto"/>
        </w:rPr>
      </w:pPr>
      <w:r>
        <w:rPr>
          <w:rFonts w:ascii="Courier New" w:cs="Courier New" w:eastAsia="Courier New" w:hAnsi="Courier New"/>
          <w:sz w:val="16"/>
          <w:szCs w:val="16"/>
          <w:color w:val="auto"/>
        </w:rPr>
        <w:t>such other time, not later than 5:00 p.m. (New York time) on __________, 199_,</w:t>
      </w:r>
    </w:p>
    <w:p>
      <w:pPr>
        <w:spacing w:after="0" w:line="2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as shall be designated by the Manager. The time and date of such payment and delivery are hereinafter referred to as the Closing Date.</w:t>
      </w:r>
    </w:p>
    <w:p>
      <w:pPr>
        <w:spacing w:after="0" w:line="208" w:lineRule="exact"/>
        <w:rPr>
          <w:sz w:val="20"/>
          <w:szCs w:val="20"/>
          <w:color w:val="auto"/>
        </w:rPr>
      </w:pPr>
    </w:p>
    <w:p>
      <w:pPr>
        <w:ind w:right="2619" w:firstLine="1264"/>
        <w:spacing w:after="0" w:line="268" w:lineRule="auto"/>
        <w:rPr>
          <w:sz w:val="20"/>
          <w:szCs w:val="20"/>
          <w:color w:val="auto"/>
        </w:rPr>
      </w:pPr>
      <w:r>
        <w:rPr>
          <w:rFonts w:ascii="Courier New" w:cs="Courier New" w:eastAsia="Courier New" w:hAnsi="Courier New"/>
          <w:sz w:val="16"/>
          <w:szCs w:val="16"/>
          <w:color w:val="auto"/>
        </w:rPr>
        <w:t>The Offered Securities shall have the terms set forth in the Prospectus dated ___________, 1994, and the Prospectus Supplement dated</w:t>
      </w:r>
    </w:p>
    <w:p>
      <w:pPr>
        <w:spacing w:after="0" w:line="233" w:lineRule="auto"/>
        <w:rPr>
          <w:sz w:val="20"/>
          <w:szCs w:val="20"/>
          <w:color w:val="auto"/>
        </w:rPr>
      </w:pPr>
      <w:r>
        <w:rPr>
          <w:rFonts w:ascii="Courier New" w:cs="Courier New" w:eastAsia="Courier New" w:hAnsi="Courier New"/>
          <w:sz w:val="18"/>
          <w:szCs w:val="18"/>
          <w:color w:val="auto"/>
        </w:rPr>
        <w:t>____________, 1994, including the following: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Debt Securities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Maturity Date: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Interest Rate: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Redemption Provisions:</w:t>
      </w:r>
    </w:p>
    <w:p>
      <w:pPr>
        <w:spacing w:after="0" w:line="201" w:lineRule="exact"/>
        <w:rPr>
          <w:sz w:val="20"/>
          <w:szCs w:val="20"/>
          <w:color w:val="auto"/>
        </w:rPr>
      </w:pPr>
    </w:p>
    <w:p>
      <w:pPr>
        <w:ind w:left="640"/>
        <w:spacing w:after="0"/>
        <w:tabs>
          <w:tab w:leader="none" w:pos="3460" w:val="left"/>
        </w:tabs>
        <w:rPr>
          <w:sz w:val="20"/>
          <w:szCs w:val="20"/>
          <w:color w:val="auto"/>
        </w:rPr>
      </w:pPr>
      <w:r>
        <w:rPr>
          <w:rFonts w:ascii="Courier New" w:cs="Courier New" w:eastAsia="Courier New" w:hAnsi="Courier New"/>
          <w:sz w:val="18"/>
          <w:szCs w:val="18"/>
          <w:color w:val="auto"/>
        </w:rPr>
        <w:t>Interest Payment Dates:</w:t>
      </w:r>
      <w:r>
        <w:rPr>
          <w:sz w:val="20"/>
          <w:szCs w:val="20"/>
          <w:color w:val="auto"/>
        </w:rPr>
        <w:tab/>
      </w:r>
      <w:r>
        <w:rPr>
          <w:rFonts w:ascii="Courier New" w:cs="Courier New" w:eastAsia="Courier New" w:hAnsi="Courier New"/>
          <w:sz w:val="16"/>
          <w:szCs w:val="16"/>
          <w:color w:val="auto"/>
        </w:rPr>
        <w:t>____________ __ and</w:t>
      </w:r>
    </w:p>
    <w:p>
      <w:pPr>
        <w:ind w:left="3480"/>
        <w:spacing w:after="0" w:line="238" w:lineRule="auto"/>
        <w:rPr>
          <w:sz w:val="20"/>
          <w:szCs w:val="20"/>
          <w:color w:val="auto"/>
        </w:rPr>
      </w:pPr>
      <w:r>
        <w:rPr>
          <w:rFonts w:ascii="Courier New" w:cs="Courier New" w:eastAsia="Courier New" w:hAnsi="Courier New"/>
          <w:sz w:val="18"/>
          <w:szCs w:val="18"/>
          <w:color w:val="auto"/>
        </w:rPr>
        <w:t>____________ __ commencing</w:t>
      </w:r>
    </w:p>
    <w:p>
      <w:pPr>
        <w:ind w:left="3480"/>
        <w:spacing w:after="0"/>
        <w:rPr>
          <w:sz w:val="20"/>
          <w:szCs w:val="20"/>
          <w:color w:val="auto"/>
        </w:rPr>
      </w:pPr>
      <w:r>
        <w:rPr>
          <w:rFonts w:ascii="Courier New" w:cs="Courier New" w:eastAsia="Courier New" w:hAnsi="Courier New"/>
          <w:sz w:val="18"/>
          <w:szCs w:val="18"/>
          <w:color w:val="auto"/>
        </w:rPr>
        <w:t>____________ __, ____</w:t>
      </w:r>
    </w:p>
    <w:p>
      <w:pPr>
        <w:ind w:left="3380"/>
        <w:spacing w:after="0" w:line="237" w:lineRule="auto"/>
        <w:rPr>
          <w:sz w:val="20"/>
          <w:szCs w:val="20"/>
          <w:color w:val="auto"/>
        </w:rPr>
      </w:pPr>
      <w:r>
        <w:rPr>
          <w:rFonts w:ascii="Courier New" w:cs="Courier New" w:eastAsia="Courier New" w:hAnsi="Courier New"/>
          <w:sz w:val="18"/>
          <w:szCs w:val="18"/>
          <w:color w:val="auto"/>
        </w:rPr>
        <w:t>[(Interest accrues from</w:t>
      </w:r>
    </w:p>
    <w:p>
      <w:pPr>
        <w:ind w:left="3480"/>
        <w:spacing w:after="0" w:line="238" w:lineRule="auto"/>
        <w:rPr>
          <w:sz w:val="20"/>
          <w:szCs w:val="20"/>
          <w:color w:val="auto"/>
        </w:rPr>
      </w:pPr>
      <w:r>
        <w:rPr>
          <w:rFonts w:ascii="Courier New" w:cs="Courier New" w:eastAsia="Courier New" w:hAnsi="Courier New"/>
          <w:sz w:val="18"/>
          <w:szCs w:val="18"/>
          <w:color w:val="auto"/>
        </w:rPr>
        <w:t>____________ __, ____)]</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Form and Denomination:</w:t>
      </w:r>
    </w:p>
    <w:p>
      <w:pPr>
        <w:sectPr>
          <w:pgSz w:w="11900" w:h="16838" w:orient="portrait"/>
          <w:cols w:equalWidth="0" w:num="1">
            <w:col w:w="10219"/>
          </w:cols>
          <w:pgMar w:left="240" w:top="136" w:right="1440" w:bottom="0" w:gutter="0" w:footer="0" w:header="0"/>
          <w:type w:val="continuous"/>
        </w:sectPr>
      </w:pPr>
    </w:p>
    <w:bookmarkStart w:id="14" w:name="page15"/>
    <w:bookmarkEnd w:id="14"/>
    <w:p>
      <w:pPr>
        <w:ind w:left="640"/>
        <w:spacing w:after="0"/>
        <w:rPr>
          <w:sz w:val="20"/>
          <w:szCs w:val="20"/>
          <w:color w:val="auto"/>
        </w:rPr>
      </w:pPr>
      <w:r>
        <w:rPr>
          <w:rFonts w:ascii="Courier New" w:cs="Courier New" w:eastAsia="Courier New" w:hAnsi="Courier New"/>
          <w:sz w:val="18"/>
          <w:szCs w:val="18"/>
          <w:color w:val="auto"/>
        </w:rPr>
        <w:t>[Other Terms:]</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All provisions contained in the document entitled Murphy Oil Corporation Underwriting Agreement Standard Provisions (Debt Securities) dated</w:t>
      </w:r>
    </w:p>
    <w:p>
      <w:pPr>
        <w:spacing w:after="0"/>
        <w:rPr>
          <w:sz w:val="20"/>
          <w:szCs w:val="20"/>
          <w:color w:val="auto"/>
        </w:rPr>
      </w:pPr>
      <w:r>
        <w:rPr>
          <w:rFonts w:ascii="Courier New" w:cs="Courier New" w:eastAsia="Courier New" w:hAnsi="Courier New"/>
          <w:sz w:val="16"/>
          <w:szCs w:val="16"/>
          <w:color w:val="auto"/>
        </w:rPr>
        <w:t>_______, 1994, a copy of which is attached hereto, are herein incorporated by</w:t>
      </w:r>
    </w:p>
    <w:p>
      <w:pPr>
        <w:spacing w:after="0" w:line="2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214"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Please confirm that the foregoing correctly sets forth the agreement between the Company and the several Underwriters by having an authorized officer sign a copy of this Agreement in the space set forth below.</w:t>
      </w:r>
    </w:p>
    <w:p>
      <w:pPr>
        <w:spacing w:after="0" w:line="37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Very truly yours,</w:t>
      </w:r>
    </w:p>
    <w:p>
      <w:pPr>
        <w:ind w:left="2540"/>
        <w:spacing w:after="0" w:line="238" w:lineRule="auto"/>
        <w:rPr>
          <w:sz w:val="20"/>
          <w:szCs w:val="20"/>
          <w:color w:val="auto"/>
        </w:rPr>
      </w:pPr>
      <w:r>
        <w:rPr>
          <w:rFonts w:ascii="Courier New" w:cs="Courier New" w:eastAsia="Courier New" w:hAnsi="Courier New"/>
          <w:sz w:val="18"/>
          <w:szCs w:val="18"/>
          <w:color w:val="auto"/>
        </w:rPr>
        <w:t>[Name of Lead Managers]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Acting severally on behalf of themselves</w:t>
      </w:r>
    </w:p>
    <w:p>
      <w:pPr>
        <w:ind w:left="2540"/>
        <w:spacing w:after="0" w:line="238" w:lineRule="auto"/>
        <w:rPr>
          <w:sz w:val="20"/>
          <w:szCs w:val="20"/>
          <w:color w:val="auto"/>
        </w:rPr>
      </w:pPr>
      <w:r>
        <w:rPr>
          <w:rFonts w:ascii="Courier New" w:cs="Courier New" w:eastAsia="Courier New" w:hAnsi="Courier New"/>
          <w:sz w:val="18"/>
          <w:szCs w:val="18"/>
          <w:color w:val="auto"/>
        </w:rPr>
        <w:t>and the several Underwriters named herein</w:t>
      </w:r>
    </w:p>
    <w:p>
      <w:pPr>
        <w:sectPr>
          <w:pgSz w:w="11900" w:h="16838" w:orient="portrait"/>
          <w:cols w:equalWidth="0" w:num="1">
            <w:col w:w="10219"/>
          </w:cols>
          <w:pgMar w:left="240" w:top="339" w:right="1440" w:bottom="1440" w:gutter="0" w:footer="0" w:header="0"/>
        </w:sectPr>
      </w:pPr>
    </w:p>
    <w:bookmarkStart w:id="15" w:name="page16"/>
    <w:bookmarkEnd w:id="15"/>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By:_________________________</w:t>
      </w:r>
    </w:p>
    <w:p>
      <w:pPr>
        <w:ind w:left="3580"/>
        <w:spacing w:after="0" w:line="238" w:lineRule="auto"/>
        <w:rPr>
          <w:sz w:val="20"/>
          <w:szCs w:val="20"/>
          <w:color w:val="auto"/>
        </w:rPr>
      </w:pPr>
      <w:r>
        <w:rPr>
          <w:rFonts w:ascii="Courier New" w:cs="Courier New" w:eastAsia="Courier New" w:hAnsi="Courier New"/>
          <w:sz w:val="18"/>
          <w:szCs w:val="18"/>
          <w:color w:val="auto"/>
        </w:rPr>
        <w:t>Name:</w:t>
      </w:r>
    </w:p>
    <w:p>
      <w:pPr>
        <w:ind w:left="35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MURPHY OIL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w:t>
      </w:r>
    </w:p>
    <w:p>
      <w:pPr>
        <w:ind w:left="640"/>
        <w:spacing w:after="0" w:line="238" w:lineRule="auto"/>
        <w:rPr>
          <w:sz w:val="20"/>
          <w:szCs w:val="20"/>
          <w:color w:val="auto"/>
        </w:rPr>
      </w:pPr>
      <w:r>
        <w:rPr>
          <w:rFonts w:ascii="Courier New" w:cs="Courier New" w:eastAsia="Courier New" w:hAnsi="Courier New"/>
          <w:sz w:val="18"/>
          <w:szCs w:val="18"/>
          <w:color w:val="auto"/>
        </w:rPr>
        <w:t>Name:</w:t>
      </w:r>
    </w:p>
    <w:p>
      <w:pPr>
        <w:ind w:left="6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UNDERWRITING AGREEMENT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STANDARD PROVISIONS</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From time to time, Murphy Oil Corporation, a Delaware corporation (the "Company"), may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214"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a registration statement on Form S-3, including a prospectus, relating to the Debt Securities and has filed with, or transmitted for filing to, or shall promptly hereafter file with or transmit for filing to, the Commission a prospectus supplement (the "Prospectus Supplement") specifically relating to the Offered Securities pursuant to Rule 424 under the Securities Act of 1933, as amended (the "Securities Act"). The term "Registration Statement" means the registration statement, including the exhibits thereto, as amended to the date of this Agreement. The term "Basic Prospectus" means the prospectus included in the Registration Statement. The term "Prospectus" means the Basic Prospectus together with the Prospectus Supplement. The term "preliminary prospectus" means a preliminary prospectus supplement specifically relating to the Offered Securities, together with the Basic Prospectus. As used herein, the terms "Basic Prospectus," "Prospectus" and "preliminary prospectus" shall include in each case the documents, if any,</w:t>
      </w:r>
    </w:p>
    <w:p>
      <w:pPr>
        <w:sectPr>
          <w:pgSz w:w="11900" w:h="16838" w:orient="portrait"/>
          <w:cols w:equalWidth="0" w:num="1">
            <w:col w:w="10219"/>
          </w:cols>
          <w:pgMar w:left="240" w:top="514" w:right="1440" w:bottom="1440" w:gutter="0" w:footer="0" w:header="0"/>
        </w:sectPr>
      </w:pPr>
    </w:p>
    <w:bookmarkStart w:id="16" w:name="page17"/>
    <w:bookmarkEnd w:id="16"/>
    <w:p>
      <w:pPr>
        <w:ind w:right="1999"/>
        <w:spacing w:after="0" w:line="237" w:lineRule="auto"/>
        <w:rPr>
          <w:sz w:val="20"/>
          <w:szCs w:val="20"/>
          <w:color w:val="auto"/>
        </w:rPr>
      </w:pPr>
      <w:r>
        <w:rPr>
          <w:rFonts w:ascii="Courier New" w:cs="Courier New" w:eastAsia="Courier New" w:hAnsi="Courier New"/>
          <w:sz w:val="18"/>
          <w:szCs w:val="18"/>
          <w:color w:val="auto"/>
        </w:rPr>
        <w:t>incorporated by reference therein. The terms "supplement" and "amendment" or "amend" as used herein shall include all documents deemed to be incorporated by reference in the Prospectus that are filed subsequent to the date of the Basic Prospectus by the Company with the Commission pursuant to the Securities Exchange Act of 1934, as amended (the "Exchange Act").</w:t>
      </w:r>
    </w:p>
    <w:p>
      <w:pPr>
        <w:spacing w:after="0" w:line="209" w:lineRule="exact"/>
        <w:rPr>
          <w:sz w:val="20"/>
          <w:szCs w:val="20"/>
          <w:color w:val="auto"/>
        </w:rPr>
      </w:pPr>
    </w:p>
    <w:p>
      <w:pPr>
        <w:ind w:right="2199" w:firstLine="1272"/>
        <w:spacing w:after="0" w:line="235" w:lineRule="auto"/>
        <w:tabs>
          <w:tab w:leader="none" w:pos="179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Company represents and warrants to each of the Underwriters that:</w:t>
      </w:r>
    </w:p>
    <w:p>
      <w:pPr>
        <w:spacing w:after="0" w:line="208" w:lineRule="exact"/>
        <w:rPr>
          <w:sz w:val="20"/>
          <w:szCs w:val="20"/>
          <w:color w:val="auto"/>
        </w:rPr>
      </w:pPr>
    </w:p>
    <w:p>
      <w:pPr>
        <w:ind w:right="1999" w:firstLine="1272"/>
        <w:spacing w:after="0" w:line="273" w:lineRule="auto"/>
        <w:tabs>
          <w:tab w:leader="none" w:pos="179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Registration Statement has become effective; no stop order suspending the effectiveness of the Registration Statement is in effect, and no proceedings for such purpose are pending before or threatened by the Commission and (ii) the Company and the transactions contemplated by this Agreement meet the requirements for using Form S-3 under the Securities Act.</w:t>
      </w:r>
    </w:p>
    <w:p>
      <w:pPr>
        <w:spacing w:after="0" w:line="17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Each document, if any, filed or to be filed pursuant</w:t>
      </w:r>
    </w:p>
    <w:p>
      <w:pPr>
        <w:spacing w:after="0" w:line="4"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to the Exchange Act and incorporated by reference in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and (iv)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Section 1(b) do not apply (A) to statements or omissions in the Registration Statement or the Prospectus based upon information relating to any Underwriter furnished to the Company in writing by such Underwriter through the Manager expressly for use therein or (B) to that part of the Registration Statement that constitutes the Statement of Eligibility and Qualification (Form T-1) under the Trust Indenture Act of 1939, as amended (the "Trust Indenture Act"), of the Trustee.</w:t>
      </w:r>
    </w:p>
    <w:p>
      <w:pPr>
        <w:spacing w:after="0" w:line="200" w:lineRule="exact"/>
        <w:rPr>
          <w:sz w:val="20"/>
          <w:szCs w:val="20"/>
          <w:color w:val="auto"/>
        </w:rPr>
      </w:pPr>
    </w:p>
    <w:p>
      <w:pPr>
        <w:spacing w:after="0" w:line="396" w:lineRule="exact"/>
        <w:rPr>
          <w:sz w:val="20"/>
          <w:szCs w:val="20"/>
          <w:color w:val="auto"/>
        </w:rPr>
      </w:pPr>
    </w:p>
    <w:p>
      <w:pPr>
        <w:ind w:right="1999" w:firstLine="1272"/>
        <w:spacing w:after="0" w:line="237" w:lineRule="auto"/>
        <w:tabs>
          <w:tab w:leader="none" w:pos="179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213" w:lineRule="exact"/>
        <w:rPr>
          <w:rFonts w:ascii="Courier New" w:cs="Courier New" w:eastAsia="Courier New" w:hAnsi="Courier New"/>
          <w:sz w:val="18"/>
          <w:szCs w:val="18"/>
          <w:color w:val="auto"/>
        </w:rPr>
      </w:pPr>
    </w:p>
    <w:p>
      <w:pPr>
        <w:ind w:right="1999" w:firstLine="1272"/>
        <w:spacing w:after="0" w:line="271" w:lineRule="auto"/>
        <w:tabs>
          <w:tab w:leader="none" w:pos="179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subsidiary of the Company has been duly incorporated, is validly existing as a corporation in good standing under the laws of the jurisdiction of its incorporation,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7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w:t>
      </w:r>
    </w:p>
    <w:p>
      <w:pPr>
        <w:sectPr>
          <w:pgSz w:w="11900" w:h="16838" w:orient="portrait"/>
          <w:cols w:equalWidth="0" w:num="1">
            <w:col w:w="10219"/>
          </w:cols>
          <w:pgMar w:left="240" w:top="52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delivered by the Company.</w:t>
      </w:r>
    </w:p>
    <w:p>
      <w:pPr>
        <w:spacing w:after="0" w:line="207" w:lineRule="exact"/>
        <w:rPr>
          <w:sz w:val="20"/>
          <w:szCs w:val="20"/>
          <w:color w:val="auto"/>
        </w:rPr>
      </w:pPr>
    </w:p>
    <w:p>
      <w:pPr>
        <w:ind w:right="2099" w:firstLine="1272"/>
        <w:spacing w:after="0" w:line="237"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has been duly qualified under the Trust Indenture Act, conforms to the description thereof in the Registration Statement and the Prospectus,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213"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Securities have been duly authorized and, when executed and authenticated in accordance with the provisions of the Indenture and delivered to and paid for by the Underwriters in accordance with the terms of the Underwriting Agreement, will be entitled to the benefits of the Indenture, will conform to the description thereof in the Prospectus, and will be valid and binding obligations of the Company, in each case enforceable in accordance with their respective terms except as (i) the enforceability thereof may be limited by bankruptcy, insolvency or similar laws affecting creditors' rights generally and (ii) rights of acceleration, if any, and the availability of equitable remedies may be limited by equitable principles of general applicability.</w:t>
      </w:r>
    </w:p>
    <w:p>
      <w:pPr>
        <w:spacing w:after="0" w:line="215"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legal or governmental proceedings pending or threatened to which the Company or any of its subsidiaries is a party or to which any of the properties of the Company or any of its subsidiaries is subject that are required to be described in the Registration Statement or the Prospectus and are not so described or any statutes, regulations, contracts or other documents that are required to be described in the Registration Statement or the Prospectus or to be filed as exhibits to the Registration Statement that are not described or filed as required.</w:t>
      </w:r>
    </w:p>
    <w:p>
      <w:pPr>
        <w:spacing w:after="0" w:line="212" w:lineRule="exact"/>
        <w:rPr>
          <w:rFonts w:ascii="Courier New" w:cs="Courier New" w:eastAsia="Courier New" w:hAnsi="Courier New"/>
          <w:sz w:val="18"/>
          <w:szCs w:val="18"/>
          <w:color w:val="auto"/>
        </w:rPr>
      </w:pPr>
    </w:p>
    <w:p>
      <w:pPr>
        <w:ind w:right="2519" w:firstLine="1272"/>
        <w:spacing w:after="0" w:line="236"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an entity "controlled" by an "investment company," as such terms are defined in the Investment Company Act of 1940, as amended.</w:t>
      </w:r>
    </w:p>
    <w:p>
      <w:pPr>
        <w:spacing w:after="0" w:line="208" w:lineRule="exact"/>
        <w:rPr>
          <w:rFonts w:ascii="Courier New" w:cs="Courier New" w:eastAsia="Courier New" w:hAnsi="Courier New"/>
          <w:sz w:val="18"/>
          <w:szCs w:val="18"/>
          <w:color w:val="auto"/>
        </w:rPr>
      </w:pPr>
    </w:p>
    <w:p>
      <w:pPr>
        <w:ind w:right="1999" w:firstLine="1272"/>
        <w:spacing w:after="0" w:line="279" w:lineRule="auto"/>
        <w:tabs>
          <w:tab w:leader="none" w:pos="179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accountants who certified the financial statements included or incorporated by reference in the Prospectus are independent public accountants as required by the Securities Act and the regulations thereunder.</w:t>
      </w:r>
    </w:p>
    <w:p>
      <w:pPr>
        <w:spacing w:after="0" w:line="178" w:lineRule="exact"/>
        <w:rPr>
          <w:rFonts w:ascii="Courier New" w:cs="Courier New" w:eastAsia="Courier New" w:hAnsi="Courier New"/>
          <w:sz w:val="16"/>
          <w:szCs w:val="16"/>
          <w:color w:val="auto"/>
        </w:rPr>
      </w:pPr>
    </w:p>
    <w:p>
      <w:pPr>
        <w:ind w:right="1999" w:firstLine="1272"/>
        <w:spacing w:after="0" w:line="237"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financial statements of the Company and its subsidiaries included or incorporated by reference in the Prospectus present fairly the financial position of the Company and its subsidiaries as at the dates indicated and the results of their operations for the periods specified; except as stated therein, said financial statements have been prepared in conformity with generally accepted accounting principles applied on a consistent basis throughout the period or periods involved.</w:t>
      </w:r>
    </w:p>
    <w:p>
      <w:pPr>
        <w:spacing w:after="0" w:line="211"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respective dates as of which information is given in the Registration Statement and the Prospectus, except as otherwise stated therein or contemplated thereby, there has been no material adverse change, or any development involving a prospective material adverse change, in the condition, financial or otherwise, of the Company and its subsidiaries, taken as a whole, or in the earnings, business affairs or business prospects of the Company and its subsidiaries, taken as a whole, whether or not arising in the ordinary course of business.</w:t>
      </w:r>
    </w:p>
    <w:p>
      <w:pPr>
        <w:spacing w:after="0" w:line="212" w:lineRule="exact"/>
        <w:rPr>
          <w:rFonts w:ascii="Courier New" w:cs="Courier New" w:eastAsia="Courier New" w:hAnsi="Courier New"/>
          <w:sz w:val="18"/>
          <w:szCs w:val="18"/>
          <w:color w:val="auto"/>
        </w:rPr>
      </w:pPr>
    </w:p>
    <w:p>
      <w:pPr>
        <w:ind w:right="2099" w:firstLine="1272"/>
        <w:spacing w:after="0" w:line="290" w:lineRule="auto"/>
        <w:tabs>
          <w:tab w:leader="none" w:pos="179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in violation of its charter or in default in the performance or observance of any obligation, agreement, covenant or</w:t>
      </w:r>
    </w:p>
    <w:p>
      <w:pPr>
        <w:sectPr>
          <w:pgSz w:w="11900" w:h="16838" w:orient="portrait"/>
          <w:cols w:equalWidth="0" w:num="1">
            <w:col w:w="10219"/>
          </w:cols>
          <w:pgMar w:left="240" w:top="514" w:right="1440" w:bottom="1440" w:gutter="0" w:footer="0" w:header="0"/>
        </w:sectPr>
      </w:pPr>
    </w:p>
    <w:bookmarkStart w:id="18" w:name="page19"/>
    <w:bookmarkEnd w:id="18"/>
    <w:p>
      <w:pPr>
        <w:ind w:right="1999"/>
        <w:spacing w:after="0" w:line="238" w:lineRule="auto"/>
        <w:rPr>
          <w:sz w:val="20"/>
          <w:szCs w:val="20"/>
          <w:color w:val="auto"/>
        </w:rPr>
      </w:pPr>
      <w:r>
        <w:rPr>
          <w:rFonts w:ascii="Courier New" w:cs="Courier New" w:eastAsia="Courier New" w:hAnsi="Courier New"/>
          <w:sz w:val="18"/>
          <w:szCs w:val="18"/>
          <w:color w:val="auto"/>
        </w:rPr>
        <w:t>condition contained in any contract, indenture, mortgage, loan agreement, note, lease or other instrument to which it is a party or by which it or any of its properties may be bound, which default would have a material adverse effect on the Company and its subsidiaries, taken as a whole; and the execution and delivery of this Agreement and the Indenture and the consummation of the transactions contemplated herein and therein will not conflict with or constitute a breach of, or default under, or result in the creation or imposition of any lien, charge or encumbrance upon any property or assets of the Company pursuant to any contract, indenture, mortgage, loan agreement, note, lease or other instrument to which the Company is a party or by which it may be bound or to which any of the property or assets of the Company is subject, nor will such action result in any violation of the provisions of the charter or by-laws of the Company or, to the best of its knowledge, any law, administrative regulation or administrative or court order or decree; and no consent, approval, authorization, order or decree of any court or governmental agency or body is required for the consummation by the Company of the transactions contemplated by this Agreement, except such as may be required under the Securities Act, the Trust Indenture Act or state securities or Blue Sky laws.</w:t>
      </w:r>
    </w:p>
    <w:p>
      <w:pPr>
        <w:spacing w:after="0" w:line="210" w:lineRule="exact"/>
        <w:rPr>
          <w:sz w:val="20"/>
          <w:szCs w:val="20"/>
          <w:color w:val="auto"/>
        </w:rPr>
      </w:pPr>
    </w:p>
    <w:p>
      <w:pPr>
        <w:ind w:right="2199" w:firstLine="1272"/>
        <w:spacing w:after="0" w:line="275" w:lineRule="auto"/>
        <w:tabs>
          <w:tab w:leader="none" w:pos="179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owns or possesses or has obtained all material governmental licenses, permits, consents, orders, approvals and other authorizations necessary to lease or own, as the case may be, and to operate its properties and to carry on its business as presently conducted.</w:t>
      </w:r>
    </w:p>
    <w:p>
      <w:pPr>
        <w:spacing w:after="0" w:line="182"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Any certificate signed by any officer of the Company and delivered to the Underwriters or to counsel for the Underwriters in connection with an offering of Offered Securities shall be deemed a representation and warranty by the Company to the Underwriters as to the matters covered thereby.</w:t>
      </w:r>
    </w:p>
    <w:p>
      <w:pPr>
        <w:spacing w:after="0" w:line="182" w:lineRule="exact"/>
        <w:rPr>
          <w:sz w:val="20"/>
          <w:szCs w:val="20"/>
          <w:color w:val="auto"/>
        </w:rPr>
      </w:pPr>
    </w:p>
    <w:p>
      <w:pPr>
        <w:ind w:right="2199" w:firstLine="1272"/>
        <w:spacing w:after="0" w:line="273" w:lineRule="auto"/>
        <w:tabs>
          <w:tab w:leader="none" w:pos="16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Offering. The Company is advised by the Manager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Prospectus.</w:t>
      </w:r>
    </w:p>
    <w:p>
      <w:pPr>
        <w:spacing w:after="0" w:line="184" w:lineRule="exact"/>
        <w:rPr>
          <w:rFonts w:ascii="Courier New" w:cs="Courier New" w:eastAsia="Courier New" w:hAnsi="Courier New"/>
          <w:sz w:val="16"/>
          <w:szCs w:val="16"/>
          <w:color w:val="auto"/>
        </w:rPr>
      </w:pPr>
    </w:p>
    <w:p>
      <w:pPr>
        <w:ind w:right="1999" w:firstLine="1272"/>
        <w:spacing w:after="0" w:line="270" w:lineRule="auto"/>
        <w:tabs>
          <w:tab w:leader="none" w:pos="16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Delivery. Payment for the Offered Securities shall be made by certified or official bank check or checks payable to the order of the Company in New York Clearing House (next day) funds at the time and place set forth in the Underwriting Agreement, upon delivery to the Manager for the respective accounts of the several Underwriters of the Offered Securities, registered in such names and in such denominations as the Manager shall request in writing not less than two full business days prior to the date of delivery, with any transfer taxes payable in connection with the transfer of the Offered Securities to the Underwriters duly paid. The Offered Securities to be delivered to the Underwriters shall be made available to the Manager in New York City for inspection and packaging not later than 9:30 A.M., New York City time, on the business day next preceding the Closing Date.</w:t>
      </w:r>
    </w:p>
    <w:p>
      <w:pPr>
        <w:spacing w:after="0" w:line="390" w:lineRule="exact"/>
        <w:rPr>
          <w:rFonts w:ascii="Courier New" w:cs="Courier New" w:eastAsia="Courier New" w:hAnsi="Courier New"/>
          <w:sz w:val="16"/>
          <w:szCs w:val="16"/>
          <w:color w:val="auto"/>
        </w:rPr>
      </w:pPr>
    </w:p>
    <w:p>
      <w:pPr>
        <w:ind w:right="2839" w:firstLine="1272"/>
        <w:spacing w:after="0" w:line="235" w:lineRule="auto"/>
        <w:tabs>
          <w:tab w:leader="none" w:pos="16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Closing. The several obligations of the Underwriters hereunder are subject to the following conditions:</w:t>
      </w:r>
    </w:p>
    <w:p>
      <w:pPr>
        <w:spacing w:after="0" w:line="200" w:lineRule="exact"/>
        <w:rPr>
          <w:sz w:val="20"/>
          <w:szCs w:val="20"/>
          <w:color w:val="auto"/>
        </w:rPr>
      </w:pPr>
    </w:p>
    <w:p>
      <w:pPr>
        <w:spacing w:after="0" w:line="211" w:lineRule="exact"/>
        <w:rPr>
          <w:sz w:val="20"/>
          <w:szCs w:val="20"/>
          <w:color w:val="auto"/>
        </w:rPr>
      </w:pPr>
    </w:p>
    <w:p>
      <w:pPr>
        <w:ind w:left="640" w:right="2099" w:firstLine="632"/>
        <w:spacing w:after="0" w:line="235" w:lineRule="auto"/>
        <w:tabs>
          <w:tab w:leader="none" w:pos="179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and delivery of the Underwriting Agreement and prior to the Closing Date,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900" w:right="1999" w:firstLine="636"/>
        <w:spacing w:after="0" w:line="279" w:lineRule="auto"/>
        <w:tabs>
          <w:tab w:leader="none" w:pos="3059"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have occurred any downgrading, nor shall any notice have been given of any intended or potential downgrading or of any review for a possible change</w:t>
      </w:r>
    </w:p>
    <w:p>
      <w:pPr>
        <w:sectPr>
          <w:pgSz w:w="11900" w:h="16838" w:orient="portrait"/>
          <w:cols w:equalWidth="0" w:num="1">
            <w:col w:w="10219"/>
          </w:cols>
          <w:pgMar w:left="240" w:top="520" w:right="1440" w:bottom="1440" w:gutter="0" w:footer="0" w:header="0"/>
        </w:sectPr>
      </w:pPr>
    </w:p>
    <w:bookmarkStart w:id="19" w:name="page20"/>
    <w:bookmarkEnd w:id="19"/>
    <w:p>
      <w:pPr>
        <w:ind w:left="1260" w:right="1999"/>
        <w:spacing w:after="0" w:line="237" w:lineRule="auto"/>
        <w:rPr>
          <w:sz w:val="20"/>
          <w:szCs w:val="20"/>
          <w:color w:val="auto"/>
        </w:rPr>
      </w:pPr>
      <w:r>
        <w:rPr>
          <w:rFonts w:ascii="Courier New" w:cs="Courier New" w:eastAsia="Courier New" w:hAnsi="Courier New"/>
          <w:sz w:val="18"/>
          <w:szCs w:val="18"/>
          <w:color w:val="auto"/>
        </w:rPr>
        <w:t>that does not indicate the direction of the possible change, in the rating accorded any of the Company's securities by any "nationally recognized statistical rating organization," as such term is defined for purposes of Rule 436(g)(2) under the Securities Act; and</w:t>
      </w:r>
    </w:p>
    <w:p>
      <w:pPr>
        <w:spacing w:after="0" w:line="209" w:lineRule="exact"/>
        <w:rPr>
          <w:sz w:val="20"/>
          <w:szCs w:val="20"/>
          <w:color w:val="auto"/>
        </w:rPr>
      </w:pPr>
    </w:p>
    <w:p>
      <w:pPr>
        <w:ind w:left="1260" w:right="1999" w:firstLine="426"/>
        <w:spacing w:after="0" w:line="270" w:lineRule="auto"/>
        <w:tabs>
          <w:tab w:leader="none" w:pos="2313"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have occurred any change, or any development involving a prospective change, in the condition, financial or otherwise, or in the earnings, business or operations, of the Company and its subsidiaries, taken as a whole, from that set forth in the Prospectus, that, in the judgment of the Manager, is material and adverse and that makes it, in the judgment of the Manager, impracticable to market the Offered Securities or enforce contracts for the sale of the Offered Securities on the terms and in the manner contemplated in the Prospectus.</w:t>
      </w:r>
    </w:p>
    <w:p>
      <w:pPr>
        <w:spacing w:after="0" w:line="391" w:lineRule="exact"/>
        <w:rPr>
          <w:rFonts w:ascii="Courier New" w:cs="Courier New" w:eastAsia="Courier New" w:hAnsi="Courier New"/>
          <w:sz w:val="16"/>
          <w:szCs w:val="16"/>
          <w:color w:val="auto"/>
        </w:rPr>
      </w:pPr>
    </w:p>
    <w:p>
      <w:pPr>
        <w:ind w:right="1999" w:firstLine="632"/>
        <w:spacing w:after="0" w:line="237" w:lineRule="auto"/>
        <w:tabs>
          <w:tab w:leader="none" w:pos="115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 certificate, dated the Closing Date and signed by an executive officer of the Company, to the effect set forth in clause (a)(i)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on or before the Closing Date.</w:t>
      </w:r>
    </w:p>
    <w:p>
      <w:pPr>
        <w:spacing w:after="0" w:line="212"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The officer signing and delivering such certificate may rely upon the best of his knowledge as to proceedings threatened.</w:t>
      </w:r>
    </w:p>
    <w:p>
      <w:pPr>
        <w:spacing w:after="0" w:line="208" w:lineRule="exact"/>
        <w:rPr>
          <w:sz w:val="20"/>
          <w:szCs w:val="20"/>
          <w:color w:val="auto"/>
        </w:rPr>
      </w:pPr>
    </w:p>
    <w:p>
      <w:pPr>
        <w:ind w:right="2199" w:firstLine="632"/>
        <w:spacing w:after="0" w:line="237" w:lineRule="auto"/>
        <w:tabs>
          <w:tab w:leader="none" w:pos="115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the General Counsel of the Company, dated the Closing Date, in form and substance satisfactory to the Underwriters and the Underwriters' counsel, to the effect set forth in Exhibit A.</w:t>
      </w:r>
    </w:p>
    <w:p>
      <w:pPr>
        <w:spacing w:after="0" w:line="207" w:lineRule="exact"/>
        <w:rPr>
          <w:rFonts w:ascii="Courier New" w:cs="Courier New" w:eastAsia="Courier New" w:hAnsi="Courier New"/>
          <w:sz w:val="18"/>
          <w:szCs w:val="18"/>
          <w:color w:val="auto"/>
        </w:rPr>
      </w:pPr>
    </w:p>
    <w:p>
      <w:pPr>
        <w:ind w:right="1999" w:firstLine="632"/>
        <w:spacing w:after="0" w:line="237" w:lineRule="auto"/>
        <w:tabs>
          <w:tab w:leader="none" w:pos="115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Davis Polk &amp; Wardwell, counsel for the Company, dated the Closing Date, in form and substance satisfactory to the Underwriters and the Underwriters' counsel, to the effect set forth in Exhibit B.</w:t>
      </w:r>
    </w:p>
    <w:p>
      <w:pPr>
        <w:spacing w:after="0" w:line="207" w:lineRule="exact"/>
        <w:rPr>
          <w:rFonts w:ascii="Courier New" w:cs="Courier New" w:eastAsia="Courier New" w:hAnsi="Courier New"/>
          <w:sz w:val="18"/>
          <w:szCs w:val="18"/>
          <w:color w:val="auto"/>
        </w:rPr>
      </w:pPr>
    </w:p>
    <w:p>
      <w:pPr>
        <w:ind w:right="1999" w:firstLine="632"/>
        <w:spacing w:after="0" w:line="237" w:lineRule="auto"/>
        <w:tabs>
          <w:tab w:leader="none" w:pos="115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an opinion of Cahill Gordon &amp; Reindel, special counsel for the Underwriters, dated the Closing Date, to the effect set forth in Exhibit C.</w:t>
      </w:r>
    </w:p>
    <w:p>
      <w:pPr>
        <w:spacing w:after="0" w:line="207" w:lineRule="exact"/>
        <w:rPr>
          <w:rFonts w:ascii="Courier New" w:cs="Courier New" w:eastAsia="Courier New" w:hAnsi="Courier New"/>
          <w:sz w:val="18"/>
          <w:szCs w:val="18"/>
          <w:color w:val="auto"/>
        </w:rPr>
      </w:pPr>
    </w:p>
    <w:p>
      <w:pPr>
        <w:ind w:right="1999" w:firstLine="632"/>
        <w:spacing w:after="0" w:line="237" w:lineRule="auto"/>
        <w:tabs>
          <w:tab w:leader="none" w:pos="115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 shall have received on the Closing Date a letter, dated the Closing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in or incorporated by reference into the Prospectus.</w:t>
      </w:r>
    </w:p>
    <w:p>
      <w:pPr>
        <w:spacing w:after="0" w:line="211" w:lineRule="exact"/>
        <w:rPr>
          <w:rFonts w:ascii="Courier New" w:cs="Courier New" w:eastAsia="Courier New" w:hAnsi="Courier New"/>
          <w:sz w:val="18"/>
          <w:szCs w:val="18"/>
          <w:color w:val="auto"/>
        </w:rPr>
      </w:pPr>
    </w:p>
    <w:p>
      <w:pPr>
        <w:ind w:right="2099" w:firstLine="632"/>
        <w:spacing w:after="0" w:line="237" w:lineRule="auto"/>
        <w:tabs>
          <w:tab w:leader="none" w:pos="115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have failed at or prior to the Closing Date to have performed or complied with any of its agreements herein contained and required to be performed or complied with by it hereunder at or prior to the Closing Date.</w:t>
      </w:r>
    </w:p>
    <w:p>
      <w:pPr>
        <w:spacing w:after="0" w:line="207" w:lineRule="exact"/>
        <w:rPr>
          <w:rFonts w:ascii="Courier New" w:cs="Courier New" w:eastAsia="Courier New" w:hAnsi="Courier New"/>
          <w:sz w:val="18"/>
          <w:szCs w:val="18"/>
          <w:color w:val="auto"/>
        </w:rPr>
      </w:pPr>
    </w:p>
    <w:p>
      <w:pPr>
        <w:jc w:val="both"/>
        <w:ind w:right="2319" w:firstLine="632"/>
        <w:spacing w:after="0" w:line="290" w:lineRule="auto"/>
        <w:tabs>
          <w:tab w:leader="none" w:pos="115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or caused to be furnished to the Manager such further certificates and documents as the Manager</w:t>
      </w:r>
    </w:p>
    <w:p>
      <w:pPr>
        <w:sectPr>
          <w:pgSz w:w="11900" w:h="16838" w:orient="portrait"/>
          <w:cols w:equalWidth="0" w:num="1">
            <w:col w:w="9579"/>
          </w:cols>
          <w:pgMar w:left="880" w:top="520" w:right="1440" w:bottom="1440" w:gutter="0" w:footer="0" w:header="0"/>
        </w:sectPr>
      </w:pPr>
    </w:p>
    <w:bookmarkStart w:id="20" w:name="page21"/>
    <w:bookmarkEnd w:id="20"/>
    <w:p>
      <w:pPr>
        <w:ind w:left="640"/>
        <w:spacing w:after="0"/>
        <w:rPr>
          <w:sz w:val="20"/>
          <w:szCs w:val="20"/>
          <w:color w:val="auto"/>
        </w:rPr>
      </w:pPr>
      <w:r>
        <w:rPr>
          <w:rFonts w:ascii="Courier New" w:cs="Courier New" w:eastAsia="Courier New" w:hAnsi="Courier New"/>
          <w:sz w:val="18"/>
          <w:szCs w:val="18"/>
          <w:color w:val="auto"/>
        </w:rPr>
        <w:t>shall have reasonably requested.</w:t>
      </w:r>
    </w:p>
    <w:p>
      <w:pPr>
        <w:spacing w:after="0" w:line="207"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All such opinions, certificates, letters and other documents will be in compliance with the provisions hereof only if they are satisfactory in form and substance to the Manager and its counsel.</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Any certificate or document signed by any officer of the Company and delivered to the Manager, as representatives of the Underwriters, or to counsel for the Underwriters, shall be deemed a representation and warranty by the Company to each Underwriter as to the statements made therein.</w:t>
      </w:r>
    </w:p>
    <w:p>
      <w:pPr>
        <w:spacing w:after="0" w:line="207" w:lineRule="exact"/>
        <w:rPr>
          <w:sz w:val="20"/>
          <w:szCs w:val="20"/>
          <w:color w:val="auto"/>
        </w:rPr>
      </w:pPr>
    </w:p>
    <w:p>
      <w:pPr>
        <w:ind w:right="2419" w:firstLine="1272"/>
        <w:spacing w:after="0" w:line="236" w:lineRule="auto"/>
        <w:tabs>
          <w:tab w:leader="none" w:pos="168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In further consideration of the agreements of the Underwriters contained herein, the Company covenants as follows:</w:t>
      </w:r>
    </w:p>
    <w:p>
      <w:pPr>
        <w:spacing w:after="0" w:line="209" w:lineRule="exact"/>
        <w:rPr>
          <w:sz w:val="20"/>
          <w:szCs w:val="20"/>
          <w:color w:val="auto"/>
        </w:rPr>
      </w:pPr>
    </w:p>
    <w:p>
      <w:pPr>
        <w:ind w:left="640" w:right="1999" w:firstLine="632"/>
        <w:spacing w:after="0" w:line="268" w:lineRule="auto"/>
        <w:tabs>
          <w:tab w:leader="none" w:pos="179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furnish the Manager, without charge, a signed copy of the Registration Statement (including exhibits thereto) and for delivery to each other Underwriter a conformed copy of the Registration Statement (without exhibits thereto) and, during the period mentioned in paragraph</w:t>
      </w:r>
    </w:p>
    <w:p>
      <w:pPr>
        <w:ind w:left="640" w:right="2099"/>
        <w:spacing w:after="0" w:line="279" w:lineRule="auto"/>
        <w:tabs>
          <w:tab w:leader="none" w:pos="106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as many copies of the Prospectus, any documents incorporated by reference therein and any supplements and amendments thereto or to the Registration Statement as the Manager may reasonably request.</w:t>
      </w:r>
    </w:p>
    <w:p>
      <w:pPr>
        <w:spacing w:after="0" w:line="178" w:lineRule="exact"/>
        <w:rPr>
          <w:rFonts w:ascii="Courier New" w:cs="Courier New" w:eastAsia="Courier New" w:hAnsi="Courier New"/>
          <w:sz w:val="16"/>
          <w:szCs w:val="16"/>
          <w:color w:val="auto"/>
        </w:rPr>
      </w:pPr>
    </w:p>
    <w:p>
      <w:pPr>
        <w:ind w:left="640" w:right="1999" w:firstLine="632"/>
        <w:spacing w:after="0" w:line="237" w:lineRule="auto"/>
        <w:tabs>
          <w:tab w:leader="none" w:pos="1799"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amending or supplementing the Registration Statement or the Prospectus with respect to the Offered Securities, to furnish to the Manager a copy of each such proposed amendment or supplement and not to file any such proposed amendment or supplement to which the Manager reasonably objects within a reasonable period after receipt of such proposed amendment or supplement.</w:t>
      </w:r>
    </w:p>
    <w:p>
      <w:pPr>
        <w:spacing w:after="0" w:line="209" w:lineRule="exact"/>
        <w:rPr>
          <w:rFonts w:ascii="Courier New" w:cs="Courier New" w:eastAsia="Courier New" w:hAnsi="Courier New"/>
          <w:sz w:val="18"/>
          <w:szCs w:val="18"/>
          <w:color w:val="auto"/>
        </w:rPr>
      </w:pPr>
    </w:p>
    <w:p>
      <w:pPr>
        <w:ind w:left="640" w:right="1999" w:firstLine="632"/>
        <w:spacing w:after="0" w:line="238" w:lineRule="auto"/>
        <w:tabs>
          <w:tab w:leader="none" w:pos="1799"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such period after the first date of the public offering of the Offered Securities as in the opinion of counsel for the Underwriters the Prospectus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is delivered to a purchaser, not misleading, or if, in the opinion of counsel for the Underwriters, it is necessary to amend or supplement the Prospectus to comply with law, forthwith to prepare, file with the Commission and furnish for use, at its own expense, to the Underwriters, and to the dealers (whose names and addresses the Manager will furnish to the Company) to which Offered Securities may have been sold by the Manager on behalf of the Underwriters and to any other dealer upon request, either amendments or supplements to the Prospectus so that the statements in the Prospectus as so amended or supplemented will not, in the light of the circumstances when the Prospectus is delivered to a purchaser, be misleading or so that the Prospectus, as so amended or supplemented, will comply with law. In the event that the Company and the Manager agree that the Prospectus should be amended or supplemented, the Company, if reasonably requested by the Manager, will promptly issue a press release announcing or disclosing the matters to be covered by the proposed amendment or supplement.</w:t>
      </w:r>
    </w:p>
    <w:p>
      <w:pPr>
        <w:spacing w:after="0" w:line="211" w:lineRule="exact"/>
        <w:rPr>
          <w:rFonts w:ascii="Courier New" w:cs="Courier New" w:eastAsia="Courier New" w:hAnsi="Courier New"/>
          <w:sz w:val="18"/>
          <w:szCs w:val="18"/>
          <w:color w:val="auto"/>
        </w:rPr>
      </w:pPr>
    </w:p>
    <w:p>
      <w:pPr>
        <w:ind w:left="640" w:right="1999" w:firstLine="632"/>
        <w:spacing w:after="0" w:line="273" w:lineRule="auto"/>
        <w:tabs>
          <w:tab w:leader="none" w:pos="1799"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endeavor and cooperate with the Manager and with counsel for the Underwriters in connection with registration or qualification of the Offered Securities for offer and sale under the securities or Blue Sky laws of such jurisdictions as the Manager shall reasonably request and to pay all expenses (including fees and disbursements of counsel) in</w:t>
      </w:r>
    </w:p>
    <w:p>
      <w:pPr>
        <w:sectPr>
          <w:pgSz w:w="11900" w:h="16838" w:orient="portrait"/>
          <w:cols w:equalWidth="0" w:num="1">
            <w:col w:w="10219"/>
          </w:cols>
          <w:pgMar w:left="240" w:top="51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connection with such registration or qualification.</w:t>
      </w:r>
    </w:p>
    <w:p>
      <w:pPr>
        <w:spacing w:after="0" w:line="207" w:lineRule="exact"/>
        <w:rPr>
          <w:sz w:val="20"/>
          <w:szCs w:val="20"/>
          <w:color w:val="auto"/>
        </w:rPr>
      </w:pPr>
    </w:p>
    <w:p>
      <w:pPr>
        <w:ind w:right="1999" w:firstLine="632"/>
        <w:spacing w:after="0" w:line="272" w:lineRule="auto"/>
        <w:tabs>
          <w:tab w:leader="none" w:pos="1159"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the Company's security holders and to the Manager as soon as practicable an earning statement covering a twelve month period beginning on the first day of the first full fiscal quarter after the date of this Agreement, which earning statement shall satisfy the provisions of Section 11(a) of the Securities Act and the rules and regulations of the Commission thereunder.</w:t>
      </w:r>
    </w:p>
    <w:p>
      <w:pPr>
        <w:spacing w:after="0" w:line="185" w:lineRule="exact"/>
        <w:rPr>
          <w:rFonts w:ascii="Courier New" w:cs="Courier New" w:eastAsia="Courier New" w:hAnsi="Courier New"/>
          <w:sz w:val="16"/>
          <w:szCs w:val="16"/>
          <w:color w:val="auto"/>
        </w:rPr>
      </w:pPr>
    </w:p>
    <w:p>
      <w:pPr>
        <w:ind w:right="2199" w:firstLine="632"/>
        <w:spacing w:after="0" w:line="237" w:lineRule="auto"/>
        <w:tabs>
          <w:tab w:leader="none" w:pos="115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beginning on the date of the Underwriting Agreement and continuing to and including the Closing Date, not to offer, sell, contract to sell or otherwise dispose of any debt securities of the Company substantially similar to the Offered Securities (other than (i) the Offered Securities and (ii) commercial paper issued in the ordinary course of business), without the prior written consent of the Manager.</w:t>
      </w:r>
    </w:p>
    <w:p>
      <w:pPr>
        <w:spacing w:after="0" w:line="211" w:lineRule="exact"/>
        <w:rPr>
          <w:rFonts w:ascii="Courier New" w:cs="Courier New" w:eastAsia="Courier New" w:hAnsi="Courier New"/>
          <w:sz w:val="18"/>
          <w:szCs w:val="18"/>
          <w:color w:val="auto"/>
        </w:rPr>
      </w:pPr>
    </w:p>
    <w:p>
      <w:pPr>
        <w:ind w:right="1879" w:firstLine="632"/>
        <w:spacing w:after="0" w:line="269" w:lineRule="auto"/>
        <w:tabs>
          <w:tab w:leader="none" w:pos="1159"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each preliminary prospectus, each Basic Prospectus, the Prospectus, each amendment or supplement to any of them, this Agreement, the Indenture and the Statement of Eligibility and Qualification of the Trustee; (ii) the printing (or reproduction) and delivery (including postage, air freight charges and charges for counting and packaging) of such copies of the registration statement, each preliminary prospectus, each Basic Prospectus, the Prospectus, the incorporated documents, and all amendments or supplements to any of them, as may reasonably be requested for use in connection with the offering and sale of the Offered Securities; (iii) the preparation, printing (or reproduction), execution and delivery of the Indenture and the preparation, printing, authentication, issuance and delivery of the Offered Securities, including any stamp taxes in connection with the original issuance of the Offered Securities; (iv) the printing (or reproduction) and delivery of this Agreement, the preliminary and supplemental Blue Sky Memoranda and all other agreements or documents printed (or reproduced) and delivered in connection with the offering of the Offered Securities; (v) the registration of the Offered Securities under the Exchange Act; (vi) the registration or qualification of the Offered Securities for offer and sale under the securities or Blue Sky laws of the several states as provided in Section 5(d) hereof (including the reasonable fees, expenses and disbursements of counsel for the Underwriters relating to the preparations, printing (or reproduction), and delivery of the preliminary and supplemental Blue Sky Memoranda and such registration and qualification); (vii) the filing fees and the fees and expenses of counsel for the Underwriters in connection with any filing required to be made with the National Association of Securities Dealers, Inc.;</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2099"/>
        <w:spacing w:after="0" w:line="237" w:lineRule="auto"/>
        <w:tabs>
          <w:tab w:leader="none" w:pos="73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and expenses of the Trustee; (ix) the fees and expenses associated with obtaining ratings for the Offered Securities from nationally recognized statistical rating organizations; (x) the transportation and other expenses incurred by or on behalf of Company representatives in connection with presentations to prospective purchasers of the Offered Securities; and (xi) the fees and expenses of the Company's accountants and the fees and expenses of counsel (including local and special counsel) for the Company.</w:t>
      </w:r>
    </w:p>
    <w:p>
      <w:pPr>
        <w:spacing w:after="0" w:line="212" w:lineRule="exact"/>
        <w:rPr>
          <w:rFonts w:ascii="Courier New" w:cs="Courier New" w:eastAsia="Courier New" w:hAnsi="Courier New"/>
          <w:sz w:val="18"/>
          <w:szCs w:val="18"/>
          <w:color w:val="auto"/>
        </w:rPr>
      </w:pPr>
    </w:p>
    <w:p>
      <w:pPr>
        <w:jc w:val="both"/>
        <w:ind w:right="2099" w:firstLine="632"/>
        <w:spacing w:after="0" w:line="290" w:lineRule="auto"/>
        <w:tabs>
          <w:tab w:leader="none" w:pos="1159"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apply the net proceeds from the sale of the Offered Securities substantially in accordance with the description set</w:t>
      </w:r>
    </w:p>
    <w:p>
      <w:pPr>
        <w:sectPr>
          <w:pgSz w:w="11900" w:h="16838" w:orient="portrait"/>
          <w:cols w:equalWidth="0" w:num="1">
            <w:col w:w="9579"/>
          </w:cols>
          <w:pgMar w:left="880" w:top="51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forth in the Prospectus.</w:t>
      </w:r>
    </w:p>
    <w:p>
      <w:pPr>
        <w:spacing w:after="0" w:line="207" w:lineRule="exact"/>
        <w:rPr>
          <w:sz w:val="20"/>
          <w:szCs w:val="20"/>
          <w:color w:val="auto"/>
        </w:rPr>
      </w:pPr>
    </w:p>
    <w:p>
      <w:pPr>
        <w:ind w:right="1999" w:firstLine="632"/>
        <w:spacing w:after="0" w:line="237" w:lineRule="auto"/>
        <w:tabs>
          <w:tab w:leader="none" w:pos="115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during the period when the Prospectus is required to be delivered under the Securities Act, will file promptly all documents required to be filed with the Commission pursuant to Sections 13(a), 13(c), 14 or 15(d) of the Exchange Act and will promptly supply copies of those documents to the Manager.</w:t>
      </w:r>
    </w:p>
    <w:p>
      <w:pPr>
        <w:spacing w:after="0" w:line="208" w:lineRule="exact"/>
        <w:rPr>
          <w:rFonts w:ascii="Courier New" w:cs="Courier New" w:eastAsia="Courier New" w:hAnsi="Courier New"/>
          <w:sz w:val="18"/>
          <w:szCs w:val="18"/>
          <w:color w:val="auto"/>
        </w:rPr>
      </w:pPr>
    </w:p>
    <w:p>
      <w:pPr>
        <w:ind w:right="1999" w:firstLine="632"/>
        <w:spacing w:after="0" w:line="269" w:lineRule="auto"/>
        <w:tabs>
          <w:tab w:leader="none" w:pos="115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advise you promptly and, if requested by you, will confirm such advice in writing: (i) of any request by the Commission for amendment of or a supplement to the Registration Statement, any preliminary prospectus, Basic Prospectus or the Prospectus or for additional information; (ii) of the issuance by the Commission of any stop order suspending the effectiveness of the Registration Statement or of the suspension of qualification of the Offered Securities for offering or sale in any jurisdiction or the initiation of any proceeding for such purpose; and (iii) within the period of time that any Prospectus is required to be delivered under the Securities Act in connection with sales of the Offered Securities by any Underwriter or dealer, of any change in the Company's condition (financial or other), business, prospects, properties, net worth or results of operations, or of the happening of any event, which makes any statement of a material fact made in the Registration Statement or the Prospectus (as then amended or supplemented) untrue or which requires the making of any additions to or changes in the Registration Statement or the Prospectus (as then amended or supplemented) in order to state a material fact required by the Securities Act or the regulations thereunder to be stated therein or necessary in order to make the statements therein not misleading, or of the necessity to amend or supplement the Prospectus (as then amended or supplemented) to comply with the Securities Act or any other law. If at any time the Commission shall issue any stop order suspending the effectiveness of the Registration Statement, the Company will make every reasonable effort to obtain the withdrawal of such order at the earliest possible time.</w:t>
      </w:r>
    </w:p>
    <w:p>
      <w:pPr>
        <w:spacing w:after="0" w:line="200" w:lineRule="exact"/>
        <w:rPr>
          <w:sz w:val="20"/>
          <w:szCs w:val="20"/>
          <w:color w:val="auto"/>
        </w:rPr>
      </w:pPr>
    </w:p>
    <w:p>
      <w:pPr>
        <w:spacing w:after="0" w:line="394" w:lineRule="exact"/>
        <w:rPr>
          <w:sz w:val="20"/>
          <w:szCs w:val="20"/>
          <w:color w:val="auto"/>
        </w:rPr>
      </w:pPr>
    </w:p>
    <w:p>
      <w:pPr>
        <w:ind w:left="-640" w:right="1999" w:firstLine="1272"/>
        <w:spacing w:after="0" w:line="269" w:lineRule="auto"/>
        <w:tabs>
          <w:tab w:leader="none" w:pos="104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Contribution. The Company agrees to indemnify and hold harmless each Underwriter and each person, if any, who controls such Underwriter within the meaning of either Section 15 of the Securities Act or Section 20 of the Exchange Act (i) from and against any and all losses, claims, damages and liabilities arising out of any untrue statement or alleged untrue statement of a material fact contained in the Registration Statement or any amendment thereof, any preliminary prospectus or the Prospectus (as amended or supplemented if the Company shall have furnished any amendments or supplements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Manager expressly for use therein, (ii) against any and all loss, liability, claim, damage and expense whatsoever, as incurred, to the extent of the aggregate amount paid in settlement of any litigation, or investigation or proceeding by any governmental agency or body, commenced or threatened, or of any claim whatsoever based upon any such untrue statement or omission, or any such alleged untrue statement or omission if such settlement is effected with the written consent of the Company and (iii) against any and all expense whatsoever, as incurred (including the fees and disbursements of counsel chosen by the Manager), reasonably incurred in investigating, preparing or defending against any litigation, or investigation</w:t>
      </w:r>
    </w:p>
    <w:p>
      <w:pPr>
        <w:sectPr>
          <w:pgSz w:w="11900" w:h="16838" w:orient="portrait"/>
          <w:cols w:equalWidth="0" w:num="1">
            <w:col w:w="9579"/>
          </w:cols>
          <w:pgMar w:left="880" w:top="514" w:right="1440" w:bottom="1440" w:gutter="0" w:footer="0" w:header="0"/>
        </w:sectPr>
      </w:pPr>
    </w:p>
    <w:bookmarkStart w:id="23" w:name="page24"/>
    <w:bookmarkEnd w:id="23"/>
    <w:p>
      <w:pPr>
        <w:ind w:right="1999"/>
        <w:spacing w:after="0" w:line="273" w:lineRule="auto"/>
        <w:rPr>
          <w:sz w:val="20"/>
          <w:szCs w:val="20"/>
          <w:color w:val="auto"/>
        </w:rPr>
      </w:pPr>
      <w:r>
        <w:rPr>
          <w:rFonts w:ascii="Courier New" w:cs="Courier New" w:eastAsia="Courier New" w:hAnsi="Courier New"/>
          <w:sz w:val="16"/>
          <w:szCs w:val="16"/>
          <w:color w:val="auto"/>
        </w:rPr>
        <w:t>or proceeding by any governmental agency or body, commenced or threatened, or any claim whatsoever based upon any such untrue statement or omission, or any such alleged untrue statement or omission (except as made in reliance upon and in conformity with information furnished by the Manager as aforesaid), to the extent that any such expense is not paid under (i) or (ii) above.</w:t>
      </w:r>
    </w:p>
    <w:p>
      <w:pPr>
        <w:spacing w:after="0" w:line="18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by such Underwriter in writing through the Manager expressly for use in the Registration Statement, any preliminary prospectus, the Prospectus or any amendments or supplements thereto.</w:t>
      </w:r>
    </w:p>
    <w:p>
      <w:pPr>
        <w:spacing w:after="0" w:line="21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Company agrees to indemnify and hold harmless each Underwriter against any documentary stamp or similar issue tax and any related interest or penalties on the original issuance and sale of the Offered Securities to the Underwriters which are due in the United States, any state or municipality or any other jurisdiction.</w:t>
      </w:r>
    </w:p>
    <w:p>
      <w:pPr>
        <w:spacing w:after="0" w:line="209"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any of the three preceding paragraphs,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w:t>
      </w:r>
    </w:p>
    <w:p>
      <w:pPr>
        <w:spacing w:after="0" w:line="193" w:lineRule="exact"/>
        <w:rPr>
          <w:sz w:val="20"/>
          <w:szCs w:val="20"/>
          <w:color w:val="auto"/>
        </w:rPr>
      </w:pPr>
    </w:p>
    <w:p>
      <w:pPr>
        <w:ind w:right="1999" w:firstLine="8"/>
        <w:spacing w:after="0" w:line="269" w:lineRule="auto"/>
        <w:tabs>
          <w:tab w:leader="none" w:pos="63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indemnifying party has failed to retain counsel as set forth herein.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first or third preceding paragraph, and by the Company, in the case of parties indemnified pursuant to the second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third sentence of this paragraph, the indemnifying party agrees that it shall be liable for any settlement of any proceeding effected without its written consent if (i) such settlement is entered into more than 60 days after receipt</w:t>
      </w:r>
    </w:p>
    <w:p>
      <w:pPr>
        <w:sectPr>
          <w:pgSz w:w="11900" w:h="16838" w:orient="portrait"/>
          <w:cols w:equalWidth="0" w:num="1">
            <w:col w:w="10219"/>
          </w:cols>
          <w:pgMar w:left="240" w:top="520" w:right="1440" w:bottom="1440" w:gutter="0" w:footer="0" w:header="0"/>
        </w:sectPr>
      </w:pPr>
    </w:p>
    <w:bookmarkStart w:id="24" w:name="page25"/>
    <w:bookmarkEnd w:id="24"/>
    <w:p>
      <w:pPr>
        <w:ind w:right="1999"/>
        <w:spacing w:after="0" w:line="271" w:lineRule="auto"/>
        <w:rPr>
          <w:sz w:val="20"/>
          <w:szCs w:val="20"/>
          <w:color w:val="auto"/>
        </w:rPr>
      </w:pPr>
      <w:r>
        <w:rPr>
          <w:rFonts w:ascii="Courier New" w:cs="Courier New" w:eastAsia="Courier New" w:hAnsi="Courier New"/>
          <w:sz w:val="16"/>
          <w:szCs w:val="16"/>
          <w:color w:val="auto"/>
        </w:rPr>
        <w:t>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388"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If the indemnification provided for in the first or second paragraph in this Section 6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Offered Securities shall be deemed to be in the same respective proportions as the net proceeds from the offering of such Offered Securities (before deducting expenses) received by the Company and the total underwriting discounts and commissions received by the Underwriters, in each case as set forth in the table on the cover of the Prospectus Supplement, bear to the aggregate public offering price of the Offered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6 are several in proportion to the respective principal amounts of Offered Securities they have agreed to purchase hereunder, and not joint.</w:t>
      </w:r>
    </w:p>
    <w:p>
      <w:pPr>
        <w:spacing w:after="0" w:line="200" w:lineRule="exact"/>
        <w:rPr>
          <w:sz w:val="20"/>
          <w:szCs w:val="20"/>
          <w:color w:val="auto"/>
        </w:rPr>
      </w:pPr>
    </w:p>
    <w:p>
      <w:pPr>
        <w:spacing w:after="0" w:line="391"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The Company and the Underwriters agree that it would not be just or equitable if contribution pursuant to this Section 6 were determined by pro rata allocation (even if the Underwriters were treated as one entity for such purpose) or by any other method of allocation that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6, no Underwriter shall be required to contribute any amount in excess of the amount by which the total price at which the Offered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w:t>
      </w:r>
    </w:p>
    <w:p>
      <w:pPr>
        <w:sectPr>
          <w:pgSz w:w="11900" w:h="16838" w:orient="portrait"/>
          <w:cols w:equalWidth="0" w:num="1">
            <w:col w:w="10219"/>
          </w:cols>
          <w:pgMar w:left="240" w:top="520" w:right="1440" w:bottom="1440" w:gutter="0" w:footer="0" w:header="0"/>
        </w:sectPr>
      </w:pPr>
    </w:p>
    <w:bookmarkStart w:id="25" w:name="page26"/>
    <w:bookmarkEnd w:id="25"/>
    <w:p>
      <w:pPr>
        <w:ind w:right="1999"/>
        <w:spacing w:after="0" w:line="275" w:lineRule="auto"/>
        <w:rPr>
          <w:sz w:val="20"/>
          <w:szCs w:val="20"/>
          <w:color w:val="auto"/>
        </w:rPr>
      </w:pPr>
      <w:r>
        <w:rPr>
          <w:rFonts w:ascii="Courier New" w:cs="Courier New" w:eastAsia="Courier New" w:hAnsi="Courier New"/>
          <w:sz w:val="16"/>
          <w:szCs w:val="16"/>
          <w:color w:val="auto"/>
        </w:rPr>
        <w:t>Securities Act) shall be entitled to contribution from any person who was not guilty of such fraudulent misrepresentation. The remedies provided for in this Section 6 are not exclusive and shall not limit any rights or remedies which may otherwise be available to any indemnified party at law or in equity.</w:t>
      </w:r>
    </w:p>
    <w:p>
      <w:pPr>
        <w:spacing w:after="0" w:line="182"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The indemnity and contribution provisions contained in this Section 6 and the representations and warranties of the Company contained herein shall remain operative and in full force and effect regardless of (i) any termination of this Agreement, (ii) any investigation made by or on behalf of any Underwriter or any person controlling any Underwriter or by or on behalf of the Company, its directors or officers or any person controlling the Company and (iii) acceptance of and payment for any of the Offered Securities. 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A successor to any Underwriter or any person controlling any Underwriter, or to the Company, its directors or officers, or any person controlling the Company, shall be entitled to the benefits of the indemnity, contribution and reimbursement agreements contained in this Section 6.</w:t>
      </w:r>
    </w:p>
    <w:p>
      <w:pPr>
        <w:spacing w:after="0" w:line="208" w:lineRule="exact"/>
        <w:rPr>
          <w:sz w:val="20"/>
          <w:szCs w:val="20"/>
          <w:color w:val="auto"/>
        </w:rPr>
      </w:pPr>
    </w:p>
    <w:p>
      <w:pPr>
        <w:ind w:right="1999" w:firstLine="1272"/>
        <w:spacing w:after="0" w:line="270" w:lineRule="auto"/>
        <w:tabs>
          <w:tab w:leader="none" w:pos="168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be subject to termination, by notice given by the Manager to the Company, if (a) after the execution and delivery of the Underwriting Agreement and prior to the Closing Date (i) trading generally shall have been suspended or materially limited on or by, as the case may be, any of the New York Stock Exchange, the American Stock Exchange, the Nasdaq National Market, the Chicago Board of Options Exchange, the Chicago Mercantile Exchange or the Chicago Board of Trade, (ii) trading of any securities of the Company shall have been suspended on any exchange or in any over-the-counter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 is material and adverse and</w:t>
      </w:r>
    </w:p>
    <w:p>
      <w:pPr>
        <w:spacing w:after="0" w:line="186"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of the events specified in clauses (a)(i) through (iv), such event, singly or together with any other such event, makes it, in the sole judgment of the Manager, impracticable or inadvisable to commence or continue to market the Offered Securities on the terms and in the manner contemplated in the Prospectus or to enforce contracts for the resale of the Offered Securities by the Underwriters.</w:t>
      </w:r>
    </w:p>
    <w:p>
      <w:pPr>
        <w:spacing w:after="0" w:line="209" w:lineRule="exact"/>
        <w:rPr>
          <w:rFonts w:ascii="Courier New" w:cs="Courier New" w:eastAsia="Courier New" w:hAnsi="Courier New"/>
          <w:sz w:val="18"/>
          <w:szCs w:val="18"/>
          <w:color w:val="auto"/>
        </w:rPr>
      </w:pPr>
    </w:p>
    <w:p>
      <w:pPr>
        <w:ind w:right="1999" w:firstLine="1272"/>
        <w:spacing w:after="0" w:line="269" w:lineRule="auto"/>
        <w:tabs>
          <w:tab w:leader="none" w:pos="168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Defaulting Underwriters. If, on the Closing Date, any one or more of the Underwriters shall fail or refuse to purchase Offered Securities that it has or they have agreed to purchase hereunder on such date, and the aggregate amount of Offered Securities which such defaulting Underwriter or Underwriters agreed but failed or refused to purchase is not more than one-tenth of the aggregate amount of the Offered Securities to be purchased on such date, the non-defaulting Underwriters shall be obligated severally in the proportions that the amount of Offered Securities set forth opposite their respective names above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8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w:t>
      </w:r>
    </w:p>
    <w:p>
      <w:pPr>
        <w:sectPr>
          <w:pgSz w:w="11900" w:h="16838" w:orient="portrait"/>
          <w:cols w:equalWidth="0" w:num="1">
            <w:col w:w="10219"/>
          </w:cols>
          <w:pgMar w:left="240" w:top="520" w:right="1440" w:bottom="1440" w:gutter="0" w:footer="0" w:header="0"/>
        </w:sectPr>
      </w:pPr>
    </w:p>
    <w:bookmarkStart w:id="26" w:name="page27"/>
    <w:bookmarkEnd w:id="26"/>
    <w:p>
      <w:pPr>
        <w:ind w:right="1999"/>
        <w:spacing w:after="0" w:line="270" w:lineRule="auto"/>
        <w:rPr>
          <w:sz w:val="20"/>
          <w:szCs w:val="20"/>
          <w:color w:val="auto"/>
        </w:rPr>
      </w:pPr>
      <w:r>
        <w:rPr>
          <w:rFonts w:ascii="Courier New" w:cs="Courier New" w:eastAsia="Courier New" w:hAnsi="Courier New"/>
          <w:sz w:val="16"/>
          <w:szCs w:val="16"/>
          <w:color w:val="auto"/>
        </w:rPr>
        <w:t>occurs is more than one-tenth of the aggregate amount of Offered Securities to be purchased on such date, and arrangements satisfactory to the Manager and the Company for the purchase of such Offered Securities are not made within 36 hours after such default, this Agreement shall terminate without liability on the part of any non-defaulting Underwriter or the Company. In any such case either the Manager or the Company shall have the right to postpone the Closing Date but in no event for longer then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 The term "Underwriter" as used in this Agreement includes, for all purposes of this Agreement, any party not listed herein who, with your approval and the approval of the Company, purchases Offered Securities which a defaulting Underwriter is obligated, but fails or refuses, to purchase.</w:t>
      </w:r>
    </w:p>
    <w:p>
      <w:pPr>
        <w:spacing w:after="0" w:line="387" w:lineRule="exact"/>
        <w:rPr>
          <w:sz w:val="20"/>
          <w:szCs w:val="20"/>
          <w:color w:val="auto"/>
        </w:rPr>
      </w:pPr>
    </w:p>
    <w:p>
      <w:pPr>
        <w:ind w:right="2099" w:firstLine="1264"/>
        <w:spacing w:after="0" w:line="271" w:lineRule="auto"/>
        <w:rPr>
          <w:sz w:val="20"/>
          <w:szCs w:val="20"/>
          <w:color w:val="auto"/>
        </w:rPr>
      </w:pPr>
      <w:r>
        <w:rPr>
          <w:rFonts w:ascii="Courier New" w:cs="Courier New" w:eastAsia="Courier New" w:hAnsi="Courier New"/>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Offered Securities.</w:t>
      </w:r>
    </w:p>
    <w:p>
      <w:pPr>
        <w:spacing w:after="0" w:line="184" w:lineRule="exact"/>
        <w:rPr>
          <w:sz w:val="20"/>
          <w:szCs w:val="20"/>
          <w:color w:val="auto"/>
        </w:rPr>
      </w:pPr>
    </w:p>
    <w:p>
      <w:pPr>
        <w:ind w:right="2099" w:firstLine="1272"/>
        <w:spacing w:after="0" w:line="279" w:lineRule="auto"/>
        <w:tabs>
          <w:tab w:leader="none" w:pos="168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The Underwriting Agreement may be signed in any number of counterparts, each of which shall be an original, with the same effect as if the signatures thereto and hereto were upon the same instrument.</w:t>
      </w:r>
    </w:p>
    <w:p>
      <w:pPr>
        <w:spacing w:after="0" w:line="17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This Agreement shall be governed by and construed in accordance with the internal laws of the State of New York.</w:t>
      </w:r>
    </w:p>
    <w:p>
      <w:pPr>
        <w:spacing w:after="0" w:line="208" w:lineRule="exact"/>
        <w:rPr>
          <w:sz w:val="20"/>
          <w:szCs w:val="20"/>
          <w:color w:val="auto"/>
        </w:rPr>
      </w:pPr>
    </w:p>
    <w:p>
      <w:pPr>
        <w:ind w:right="1999" w:firstLine="1272"/>
        <w:spacing w:after="0" w:line="236" w:lineRule="auto"/>
        <w:tabs>
          <w:tab w:leader="none" w:pos="179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of the sections of this Agreement have been inserted for convenience of reference only and shall not be deemed a part of this Agreement.</w:t>
      </w:r>
    </w:p>
    <w:p>
      <w:pPr>
        <w:spacing w:after="0" w:line="200" w:lineRule="exact"/>
        <w:rPr>
          <w:sz w:val="20"/>
          <w:szCs w:val="20"/>
          <w:color w:val="auto"/>
        </w:rPr>
      </w:pPr>
    </w:p>
    <w:p>
      <w:pPr>
        <w:spacing w:after="0" w:line="20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Opinion of General Counsel</w:t>
      </w:r>
    </w:p>
    <w:p>
      <w:pPr>
        <w:jc w:val="center"/>
        <w:ind w:right="1999"/>
        <w:spacing w:after="0" w:line="238" w:lineRule="auto"/>
        <w:rPr>
          <w:sz w:val="20"/>
          <w:szCs w:val="20"/>
          <w:color w:val="auto"/>
        </w:rPr>
      </w:pPr>
      <w:r>
        <w:rPr>
          <w:rFonts w:ascii="Courier New" w:cs="Courier New" w:eastAsia="Courier New" w:hAnsi="Courier New"/>
          <w:sz w:val="18"/>
          <w:szCs w:val="18"/>
          <w:color w:val="auto"/>
        </w:rPr>
        <w:t>of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The opinion of General Counsel of the Company, to be delivered pursuant to Section 4(c) of the Underwriting Agreement shall be to the effect that:</w:t>
      </w:r>
    </w:p>
    <w:p>
      <w:pPr>
        <w:spacing w:after="0" w:line="209" w:lineRule="exact"/>
        <w:rPr>
          <w:sz w:val="20"/>
          <w:szCs w:val="20"/>
          <w:color w:val="auto"/>
        </w:rPr>
      </w:pPr>
    </w:p>
    <w:p>
      <w:pPr>
        <w:ind w:left="640" w:right="1999" w:firstLine="632"/>
        <w:spacing w:after="0" w:line="237" w:lineRule="auto"/>
        <w:tabs>
          <w:tab w:leader="none" w:pos="2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and is validly existing as a corporation in good standing under the laws of the jurisdiction of its incorporation, with corporate power and authority to own its properties and conduct its business as described in the</w:t>
      </w:r>
    </w:p>
    <w:p>
      <w:pPr>
        <w:sectPr>
          <w:pgSz w:w="11900" w:h="16838" w:orient="portrait"/>
          <w:cols w:equalWidth="0" w:num="1">
            <w:col w:w="10219"/>
          </w:cols>
          <w:pgMar w:left="240" w:top="52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Prospectus as amended or supplemented;</w:t>
      </w:r>
    </w:p>
    <w:p>
      <w:pPr>
        <w:spacing w:after="0" w:line="207" w:lineRule="exact"/>
        <w:rPr>
          <w:sz w:val="20"/>
          <w:szCs w:val="20"/>
          <w:color w:val="auto"/>
        </w:rPr>
      </w:pPr>
    </w:p>
    <w:p>
      <w:pPr>
        <w:ind w:right="1999" w:firstLine="632"/>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an authorized capitalization as set forth in the Prospectus as amended or supplemented and all of the issued shares of capital stock of the Company have been duly and validly authorized and issued and are fully paid and non-assessable;</w:t>
      </w:r>
    </w:p>
    <w:p>
      <w:pPr>
        <w:spacing w:after="0" w:line="207" w:lineRule="exact"/>
        <w:rPr>
          <w:rFonts w:ascii="Courier New" w:cs="Courier New" w:eastAsia="Courier New" w:hAnsi="Courier New"/>
          <w:sz w:val="18"/>
          <w:szCs w:val="18"/>
          <w:color w:val="auto"/>
        </w:rPr>
      </w:pPr>
    </w:p>
    <w:p>
      <w:pPr>
        <w:ind w:right="2199" w:firstLine="632"/>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failure to be so qualified in any such jurisdiction;</w:t>
      </w:r>
    </w:p>
    <w:p>
      <w:pPr>
        <w:spacing w:after="0" w:line="209" w:lineRule="exact"/>
        <w:rPr>
          <w:rFonts w:ascii="Courier New" w:cs="Courier New" w:eastAsia="Courier New" w:hAnsi="Courier New"/>
          <w:sz w:val="18"/>
          <w:szCs w:val="18"/>
          <w:color w:val="auto"/>
        </w:rPr>
      </w:pPr>
    </w:p>
    <w:p>
      <w:pPr>
        <w:ind w:right="1999" w:firstLine="632"/>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subsidiary of the Company has been duly incorporated and is validly existing as a corporation in good standing under the laws of its jurisdiction of incorporation; and all of the issued shares of capital stock of each such subsidiary of the Company have been duly and validly authorized and issued, are fully paid and non-assessable, and (except for directors' qualifying shares and except as otherwise set forth in the Registration Statement and Prospectus) are owned directly or indirectly by the Company, free and clear of all liens, encumbrances, equities or claims;</w:t>
      </w:r>
    </w:p>
    <w:p>
      <w:pPr>
        <w:spacing w:after="0" w:line="213" w:lineRule="exact"/>
        <w:rPr>
          <w:rFonts w:ascii="Courier New" w:cs="Courier New" w:eastAsia="Courier New" w:hAnsi="Courier New"/>
          <w:sz w:val="18"/>
          <w:szCs w:val="18"/>
          <w:color w:val="auto"/>
        </w:rPr>
      </w:pPr>
    </w:p>
    <w:p>
      <w:pPr>
        <w:ind w:right="2099" w:firstLine="632"/>
        <w:spacing w:after="0" w:line="237"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such counsel's knowledge, without independent inquiry, the Company and its subsidiaries have good and marketable title in fee simple to all real property owned by them, in each case free and clear of all liens, encumbrances and defects except such as are described in the Prospectus or such as do not materially affect the business of the Company and its subsidiaries, taken as a whole; and any material real property and buildings held under lease by the Company and its subsidiaries are held by them under valid, subsisting and enforceable leases with such exceptions as do not materially affect the business of the Company and its subsidiaries, taken as a whole;</w:t>
      </w:r>
    </w:p>
    <w:p>
      <w:pPr>
        <w:spacing w:after="0" w:line="215" w:lineRule="exact"/>
        <w:rPr>
          <w:rFonts w:ascii="Courier New" w:cs="Courier New" w:eastAsia="Courier New" w:hAnsi="Courier New"/>
          <w:sz w:val="18"/>
          <w:szCs w:val="18"/>
          <w:color w:val="auto"/>
        </w:rPr>
      </w:pPr>
    </w:p>
    <w:p>
      <w:pPr>
        <w:ind w:right="1879" w:firstLine="632"/>
        <w:spacing w:after="0" w:line="270" w:lineRule="auto"/>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and other than as set forth in the Prospectus, there are no legal or governmental proceedings pending to which the Company or any of its subsidiaries is a party or of which any property of the Company or any of its subsidiaries is the subject which such counsel has reasonable cause to believe could individually or in the aggregate have a material adverse effect on the consolidated financial position, stockholders' equity or results of operations of the Company and its subsidiaries, taken as a whole; and, to the best of such counsel's knowledge, no such proceedings are threatened or contemplated by governmental authorities or threatened by others;</w:t>
      </w:r>
    </w:p>
    <w:p>
      <w:pPr>
        <w:spacing w:after="0" w:line="189" w:lineRule="exact"/>
        <w:rPr>
          <w:rFonts w:ascii="Courier New" w:cs="Courier New" w:eastAsia="Courier New" w:hAnsi="Courier New"/>
          <w:sz w:val="16"/>
          <w:szCs w:val="16"/>
          <w:color w:val="auto"/>
        </w:rPr>
      </w:pPr>
    </w:p>
    <w:p>
      <w:pPr>
        <w:ind w:right="2419" w:firstLine="632"/>
        <w:spacing w:after="0" w:line="235"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right="2199" w:firstLine="632"/>
        <w:spacing w:after="0" w:line="272" w:lineRule="auto"/>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Securities are in due and proper form, as contemplated by the Indenture, have been duly authorized, executed, authenticated, issued and delivered and constitute valid and binding obligations of the Company entitled to the benefits provided by the Indenture; and the Offered Securities and the Indenture conform to the descriptions thereof in the Prospectus, as amended or supplemented;</w:t>
      </w:r>
    </w:p>
    <w:p>
      <w:pPr>
        <w:spacing w:after="0" w:line="185" w:lineRule="exact"/>
        <w:rPr>
          <w:rFonts w:ascii="Courier New" w:cs="Courier New" w:eastAsia="Courier New" w:hAnsi="Courier New"/>
          <w:sz w:val="16"/>
          <w:szCs w:val="16"/>
          <w:color w:val="auto"/>
        </w:rPr>
      </w:pPr>
    </w:p>
    <w:p>
      <w:pPr>
        <w:ind w:right="2319" w:firstLine="632"/>
        <w:spacing w:after="0" w:line="279" w:lineRule="auto"/>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 Trust Indenture Act and has been duly authorized, executed and delivered by the parties thereto and constitutes a valid and binding instrument,</w:t>
      </w:r>
    </w:p>
    <w:p>
      <w:pPr>
        <w:sectPr>
          <w:pgSz w:w="11900" w:h="16838" w:orient="portrait"/>
          <w:cols w:equalWidth="0" w:num="1">
            <w:col w:w="9579"/>
          </w:cols>
          <w:pgMar w:left="880" w:top="514" w:right="1440" w:bottom="1440" w:gutter="0" w:footer="0" w:header="0"/>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enforceable in accordance with its terms, except as (a) the enforceability thereof may be limited by bankruptcy, insolvency, reorganization and other laws of general applicability relating to or affecting creditors' rights generally and (b) rights of acceleration and the availability of equitable remedies may be limited by equitable principles of general applicability;</w:t>
      </w:r>
    </w:p>
    <w:p>
      <w:pPr>
        <w:spacing w:after="0" w:line="200" w:lineRule="exact"/>
        <w:rPr>
          <w:sz w:val="20"/>
          <w:szCs w:val="20"/>
          <w:color w:val="auto"/>
        </w:rPr>
      </w:pPr>
    </w:p>
    <w:p>
      <w:pPr>
        <w:spacing w:after="0" w:line="212" w:lineRule="exact"/>
        <w:rPr>
          <w:sz w:val="20"/>
          <w:szCs w:val="20"/>
          <w:color w:val="auto"/>
        </w:rPr>
      </w:pPr>
    </w:p>
    <w:p>
      <w:pPr>
        <w:ind w:right="1999" w:firstLine="632"/>
        <w:spacing w:after="0" w:line="238" w:lineRule="auto"/>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 and sale of the Offered Securities, the compliance by the Company with all of the provisions of the Offered Securities, the Indenture and this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actions result in any violation of the provisions of the Certificate of Incorporation or By-laws of the Company or any statute or any order, rule or regulation of any court or governmental agency or body having jurisdiction over the Company or any of its subsidiaries or any of their properties;</w:t>
      </w:r>
    </w:p>
    <w:p>
      <w:pPr>
        <w:spacing w:after="0" w:line="208" w:lineRule="exact"/>
        <w:rPr>
          <w:rFonts w:ascii="Courier New" w:cs="Courier New" w:eastAsia="Courier New" w:hAnsi="Courier New"/>
          <w:sz w:val="18"/>
          <w:szCs w:val="18"/>
          <w:color w:val="auto"/>
        </w:rPr>
      </w:pPr>
    </w:p>
    <w:p>
      <w:pPr>
        <w:ind w:right="1999" w:firstLine="632"/>
        <w:spacing w:after="0" w:line="271" w:lineRule="auto"/>
        <w:tabs>
          <w:tab w:leader="none" w:pos="15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registration or qualification of or with any such court or governmental agency or body is required for the issue and sale of the Offered Securities or the consummation by the Company of the transactions contemplated by this Agreement or the Indenture, except such as have been obtained under the Securities Act and the Trust Indenture Act and such consents, approvals, authorizations, registrations or qualifications as may be required under state securities or Blue Sky laws in connection with the purchase and distribution of the Offered Securities by the Underwriters in the manner contemplated by this Agreement;</w:t>
      </w:r>
    </w:p>
    <w:p>
      <w:pPr>
        <w:spacing w:after="0" w:line="386" w:lineRule="exact"/>
        <w:rPr>
          <w:rFonts w:ascii="Courier New" w:cs="Courier New" w:eastAsia="Courier New" w:hAnsi="Courier New"/>
          <w:sz w:val="16"/>
          <w:szCs w:val="16"/>
          <w:color w:val="auto"/>
        </w:rPr>
      </w:pPr>
    </w:p>
    <w:p>
      <w:pPr>
        <w:ind w:right="1999" w:firstLine="632"/>
        <w:spacing w:after="0" w:line="269" w:lineRule="auto"/>
        <w:tabs>
          <w:tab w:leader="none" w:pos="15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Securities Act or the Exchange Act, as applicable, and the rules and regulations of the Commission thereunder; and such counsel has no reason to believe that any of such documents, when such documents became effective or were so filed, as the case may be, contained, in the case of a registration statement which became effective under the Securities Act, an untrue statement of a material fact or omitted to state a material fact required to be stated therein or necessary to make the statements therein not misleading, or, in the case of other documents which were filed under the Securities Act or the Exchange Act with the Commission, an untrue statement of a material fact or omitted to state a material fact necessary in order to make the statements therein, in the light of the circumstances under which they were made when such documents were so filed, not misleading;</w:t>
      </w:r>
    </w:p>
    <w:p>
      <w:pPr>
        <w:spacing w:after="0" w:line="395" w:lineRule="exact"/>
        <w:rPr>
          <w:rFonts w:ascii="Courier New" w:cs="Courier New" w:eastAsia="Courier New" w:hAnsi="Courier New"/>
          <w:sz w:val="16"/>
          <w:szCs w:val="16"/>
          <w:color w:val="auto"/>
        </w:rPr>
      </w:pPr>
    </w:p>
    <w:p>
      <w:pPr>
        <w:ind w:right="1999" w:firstLine="632"/>
        <w:spacing w:after="0" w:line="272" w:lineRule="auto"/>
        <w:tabs>
          <w:tab w:leader="none" w:pos="15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Registration Statement and Prospectus, under the headings "Description of Debt Securities," "Plan of Distribution," "Description of the Notes" and "Underwriting" insofar as they are descriptions or summaries of contracts, agreements or other legal documents, or refer to statements of law or legal conclusions, are accurate and present fairly the information required to be shown; and</w:t>
      </w:r>
    </w:p>
    <w:p>
      <w:pPr>
        <w:sectPr>
          <w:pgSz w:w="11900" w:h="16838" w:orient="portrait"/>
          <w:cols w:equalWidth="0" w:num="1">
            <w:col w:w="9579"/>
          </w:cols>
          <w:pgMar w:left="880" w:top="520" w:right="1440" w:bottom="1440" w:gutter="0" w:footer="0" w:header="0"/>
        </w:sectPr>
      </w:pPr>
    </w:p>
    <w:bookmarkStart w:id="29" w:name="page30"/>
    <w:bookmarkEnd w:id="29"/>
    <w:p>
      <w:pPr>
        <w:ind w:left="640" w:right="1999" w:firstLine="632"/>
        <w:spacing w:after="0" w:line="268" w:lineRule="auto"/>
        <w:tabs>
          <w:tab w:leader="none" w:pos="2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and supplements thereto made by the Company prior to the Closing Date (other than the financial statements and related schedules and other financial and statistical information therein, as to which such counsel need express no opinion) comply as to form in all material respects with the requirements of the Securities Act and the Trust Indenture Act and the rules and regulations thereunder; such counsel has no reason to believe that, as of its effective date, the Registration Statement or any further amendment thereto made by the Company prior to the Closing Date (other than the financial statements and related schedules and other financial and statistical information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Closing Date (other than the financial statements and related schedules and other financial and statistical information therein, as to which such counsel need express no opinion) contained an untrue statement of a material fact or omitted to state a material fact necessary to make the statements therein, in light of the circumstances under which they were made, not misleading or that, as of the Closing Date, the Prospectus as amended or supplemented or any further amendment or supplement thereto made by the Company prior to the Closing Date (other than the financial statements and related schedules and other financial and statistical information therein, as to which such counsel need express no opinion) contains an untrue statement of a material fact or omits to state a material fact necessary to make the statements therein, in light of the circumstances under which they were made, not misleading; and such counsel does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1264"/>
        <w:spacing w:after="0" w:line="270" w:lineRule="auto"/>
        <w:rPr>
          <w:sz w:val="20"/>
          <w:szCs w:val="20"/>
          <w:color w:val="auto"/>
        </w:rPr>
      </w:pPr>
      <w:r>
        <w:rPr>
          <w:rFonts w:ascii="Courier New" w:cs="Courier New" w:eastAsia="Courier New" w:hAnsi="Courier New"/>
          <w:sz w:val="16"/>
          <w:szCs w:val="16"/>
          <w:color w:val="auto"/>
        </w:rPr>
        <w:t>In rendering such opinion, such counsel may rely, without independent investigation, upon an opinion or opinions as to laws of any jurisdiction other than the United States or the States of Delaware and Arkansas, provided that (1) each such local counsel is acceptable to the Representatives, (2) such reliance is expressly authorized by each opinion so relied upon and a copy of each such opinion is delivered to the Representatives and is in form and substance satisfactory to the Representatives and their counsel, and (3) counsel shall state in their opinion that they believe that they and the Underwriters are justified in relying thereon. With respect to subparagraph (xiv) above, such counsel may state that his opinion and belief are based upon his participation and the participation of his staff in the preparation of the Registration Statement and Prospectus and review and discussion of the information furnished therein.</w:t>
      </w:r>
    </w:p>
    <w:p>
      <w:pPr>
        <w:spacing w:after="0" w:line="200" w:lineRule="exact"/>
        <w:rPr>
          <w:sz w:val="20"/>
          <w:szCs w:val="20"/>
          <w:color w:val="auto"/>
        </w:rPr>
      </w:pPr>
    </w:p>
    <w:p>
      <w:pPr>
        <w:spacing w:after="0" w:line="386"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723" w:right="1440" w:bottom="1440" w:gutter="0" w:footer="0" w:header="0"/>
        </w:sectPr>
      </w:pPr>
    </w:p>
    <w:bookmarkStart w:id="30" w:name="page31"/>
    <w:bookmarkEnd w:id="30"/>
    <w:p>
      <w:pPr>
        <w:jc w:val="center"/>
        <w:ind w:right="1899"/>
        <w:spacing w:after="0"/>
        <w:rPr>
          <w:sz w:val="20"/>
          <w:szCs w:val="20"/>
          <w:color w:val="auto"/>
        </w:rPr>
      </w:pPr>
      <w:r>
        <w:rPr>
          <w:rFonts w:ascii="Courier New" w:cs="Courier New" w:eastAsia="Courier New" w:hAnsi="Courier New"/>
          <w:sz w:val="18"/>
          <w:szCs w:val="18"/>
          <w:color w:val="auto"/>
        </w:rPr>
        <w:t>Opinion of Davis Polk &amp; Wardwell,</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Counsel for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The opinion of Davis Polk &amp; Wardwell, special counsel for the Company, to be delivered pursuant to Section 4(d) of the Underwriting Agreement shall be to the effect that:</w:t>
      </w:r>
    </w:p>
    <w:p>
      <w:pPr>
        <w:spacing w:after="0" w:line="209" w:lineRule="exact"/>
        <w:rPr>
          <w:sz w:val="20"/>
          <w:szCs w:val="20"/>
          <w:color w:val="auto"/>
        </w:rPr>
      </w:pPr>
    </w:p>
    <w:p>
      <w:pPr>
        <w:ind w:left="640" w:right="2519" w:firstLine="632"/>
        <w:spacing w:after="0" w:line="235" w:lineRule="auto"/>
        <w:tabs>
          <w:tab w:leader="none" w:pos="211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left="640" w:right="2199" w:firstLine="632"/>
        <w:spacing w:after="0" w:line="272" w:lineRule="auto"/>
        <w:tabs>
          <w:tab w:leader="none" w:pos="211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Securities are in due and proper form, as contemplated by the Indenture, have been duly authorized, executed, authenticated, issued and delivered and constitute valid and binding obligations of the Company entitled to the benefits provided by the Indenture; and the Offered Securities and the Indenture conform to the descriptions thereof in the Prospectus as amended or supplemented;</w:t>
      </w:r>
    </w:p>
    <w:p>
      <w:pPr>
        <w:spacing w:after="0" w:line="185" w:lineRule="exact"/>
        <w:rPr>
          <w:rFonts w:ascii="Courier New" w:cs="Courier New" w:eastAsia="Courier New" w:hAnsi="Courier New"/>
          <w:sz w:val="16"/>
          <w:szCs w:val="16"/>
          <w:color w:val="auto"/>
        </w:rPr>
      </w:pPr>
    </w:p>
    <w:p>
      <w:pPr>
        <w:ind w:left="640" w:right="1999" w:firstLine="632"/>
        <w:spacing w:after="0" w:line="237" w:lineRule="auto"/>
        <w:tabs>
          <w:tab w:leader="none" w:pos="2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has been duly qualified under the Trust Indenture Act and has been duly authorized, executed and delivered by the parties thereto and constitutes a valid and binding instrument, enforceable in accordance with its terms, except, as (a) the enforceability thereof may be limited by bankruptcy, insolvency, reorganization and other laws of general applicability relating to or affecting creditors' rights generally and (b) rights of acceleration and the availability of equitable remedies may be limited by equitable principles of general applicability;</w:t>
      </w:r>
    </w:p>
    <w:p>
      <w:pPr>
        <w:spacing w:after="0" w:line="213" w:lineRule="exact"/>
        <w:rPr>
          <w:rFonts w:ascii="Courier New" w:cs="Courier New" w:eastAsia="Courier New" w:hAnsi="Courier New"/>
          <w:sz w:val="18"/>
          <w:szCs w:val="18"/>
          <w:color w:val="auto"/>
        </w:rPr>
      </w:pPr>
    </w:p>
    <w:p>
      <w:pPr>
        <w:ind w:left="640" w:right="1999" w:firstLine="632"/>
        <w:spacing w:after="0" w:line="237" w:lineRule="auto"/>
        <w:tabs>
          <w:tab w:leader="none" w:pos="211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approval, authorization, order, registration or qualification of or with any court or governmental agency or body of the United States or the State of New York is required for the issue and sale of the Offered Securities or the consummation by the Company of the transactions contemplated by this Agreement or the Indenture except such as have been obtained under the Securities Act and the Trust Indenture Act, and such consents, approvals, authorizations, registrations or qualifications as may be required under state securities or Blue Sky laws in connection with the purchase and distribution of the Offered Securities by the Underwriters in the manner contemplated by this Agreement;</w:t>
      </w:r>
    </w:p>
    <w:p>
      <w:pPr>
        <w:spacing w:after="0" w:line="215" w:lineRule="exact"/>
        <w:rPr>
          <w:rFonts w:ascii="Courier New" w:cs="Courier New" w:eastAsia="Courier New" w:hAnsi="Courier New"/>
          <w:sz w:val="18"/>
          <w:szCs w:val="18"/>
          <w:color w:val="auto"/>
        </w:rPr>
      </w:pPr>
    </w:p>
    <w:p>
      <w:pPr>
        <w:ind w:left="640" w:right="1879" w:firstLine="632"/>
        <w:spacing w:after="0" w:line="237" w:lineRule="auto"/>
        <w:tabs>
          <w:tab w:leader="none" w:pos="211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documents incorporated by reference in the Prospectus as amended or supplemented (other than the financial statements and related schedules and other financial information therein, as to which such counsel need express no opinion), when they became effective or were filed with the Commission, as the case may be, complied as to form in all material respects with the requirements of the Securities Act or the Exchange Act, as applicable, and the rules and regulations of the Commission thereunder; and</w:t>
      </w:r>
    </w:p>
    <w:p>
      <w:pPr>
        <w:spacing w:after="0" w:line="212" w:lineRule="exact"/>
        <w:rPr>
          <w:rFonts w:ascii="Courier New" w:cs="Courier New" w:eastAsia="Courier New" w:hAnsi="Courier New"/>
          <w:sz w:val="18"/>
          <w:szCs w:val="18"/>
          <w:color w:val="auto"/>
        </w:rPr>
      </w:pPr>
    </w:p>
    <w:p>
      <w:pPr>
        <w:ind w:left="640" w:right="1999" w:firstLine="632"/>
        <w:spacing w:after="0" w:line="271" w:lineRule="auto"/>
        <w:tabs>
          <w:tab w:leader="none" w:pos="211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or supplements thereto made by the Company prior to the Closing Date (other than the financial statements and related schedules and other financial and statistical information therein, as to which such counsel need express no opinion) comply as to form in all material respects with the requirements of the Securities Act and the Trust Indenture Act and the rules and regulations</w:t>
      </w:r>
    </w:p>
    <w:p>
      <w:pPr>
        <w:sectPr>
          <w:pgSz w:w="11900" w:h="16838" w:orient="portrait"/>
          <w:cols w:equalWidth="0" w:num="1">
            <w:col w:w="10219"/>
          </w:cols>
          <w:pgMar w:left="240" w:top="717" w:right="1440" w:bottom="1440" w:gutter="0" w:footer="0" w:header="0"/>
        </w:sectPr>
      </w:pPr>
    </w:p>
    <w:bookmarkStart w:id="31" w:name="page32"/>
    <w:bookmarkEnd w:id="31"/>
    <w:p>
      <w:pPr>
        <w:ind w:left="640" w:right="1999"/>
        <w:spacing w:after="0" w:line="269" w:lineRule="auto"/>
        <w:rPr>
          <w:sz w:val="20"/>
          <w:szCs w:val="20"/>
          <w:color w:val="auto"/>
        </w:rPr>
      </w:pPr>
      <w:r>
        <w:rPr>
          <w:rFonts w:ascii="Courier New" w:cs="Courier New" w:eastAsia="Courier New" w:hAnsi="Courier New"/>
          <w:sz w:val="16"/>
          <w:szCs w:val="16"/>
          <w:color w:val="auto"/>
        </w:rPr>
        <w:t>thereunder; such counsel has no reason to believe that, as of its effective date, the Registration Statement or any further amendment thereto made by the Company prior to the Closing Date (other than the financial statements and related schedules and other financial and statistical information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Closing Date (other than the financial statements and related schedules and other financial and statistical information therein, as to which such counsel need express no opinion) contained an untrue statement of a material fact or omitted to state a material fact necessary to make the statements therein, in light of the circumstances under which they were made, not misleading or that, as of the Closing Date, either the Registration Statement or the Prospectus as amended or supplemented or any further amendment or supplement thereto made by the Company prior to the Closing Date (other than the financial statements and related schedules and other financial and statistical information therein, as to which such counsel need express no opinion) contains an untrue statement of a material fact or omits to state a material fact necessary to make the statements therein, in light of the circumstances under which they were made, not misleading; and such counsel does not know of any amendment to the Registration Statement required to be filed.</w:t>
      </w:r>
    </w:p>
    <w:p>
      <w:pPr>
        <w:spacing w:after="0" w:line="200" w:lineRule="exact"/>
        <w:rPr>
          <w:sz w:val="20"/>
          <w:szCs w:val="20"/>
          <w:color w:val="auto"/>
        </w:rPr>
      </w:pPr>
    </w:p>
    <w:p>
      <w:pPr>
        <w:spacing w:after="0" w:line="395"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In rendering such opinion, such counsel may state that they express no opinion as to the laws of any jurisdiction other than the United States and the State of New York. With respect to subparagraph (vi) above, such counsel may state that their opinion and belief are based upon their participation in the preparation of the Registration Statement and Prospectus as amended or supplemented and review and discussion of the information furnished therein, but without independent check or verification thereof, except as specified.</w:t>
      </w:r>
    </w:p>
    <w:p>
      <w:pPr>
        <w:spacing w:after="0" w:line="200" w:lineRule="exact"/>
        <w:rPr>
          <w:sz w:val="20"/>
          <w:szCs w:val="20"/>
          <w:color w:val="auto"/>
        </w:rPr>
      </w:pPr>
    </w:p>
    <w:p>
      <w:pPr>
        <w:spacing w:after="0" w:line="387"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Opinion of Cahill Gordon &amp; Reindel,</w:t>
      </w:r>
    </w:p>
    <w:p>
      <w:pPr>
        <w:ind w:left="2640"/>
        <w:spacing w:after="0" w:line="238" w:lineRule="auto"/>
        <w:rPr>
          <w:sz w:val="20"/>
          <w:szCs w:val="20"/>
          <w:color w:val="auto"/>
        </w:rPr>
      </w:pPr>
      <w:r>
        <w:rPr>
          <w:rFonts w:ascii="Courier New" w:cs="Courier New" w:eastAsia="Courier New" w:hAnsi="Courier New"/>
          <w:sz w:val="18"/>
          <w:szCs w:val="18"/>
          <w:color w:val="auto"/>
        </w:rPr>
        <w:t>Counsel for the Underwriters</w:t>
      </w:r>
    </w:p>
    <w:p>
      <w:pPr>
        <w:spacing w:after="0" w:line="200" w:lineRule="exact"/>
        <w:rPr>
          <w:sz w:val="20"/>
          <w:szCs w:val="20"/>
          <w:color w:val="auto"/>
        </w:rPr>
      </w:pPr>
    </w:p>
    <w:p>
      <w:pPr>
        <w:spacing w:after="0" w:line="21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opinion of Cahill Gordon &amp; Reindel, counsel for the Underwriters, to be delivered pursuant to Section 4(e) of the Underwriting Agreement shall be to the effect that:</w:t>
      </w:r>
    </w:p>
    <w:p>
      <w:pPr>
        <w:spacing w:after="0" w:line="200" w:lineRule="exact"/>
        <w:rPr>
          <w:sz w:val="20"/>
          <w:szCs w:val="20"/>
          <w:color w:val="auto"/>
        </w:rPr>
      </w:pPr>
    </w:p>
    <w:p>
      <w:pPr>
        <w:spacing w:after="0" w:line="211" w:lineRule="exact"/>
        <w:rPr>
          <w:sz w:val="20"/>
          <w:szCs w:val="20"/>
          <w:color w:val="auto"/>
        </w:rPr>
      </w:pPr>
    </w:p>
    <w:p>
      <w:pPr>
        <w:ind w:left="320" w:right="2099" w:firstLine="425"/>
        <w:spacing w:after="0" w:line="235" w:lineRule="auto"/>
        <w:tabs>
          <w:tab w:leader="none" w:pos="126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Underwriting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left="320" w:right="1999" w:firstLine="320"/>
        <w:spacing w:after="0" w:line="290" w:lineRule="auto"/>
        <w:tabs>
          <w:tab w:leader="none" w:pos="126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 Trust Indenture Act and has been duly authorized, executed and delivered by the Company and</w:t>
      </w:r>
    </w:p>
    <w:p>
      <w:pPr>
        <w:sectPr>
          <w:pgSz w:w="11900" w:h="16838" w:orient="portrait"/>
          <w:cols w:equalWidth="0" w:num="1">
            <w:col w:w="10219"/>
          </w:cols>
          <w:pgMar w:left="240" w:top="520" w:right="1440" w:bottom="1440" w:gutter="0" w:footer="0" w:header="0"/>
        </w:sectPr>
      </w:pPr>
    </w:p>
    <w:bookmarkStart w:id="32" w:name="page33"/>
    <w:bookmarkEnd w:id="32"/>
    <w:p>
      <w:pPr>
        <w:ind w:left="320" w:right="1999"/>
        <w:spacing w:after="0" w:line="237" w:lineRule="auto"/>
        <w:rPr>
          <w:sz w:val="20"/>
          <w:szCs w:val="20"/>
          <w:color w:val="auto"/>
        </w:rPr>
      </w:pPr>
      <w:r>
        <w:rPr>
          <w:rFonts w:ascii="Courier New" w:cs="Courier New" w:eastAsia="Courier New" w:hAnsi="Courier New"/>
          <w:sz w:val="18"/>
          <w:szCs w:val="18"/>
          <w:color w:val="auto"/>
        </w:rPr>
        <w:t>constitutes a valid and binding agreement of the Company, enforceable in accordance with its terms except as (a) the enforceability thereof may be limited by bankruptcy, insolvency, fraudulent conveyance, reorganization and other laws of general applicability relating to or affecting creditors' rights generally and (b) rights of acceleration and the availability of equitable remedies may be limited by equitable principles of general applicability;</w:t>
      </w:r>
    </w:p>
    <w:p>
      <w:pPr>
        <w:spacing w:after="0" w:line="211" w:lineRule="exact"/>
        <w:rPr>
          <w:sz w:val="20"/>
          <w:szCs w:val="20"/>
          <w:color w:val="auto"/>
        </w:rPr>
      </w:pPr>
    </w:p>
    <w:p>
      <w:pPr>
        <w:ind w:left="320" w:right="2199" w:firstLine="215"/>
        <w:spacing w:after="0" w:line="237" w:lineRule="auto"/>
        <w:tabs>
          <w:tab w:leader="none" w:pos="126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Securities have been duly authorized and, when executed and authenticated in accordance with the provisions of the Indenture and delivered to and paid for by the Underwriters in accordance with the terms of the Underwriting Agreement, will constitute valid and binding obligations of the Company entitled to the benefits of the Indenture; and</w:t>
      </w:r>
    </w:p>
    <w:p>
      <w:pPr>
        <w:spacing w:after="0" w:line="209" w:lineRule="exact"/>
        <w:rPr>
          <w:rFonts w:ascii="Courier New" w:cs="Courier New" w:eastAsia="Courier New" w:hAnsi="Courier New"/>
          <w:sz w:val="18"/>
          <w:szCs w:val="18"/>
          <w:color w:val="auto"/>
        </w:rPr>
      </w:pPr>
    </w:p>
    <w:p>
      <w:pPr>
        <w:ind w:right="1999" w:firstLine="640"/>
        <w:spacing w:after="0" w:line="237" w:lineRule="auto"/>
        <w:tabs>
          <w:tab w:leader="none" w:pos="12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Prospectus (except for financial statements and schedules and other financial and statistical data included therein as to which such counsel need not express any opinion) comply as to form in all material respects with the Securities Act and the applicable rules and regulations of the Commission thereunder.</w:t>
      </w:r>
    </w:p>
    <w:p>
      <w:pPr>
        <w:spacing w:after="0" w:line="209"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In addition, such counsel has participated in conferences with officers and other representatives of the Company, representatives of the independent public accountants for the Company and representatives of the Underwriters, at which the contents of the Registration Statement and the Prospectus were discussed and, although such counsel is not passing upon and does not assume any responsibility for the accuracy, completeness or fairness of the statements contained in the Registration Statement or the Prospectus, on the basis of the foregoing (relying as to materiality to a large extent upon the opinions of officers and other representatives of the Company), nothing has come to such counsel's attention that causes them to believe that the Registration Statement at the time such Registration Statement became effective contained an untrue statement of a material fact or omitted to state a material fact required to be stated therein or necessary to make the statements therein not misleading, or that the Prospectus as of its date and as of the date hereof, contained an untrue statement of material fact or omitted to state a material fact required to be stated therein or necessary to make the statements therein, in the light of the circumstances under which they were made, not misleading (it being understood that such counsel has not been asked to, and does not, comment on the financial statements and schedules and other financial and statistical data included or incorporated by reference in the Registration Statement or the Prospectus or the exhibits to the Registration Statement or the Statement of Eligibility and Qualification on Form T-1 of the Trustee).</w:t>
      </w:r>
    </w:p>
    <w:p>
      <w:pPr>
        <w:sectPr>
          <w:pgSz w:w="11900" w:h="16838" w:orient="portrait"/>
          <w:cols w:equalWidth="0" w:num="1">
            <w:col w:w="10219"/>
          </w:cols>
          <w:pgMar w:left="240" w:top="520" w:right="1440" w:bottom="1440" w:gutter="0" w:footer="0" w:header="0"/>
        </w:sectPr>
      </w:pPr>
    </w:p>
    <w:bookmarkStart w:id="33" w:name="page34"/>
    <w:bookmarkEnd w:id="33"/>
    <w:p>
      <w:pPr>
        <w:jc w:val="center"/>
        <w:ind w:right="1999"/>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$250,000,000</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Medium-Term Notes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Due from 9 Months to 30 Years from Date of Issue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DISTRIBUTION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 __,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Inc.</w:t>
      </w:r>
    </w:p>
    <w:p>
      <w:pPr>
        <w:spacing w:after="0" w:line="238" w:lineRule="auto"/>
        <w:rPr>
          <w:sz w:val="20"/>
          <w:szCs w:val="20"/>
          <w:color w:val="auto"/>
        </w:rPr>
      </w:pPr>
      <w:r>
        <w:rPr>
          <w:rFonts w:ascii="Courier New" w:cs="Courier New" w:eastAsia="Courier New" w:hAnsi="Courier New"/>
          <w:sz w:val="18"/>
          <w:szCs w:val="18"/>
          <w:color w:val="auto"/>
        </w:rPr>
        <w:t>1345 Avenue of the Americas</w:t>
      </w:r>
    </w:p>
    <w:p>
      <w:pPr>
        <w:spacing w:after="0"/>
        <w:rPr>
          <w:sz w:val="20"/>
          <w:szCs w:val="20"/>
          <w:color w:val="auto"/>
        </w:rPr>
      </w:pPr>
      <w:r>
        <w:rPr>
          <w:rFonts w:ascii="Courier New" w:cs="Courier New" w:eastAsia="Courier New" w:hAnsi="Courier New"/>
          <w:sz w:val="18"/>
          <w:szCs w:val="18"/>
          <w:color w:val="auto"/>
        </w:rPr>
        <w:t>48th Floor</w:t>
      </w:r>
    </w:p>
    <w:p>
      <w:pPr>
        <w:spacing w:after="0" w:line="237" w:lineRule="auto"/>
        <w:rPr>
          <w:sz w:val="20"/>
          <w:szCs w:val="20"/>
          <w:color w:val="auto"/>
        </w:rPr>
      </w:pPr>
      <w:r>
        <w:rPr>
          <w:rFonts w:ascii="Courier New" w:cs="Courier New" w:eastAsia="Courier New" w:hAnsi="Courier New"/>
          <w:sz w:val="18"/>
          <w:szCs w:val="18"/>
          <w:color w:val="auto"/>
        </w:rPr>
        <w:t>New York, New York 10105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238" w:lineRule="auto"/>
        <w:rPr>
          <w:sz w:val="20"/>
          <w:szCs w:val="20"/>
          <w:color w:val="auto"/>
        </w:rPr>
      </w:pPr>
      <w:r>
        <w:rPr>
          <w:rFonts w:ascii="Courier New" w:cs="Courier New" w:eastAsia="Courier New" w:hAnsi="Courier New"/>
          <w:sz w:val="18"/>
          <w:szCs w:val="18"/>
          <w:color w:val="auto"/>
        </w:rPr>
        <w:t>60 Wall Street</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10260-0060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Westminster Bank Plc,</w:t>
      </w:r>
    </w:p>
    <w:p>
      <w:pPr>
        <w:ind w:left="220"/>
        <w:spacing w:after="0" w:line="238" w:lineRule="auto"/>
        <w:rPr>
          <w:sz w:val="20"/>
          <w:szCs w:val="20"/>
          <w:color w:val="auto"/>
        </w:rPr>
      </w:pPr>
      <w:r>
        <w:rPr>
          <w:rFonts w:ascii="Courier New" w:cs="Courier New" w:eastAsia="Courier New" w:hAnsi="Courier New"/>
          <w:sz w:val="18"/>
          <w:szCs w:val="18"/>
          <w:color w:val="auto"/>
        </w:rPr>
        <w:t>New York Branch</w:t>
      </w:r>
    </w:p>
    <w:p>
      <w:pPr>
        <w:spacing w:after="0"/>
        <w:rPr>
          <w:sz w:val="20"/>
          <w:szCs w:val="20"/>
          <w:color w:val="auto"/>
        </w:rPr>
      </w:pPr>
      <w:r>
        <w:rPr>
          <w:rFonts w:ascii="Courier New" w:cs="Courier New" w:eastAsia="Courier New" w:hAnsi="Courier New"/>
          <w:sz w:val="18"/>
          <w:szCs w:val="18"/>
          <w:color w:val="auto"/>
        </w:rPr>
        <w:t>175 Water Street</w:t>
      </w:r>
    </w:p>
    <w:p>
      <w:pPr>
        <w:spacing w:after="0" w:line="237" w:lineRule="auto"/>
        <w:rPr>
          <w:sz w:val="20"/>
          <w:szCs w:val="20"/>
          <w:color w:val="auto"/>
        </w:rPr>
      </w:pPr>
      <w:r>
        <w:rPr>
          <w:rFonts w:ascii="Courier New" w:cs="Courier New" w:eastAsia="Courier New" w:hAnsi="Courier New"/>
          <w:sz w:val="18"/>
          <w:szCs w:val="18"/>
          <w:color w:val="auto"/>
        </w:rPr>
        <w:t>20th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10038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Murphy Oil Corporation, a Delaware corporation (the "Company"), confirms its agreement with each of you with respect to the issue and sale from time to time by the Company of up to $250,000,000 (or the equivalent thereof in one or more foreign currencies or composite currencies) aggregate initial offering price of its medium-term notes due from 9 months to 30 years from date of issue (the "Notes"). The Notes will be issued under an Indenture dated as of _______________________, 1994 (the "Indenture") between the</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Company and Chemical Bank, as Trustee (the "Trustee"), and will have the maturities, interest rates, redemption provisions, if any, and other terms as set forth in supplements to the Basic Prospectus referred to below.</w:t>
      </w:r>
    </w:p>
    <w:p>
      <w:pPr>
        <w:spacing w:after="0" w:line="209" w:lineRule="exact"/>
        <w:rPr>
          <w:sz w:val="20"/>
          <w:szCs w:val="20"/>
          <w:color w:val="auto"/>
        </w:rPr>
      </w:pPr>
    </w:p>
    <w:p>
      <w:pPr>
        <w:ind w:right="2519" w:firstLine="1264"/>
        <w:spacing w:after="0" w:line="290" w:lineRule="auto"/>
        <w:rPr>
          <w:sz w:val="20"/>
          <w:szCs w:val="20"/>
          <w:color w:val="auto"/>
        </w:rPr>
      </w:pPr>
      <w:r>
        <w:rPr>
          <w:rFonts w:ascii="Courier New" w:cs="Courier New" w:eastAsia="Courier New" w:hAnsi="Courier New"/>
          <w:sz w:val="16"/>
          <w:szCs w:val="16"/>
          <w:color w:val="auto"/>
        </w:rPr>
        <w:t>The Company hereby appoints Smith Barney Inc. and J.P. Morgan Securities Inc. and National Westminster Bank Plc, New York Branch</w:t>
      </w:r>
    </w:p>
    <w:p>
      <w:pPr>
        <w:spacing w:after="0" w:line="34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(individually, an "Agent" and collectively, the "Agents") as its exclusive agents, subject to Section 12, for the purpose of soliciting and receiving offers to purchase Notes from the Company by others and, on the basis of the representations and warranties herein contained, but subject to the terms and conditions herein set forth, each Agent agrees to use reasonable efforts to solicit and receive offers to purchase Notes upon terms acceptable to the Company at such times and in such amounts as the Company shall from time to time specify. In addition, any Agent may also purchase Notes as principal and, if requested by such Agent, the Company will enter into a Terms Agreement relating to such sale (a "Terms Agreement") in accordance with the provisions of Section 2(b) hereof.</w:t>
      </w:r>
    </w:p>
    <w:p>
      <w:pPr>
        <w:spacing w:after="0" w:line="216"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a registration statement on Form S-3, including a prospectus, relating to the Notes. Such registration statement, including the exhibits thereto, as amended at the Commencement Date (as hereinafter defined), is hereinafter referred to as the "Registration Statement." The Company proposes to file with the Commission from time to time, pursuant to Rule 424 under the Securities Act of 1933, as amended (the "Securities Act"), supplements to the prospectus included in the Registration Statement that will describe certain terms of the Notes. The prospectus in the form in which it appears in the Registration Statement is hereinafter referred to as the "Basic Prospectus." The term "Prospectus" means the Basic Prospectus together with the prospectus supplement or supplements (each a "Prospectus Supplement") specifically relating to Notes, as filed with, or transmitted for filing to, the Commission pursuant to Rule 424 under the Securities Act. As used herein, the terms "Basic Prospectus" and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Basic Prospectus by the Company with the Commission pursuant to the Securities Exchange Act of 1934, as amended (the "Exchange Act").</w:t>
      </w:r>
    </w:p>
    <w:p>
      <w:pPr>
        <w:sectPr>
          <w:pgSz w:w="11900" w:h="16838" w:orient="portrait"/>
          <w:cols w:equalWidth="0" w:num="1">
            <w:col w:w="10219"/>
          </w:cols>
          <w:pgMar w:left="240" w:top="136" w:right="1440" w:bottom="0" w:gutter="0" w:footer="0" w:header="0"/>
        </w:sectPr>
      </w:pPr>
    </w:p>
    <w:bookmarkStart w:id="34" w:name="page35"/>
    <w:bookmarkEnd w:id="34"/>
    <w:p>
      <w:pPr>
        <w:ind w:left="-1200" w:right="1999" w:firstLine="1272"/>
        <w:spacing w:after="0" w:line="237" w:lineRule="auto"/>
        <w:tabs>
          <w:tab w:leader="none" w:pos="59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Company represents and warrants to and agrees with each Agent as of the Commencement Date, as of each date on which an Agent solicits offers to purchase Notes, as of each date on which the Company accepts an offer to purchase Notes (including any purchase by an Agent as principal, pursuant to a Terms Agreement or otherwise), as of each date the Company issues and delivers Notes and as of each date the Registration Statement or the Basic Prospectus is amended or supplemented, as follows (it being understood that such representations, warranties and agreements shall be deemed to relate to the Registration Statement, the Basic Prospectus and the Prospectus, each as amended or supplemented to each such date):</w:t>
      </w:r>
    </w:p>
    <w:p>
      <w:pPr>
        <w:spacing w:after="0" w:line="216" w:lineRule="exact"/>
        <w:rPr>
          <w:sz w:val="20"/>
          <w:szCs w:val="20"/>
          <w:color w:val="auto"/>
        </w:rPr>
      </w:pPr>
    </w:p>
    <w:p>
      <w:pPr>
        <w:ind w:left="-1200" w:right="1999" w:firstLine="1272"/>
        <w:spacing w:after="0" w:line="237" w:lineRule="auto"/>
        <w:tabs>
          <w:tab w:leader="none" w:pos="59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207" w:lineRule="exact"/>
        <w:rPr>
          <w:rFonts w:ascii="Courier New" w:cs="Courier New" w:eastAsia="Courier New" w:hAnsi="Courier New"/>
          <w:sz w:val="18"/>
          <w:szCs w:val="18"/>
          <w:color w:val="auto"/>
        </w:rPr>
      </w:pPr>
    </w:p>
    <w:p>
      <w:pPr>
        <w:ind w:left="-1200" w:right="1999" w:firstLine="1272"/>
        <w:spacing w:after="0" w:line="270" w:lineRule="auto"/>
        <w:tabs>
          <w:tab w:leader="none" w:pos="59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Each document, if any, filed or to be filed pursuant to the Exchange Act and incorporated by reference in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w:t>
      </w:r>
    </w:p>
    <w:p>
      <w:pPr>
        <w:sectPr>
          <w:pgSz w:w="11900" w:h="16838" w:orient="portrait"/>
          <w:cols w:equalWidth="0" w:num="1">
            <w:col w:w="9019"/>
          </w:cols>
          <w:pgMar w:left="1440" w:top="344" w:right="1440" w:bottom="1440" w:gutter="0" w:footer="0" w:header="0"/>
        </w:sectPr>
      </w:pPr>
    </w:p>
    <w:bookmarkStart w:id="35" w:name="page36"/>
    <w:bookmarkEnd w:id="35"/>
    <w:p>
      <w:pPr>
        <w:ind w:right="1999"/>
        <w:spacing w:after="0" w:line="269" w:lineRule="auto"/>
        <w:rPr>
          <w:sz w:val="20"/>
          <w:szCs w:val="20"/>
          <w:color w:val="auto"/>
        </w:rPr>
      </w:pPr>
      <w:r>
        <w:rPr>
          <w:rFonts w:ascii="Courier New" w:cs="Courier New" w:eastAsia="Courier New" w:hAnsi="Courier New"/>
          <w:sz w:val="16"/>
          <w:szCs w:val="16"/>
          <w:color w:val="auto"/>
        </w:rPr>
        <w:t>in all material respects with the Securities Act and the applicable rules and regulations of the Commission thereunder and (iv) the Prospectus does not contain and, as amended or supplemented, if applicable, will not contain any untrue statement of a material fact or omit to state a material fact necessary to make the statements therein, in light of the circumstances under which they were made, not misleading, except that (1) the representations and warranties set forth in this Section 1(b) do not apply (A) to statements or omissions in the Registration Statement or the Prospectus based upon information relating to an Agent furnished to the Company in writing by such Agent expressly for use therein or (B) to that part of the Registration Statement that constitutes the Statement of Eligibility and Qualification (Form T-1) under the Trust Indenture Act of 1939, as amended (the "Trust Indenture Act"), of the Trustee and (2) the representations and warranties set forth in clauses (iii) and (iv) above, when made as of the Commencement Date or as of any date on which an Agent solicits offers to purchase Notes or on which the Company accepts an offer to purchase Notes, shall be deemed not to cover information concerning an offering of particular Notes to the extent such information will be set forth in a supplement to the Basic Prospectus.</w:t>
      </w:r>
    </w:p>
    <w:p>
      <w:pPr>
        <w:spacing w:after="0" w:line="395" w:lineRule="exact"/>
        <w:rPr>
          <w:sz w:val="20"/>
          <w:szCs w:val="20"/>
          <w:color w:val="auto"/>
        </w:rPr>
      </w:pPr>
    </w:p>
    <w:p>
      <w:pPr>
        <w:ind w:right="1999" w:firstLine="1272"/>
        <w:spacing w:after="0" w:line="237" w:lineRule="auto"/>
        <w:tabs>
          <w:tab w:leader="none" w:pos="179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213" w:lineRule="exact"/>
        <w:rPr>
          <w:rFonts w:ascii="Courier New" w:cs="Courier New" w:eastAsia="Courier New" w:hAnsi="Courier New"/>
          <w:sz w:val="18"/>
          <w:szCs w:val="18"/>
          <w:color w:val="auto"/>
        </w:rPr>
      </w:pPr>
    </w:p>
    <w:p>
      <w:pPr>
        <w:ind w:right="1999" w:firstLine="1272"/>
        <w:spacing w:after="0" w:line="271" w:lineRule="auto"/>
        <w:tabs>
          <w:tab w:leader="none" w:pos="179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subsidiary of the Company has been duly incorporated, is validly existing as a corporation in good standing under the laws of the jurisdiction of its incorporation,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3" w:lineRule="exact"/>
        <w:rPr>
          <w:rFonts w:ascii="Courier New" w:cs="Courier New" w:eastAsia="Courier New" w:hAnsi="Courier New"/>
          <w:sz w:val="16"/>
          <w:szCs w:val="16"/>
          <w:color w:val="auto"/>
        </w:rPr>
      </w:pPr>
    </w:p>
    <w:p>
      <w:pPr>
        <w:ind w:right="1999" w:firstLine="1272"/>
        <w:spacing w:after="0" w:line="235" w:lineRule="auto"/>
        <w:tabs>
          <w:tab w:leader="none" w:pos="179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this Agreement and any applicable Terms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right="2099" w:firstLine="1272"/>
        <w:spacing w:after="0" w:line="271" w:lineRule="auto"/>
        <w:tabs>
          <w:tab w:leader="none" w:pos="179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 Trust Indenture Act and has been duly authorized, executed and delivered by the Company and is a valid and binding agreement of the Company, enforceable in accordance with its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187" w:lineRule="exact"/>
        <w:rPr>
          <w:rFonts w:ascii="Courier New" w:cs="Courier New" w:eastAsia="Courier New" w:hAnsi="Courier New"/>
          <w:sz w:val="16"/>
          <w:szCs w:val="16"/>
          <w:color w:val="auto"/>
        </w:rPr>
      </w:pPr>
    </w:p>
    <w:p>
      <w:pPr>
        <w:ind w:right="1999" w:firstLine="1272"/>
        <w:spacing w:after="0" w:line="237" w:lineRule="auto"/>
        <w:tabs>
          <w:tab w:leader="none" w:pos="179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have been duly authorized and, when executed and authenticated in accordance with the Indenture and delivered to and duly paid for by the purchasers thereof, will be entitled to the benefits of the Indenture and will be valid and binding obligations of the Company, enforceable in accordance with their respective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ectPr>
          <w:pgSz w:w="11900" w:h="16838" w:orient="portrait"/>
          <w:cols w:equalWidth="0" w:num="1">
            <w:col w:w="10219"/>
          </w:cols>
          <w:pgMar w:left="240" w:top="520" w:right="1440" w:bottom="1440" w:gutter="0" w:footer="0" w:header="0"/>
        </w:sectPr>
      </w:pPr>
    </w:p>
    <w:bookmarkStart w:id="36" w:name="page37"/>
    <w:bookmarkEnd w:id="36"/>
    <w:p>
      <w:pPr>
        <w:ind w:left="-1061" w:right="1999" w:firstLine="1061"/>
        <w:spacing w:after="0" w:line="237" w:lineRule="auto"/>
        <w:tabs>
          <w:tab w:leader="none" w:pos="51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legal or governmental proceedings pending or threatened to which the Company or any of its subsidiaries is a party or to which any of the properties of the Company or any of its subsidiaries is subject that are required to be described in the Registration Statement or the Prospectus and are not so described or any statutes, regulations, contracts or other documents that are required to be described in the Registration Statement or the Prospectus or to be filed as exhibits to the Registration Statement that are not described or filed as required.</w:t>
      </w:r>
    </w:p>
    <w:p>
      <w:pPr>
        <w:spacing w:after="0" w:line="212" w:lineRule="exact"/>
        <w:rPr>
          <w:rFonts w:ascii="Courier New" w:cs="Courier New" w:eastAsia="Courier New" w:hAnsi="Courier New"/>
          <w:sz w:val="18"/>
          <w:szCs w:val="18"/>
          <w:color w:val="auto"/>
        </w:rPr>
      </w:pPr>
    </w:p>
    <w:p>
      <w:pPr>
        <w:ind w:left="-1061" w:right="2519" w:firstLine="1272"/>
        <w:spacing w:after="0" w:line="236" w:lineRule="auto"/>
        <w:tabs>
          <w:tab w:leader="none" w:pos="72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or an entity "controlled" by an "investment company," as such terms are defined in the Investment Company Act of 1940, as amended.</w:t>
      </w:r>
    </w:p>
    <w:p>
      <w:pPr>
        <w:spacing w:after="0" w:line="208" w:lineRule="exact"/>
        <w:rPr>
          <w:rFonts w:ascii="Courier New" w:cs="Courier New" w:eastAsia="Courier New" w:hAnsi="Courier New"/>
          <w:sz w:val="18"/>
          <w:szCs w:val="18"/>
          <w:color w:val="auto"/>
        </w:rPr>
      </w:pPr>
    </w:p>
    <w:p>
      <w:pPr>
        <w:ind w:left="-1061" w:right="1999" w:firstLine="1272"/>
        <w:spacing w:after="0" w:line="279" w:lineRule="auto"/>
        <w:tabs>
          <w:tab w:leader="none" w:pos="729"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accountants who certified the financial statements included or incorporated by reference in the Prospectus are independent public accountants as required by the Securities Act and the regulations thereunder.</w:t>
      </w:r>
    </w:p>
    <w:p>
      <w:pPr>
        <w:spacing w:after="0" w:line="178" w:lineRule="exact"/>
        <w:rPr>
          <w:rFonts w:ascii="Courier New" w:cs="Courier New" w:eastAsia="Courier New" w:hAnsi="Courier New"/>
          <w:sz w:val="16"/>
          <w:szCs w:val="16"/>
          <w:color w:val="auto"/>
        </w:rPr>
      </w:pPr>
    </w:p>
    <w:p>
      <w:pPr>
        <w:ind w:left="-1061" w:right="1999" w:firstLine="1272"/>
        <w:spacing w:after="0" w:line="237" w:lineRule="auto"/>
        <w:tabs>
          <w:tab w:leader="none" w:pos="72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financial statements of the Company and its subsidiaries included or incorporated by reference in the Prospectus present fairly the financial position of the Company and its subsidiaries as at the dates indicated and the results of their operations for the periods specified; except as stated therein, said financial statements have been prepared in conformity with generally accepted accounting principles applied on a consistent basis throughout the period or periods involved.</w:t>
      </w:r>
    </w:p>
    <w:p>
      <w:pPr>
        <w:spacing w:after="0" w:line="211" w:lineRule="exact"/>
        <w:rPr>
          <w:rFonts w:ascii="Courier New" w:cs="Courier New" w:eastAsia="Courier New" w:hAnsi="Courier New"/>
          <w:sz w:val="18"/>
          <w:szCs w:val="18"/>
          <w:color w:val="auto"/>
        </w:rPr>
      </w:pPr>
    </w:p>
    <w:p>
      <w:pPr>
        <w:ind w:left="-1061" w:right="1999" w:firstLine="1272"/>
        <w:spacing w:after="0" w:line="237" w:lineRule="auto"/>
        <w:tabs>
          <w:tab w:leader="none" w:pos="72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respective dates as of which information is given in the Registration Statement and the Prospectus, except as otherwise stated therein or contemplated thereby, there has been no material adverse change, or any development involving a prospective material adverse change, in the condition, financial or otherwise, of the Company and its subsidiaries considered as one enterprise or in the earnings, business affairs or business prospects of the Company and its subsidiaries considered as one enterprise, whether or not arising in the ordinary course of business.</w:t>
      </w:r>
    </w:p>
    <w:p>
      <w:pPr>
        <w:spacing w:after="0" w:line="212" w:lineRule="exact"/>
        <w:rPr>
          <w:rFonts w:ascii="Courier New" w:cs="Courier New" w:eastAsia="Courier New" w:hAnsi="Courier New"/>
          <w:sz w:val="18"/>
          <w:szCs w:val="18"/>
          <w:color w:val="auto"/>
        </w:rPr>
      </w:pPr>
    </w:p>
    <w:p>
      <w:pPr>
        <w:ind w:left="-1061" w:right="1999" w:firstLine="1272"/>
        <w:spacing w:after="0" w:line="269" w:lineRule="auto"/>
        <w:tabs>
          <w:tab w:leader="none" w:pos="729"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in violation of its charter or in default in the performance or observance of any obligation, agreement, covenant or condition contained in any contract, indenture, mortgage, loan agreement, note, lease or other instrument to which it is a party or by which it or any of its properties may be bound, which default would have a material adverse effect on the Company and its subsidiaries, taken as a whole; and the execution and delivery of this Agreement, the Indenture and each applicable Terms Agreement, if any, and the consummation of the transactions contemplated herein and therein have been duly authorized by all necessary corporate action and will not conflict with or constitute a breach of, or default under, or result in the creation or imposition of any lien, charge or encumbrance upon any property or assets of the Company pursuant to any contract, indenture, mortgage, loan agreement, note, lease or other instrument to which the Company is a party or by which it may be bound or to which any of the property or assets of the Company is subject, nor will such action result in any violation of the provisions of the charter or by-laws of the Company or, to the best of its knowledge, any law, administrative regulation or administrative or court order or decree; and no consent, approval, authorization, order or decree or any court or governmental agency or body is required for the consummation by the Company of the transactions contemplated by this Agreement, except such as may be required under the Securities Act, the Trust Indenture Act or state securities or Blue Sky laws.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061" w:right="2319" w:firstLine="1272"/>
        <w:spacing w:after="0" w:line="290" w:lineRule="auto"/>
        <w:tabs>
          <w:tab w:leader="none" w:pos="729"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owns or possesses or has obtained all material governmental licenses, permits, consents, orders, approvals and other</w:t>
      </w:r>
    </w:p>
    <w:p>
      <w:pPr>
        <w:sectPr>
          <w:pgSz w:w="11900" w:h="16838" w:orient="portrait"/>
          <w:cols w:equalWidth="0" w:num="1">
            <w:col w:w="9158"/>
          </w:cols>
          <w:pgMar w:left="1301" w:top="723" w:right="1440" w:bottom="1440" w:gutter="0" w:footer="0" w:header="0"/>
        </w:sectPr>
      </w:pPr>
    </w:p>
    <w:bookmarkStart w:id="37" w:name="page38"/>
    <w:bookmarkEnd w:id="37"/>
    <w:p>
      <w:pPr>
        <w:ind w:right="2199"/>
        <w:spacing w:after="0" w:line="290" w:lineRule="auto"/>
        <w:rPr>
          <w:sz w:val="20"/>
          <w:szCs w:val="20"/>
          <w:color w:val="auto"/>
        </w:rPr>
      </w:pPr>
      <w:r>
        <w:rPr>
          <w:rFonts w:ascii="Courier New" w:cs="Courier New" w:eastAsia="Courier New" w:hAnsi="Courier New"/>
          <w:sz w:val="16"/>
          <w:szCs w:val="16"/>
          <w:color w:val="auto"/>
        </w:rPr>
        <w:t>authorizations necessary to lease or own, as the case may be, and to operate its properties and to carry on its business as presently conducted.</w:t>
      </w:r>
    </w:p>
    <w:p>
      <w:pPr>
        <w:spacing w:after="0" w:line="17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Any certificate signed by any officer of the Company and delivered to the Agents or to counsel for the Agents in connection with an offering of Notes shall be deemed a representation and warranty by the Company to the Agents as to the matters covered thereby.</w:t>
      </w:r>
    </w:p>
    <w:p>
      <w:pPr>
        <w:spacing w:after="0" w:line="202" w:lineRule="exact"/>
        <w:rPr>
          <w:sz w:val="20"/>
          <w:szCs w:val="20"/>
          <w:color w:val="auto"/>
        </w:rPr>
      </w:pPr>
    </w:p>
    <w:p>
      <w:pPr>
        <w:ind w:left="1800" w:hanging="528"/>
        <w:spacing w:after="0"/>
        <w:tabs>
          <w:tab w:leader="none" w:pos="18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Solicitations as Agent; Purchases as Principal.</w:t>
      </w:r>
    </w:p>
    <w:p>
      <w:pPr>
        <w:spacing w:after="0" w:line="207" w:lineRule="exact"/>
        <w:rPr>
          <w:sz w:val="20"/>
          <w:szCs w:val="20"/>
          <w:color w:val="auto"/>
        </w:rPr>
      </w:pPr>
    </w:p>
    <w:p>
      <w:pPr>
        <w:ind w:right="2319" w:firstLine="1272"/>
        <w:spacing w:after="0" w:line="237" w:lineRule="auto"/>
        <w:tabs>
          <w:tab w:leader="none" w:pos="179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Solicitations as Agent. In connection with an Agent's actions as agent hereunder, such Agent agrees to use reasonable efforts to solicit offers to purchase Notes upon the terms and conditions set forth in the Prospectus as then amended or supplemented.</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The Company reserves the right, in its sole discretion, to instruct the Agents to suspend at any time, for any period of time or permanently, the solicitation of offers to purchase Notes. Upon receipt of at least one business day's prior notice from the Company, the Agents will forthwith suspend solicitations of offers to purchase Notes from the Company until such time as the Company has advised the Agents that such solicitation may be resumed. While such solicitation is suspended, the Company shall not be required to deliver any certificates, opinions or letters in accordance with Sections 5(a), 5(b) and 5(c); provided, however, that if the Registration Statement or Prospectus is amended or supplemented during the period of suspension (other than by an amendment or supplement providing solely for a change in the interest rates, redemption provisions, amortization schedules or maturities offered on the Notes or for a change the Agents deem to be immaterial), no Agent shall be required to resume soliciting offers to purchase Notes until the Company has delivered such certificates, opinions and letters as such Agent may request.</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Company agrees to pay to each Agent, as consideration for the sale of each Note resulting from a solicitation made or an offer to purchase received by such Agent, a commission in the form of a discount from the purchase price of such Note equal to the percentage set forth below of the purchase price of such Note:</w:t>
      </w: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80" w:type="dxa"/>
            <w:vAlign w:val="bottom"/>
          </w:tcPr>
          <w:p>
            <w:pPr>
              <w:spacing w:after="0"/>
              <w:rPr>
                <w:sz w:val="17"/>
                <w:szCs w:val="17"/>
                <w:color w:val="auto"/>
              </w:rPr>
            </w:pPr>
          </w:p>
        </w:tc>
        <w:tc>
          <w:tcPr>
            <w:tcW w:w="1480" w:type="dxa"/>
            <w:vAlign w:val="bottom"/>
          </w:tcPr>
          <w:p>
            <w:pPr>
              <w:ind w:left="580"/>
              <w:spacing w:after="0"/>
              <w:rPr>
                <w:sz w:val="20"/>
                <w:szCs w:val="20"/>
                <w:color w:val="auto"/>
              </w:rPr>
            </w:pPr>
            <w:r>
              <w:rPr>
                <w:rFonts w:ascii="Courier New" w:cs="Courier New" w:eastAsia="Courier New" w:hAnsi="Courier New"/>
                <w:sz w:val="18"/>
                <w:szCs w:val="18"/>
                <w:color w:val="auto"/>
              </w:rPr>
              <w:t>Term</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Commission Rate</w:t>
            </w:r>
          </w:p>
        </w:tc>
      </w:tr>
      <w:tr>
        <w:trPr>
          <w:trHeight w:val="405"/>
        </w:trPr>
        <w:tc>
          <w:tcPr>
            <w:tcW w:w="4480" w:type="dxa"/>
            <w:vAlign w:val="bottom"/>
            <w:gridSpan w:val="4"/>
          </w:tcPr>
          <w:p>
            <w:pPr>
              <w:spacing w:after="0"/>
              <w:rPr>
                <w:sz w:val="20"/>
                <w:szCs w:val="20"/>
                <w:color w:val="auto"/>
              </w:rPr>
            </w:pPr>
            <w:r>
              <w:rPr>
                <w:rFonts w:ascii="Courier New" w:cs="Courier New" w:eastAsia="Courier New" w:hAnsi="Courier New"/>
                <w:sz w:val="18"/>
                <w:szCs w:val="18"/>
                <w:color w:val="auto"/>
              </w:rPr>
              <w:t>From 9 months to less than 1 year</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From 1 year to less than 18</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From 18 months to less than</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 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From 2 years to less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3</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From 3 years to less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4</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From 4 years to less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5</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From 5 years to less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6</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6</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years to less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7</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7</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years to less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8</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8</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years to less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9</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9</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years to less</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than 10 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From 10 years to less than 15 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From 15 years to less than 20 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From 20 years to and</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including __ years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Each Agent shall communicate to the Company, orally or in writing, each offer to purchase Notes received by such Agent as agent that in its judgment should be considered by the Company. The Company shall have the sole</w:t>
      </w:r>
    </w:p>
    <w:p>
      <w:pPr>
        <w:sectPr>
          <w:pgSz w:w="11900" w:h="16838" w:orient="portrait"/>
          <w:cols w:equalWidth="0" w:num="1">
            <w:col w:w="10219"/>
          </w:cols>
          <w:pgMar w:left="240" w:top="520" w:right="1440" w:bottom="1440" w:gutter="0" w:footer="0" w:header="0"/>
        </w:sectPr>
      </w:pPr>
    </w:p>
    <w:bookmarkStart w:id="38" w:name="page39"/>
    <w:bookmarkEnd w:id="38"/>
    <w:p>
      <w:pPr>
        <w:ind w:right="1879"/>
        <w:spacing w:after="0" w:line="237" w:lineRule="auto"/>
        <w:rPr>
          <w:sz w:val="20"/>
          <w:szCs w:val="20"/>
          <w:color w:val="auto"/>
        </w:rPr>
      </w:pPr>
      <w:r>
        <w:rPr>
          <w:rFonts w:ascii="Courier New" w:cs="Courier New" w:eastAsia="Courier New" w:hAnsi="Courier New"/>
          <w:sz w:val="18"/>
          <w:szCs w:val="18"/>
          <w:color w:val="auto"/>
        </w:rPr>
        <w:t>right to accept offers to purchase Notes and may reject any offer in whole or in part. Each Agent shall have the right to reject any offer to purchase Notes that it considers to be unacceptable, and any such rejection shall not be deemed a breach of its agreements contained herein. The procedural details relating to the issue and delivery of Notes sold by the Agents as agents and the payment therefor shall be as set forth in the Administrative Procedures (as hereinafter defined).</w:t>
      </w:r>
    </w:p>
    <w:p>
      <w:pPr>
        <w:spacing w:after="0" w:line="211" w:lineRule="exact"/>
        <w:rPr>
          <w:sz w:val="20"/>
          <w:szCs w:val="20"/>
          <w:color w:val="auto"/>
        </w:rPr>
      </w:pPr>
    </w:p>
    <w:p>
      <w:pPr>
        <w:ind w:right="1999" w:firstLine="1272"/>
        <w:spacing w:after="0" w:line="237" w:lineRule="auto"/>
        <w:tabs>
          <w:tab w:leader="none" w:pos="179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as Principal. Each sale of Notes to an Agent as principal shall be made in accordance with the terms of this Agreement and, if requested by such Agent, the Company will enter into a Terms Agreement that will provide for the sale of such Notes to and the purchase thereof by such Agent. Each Terms Agreement will be substantially in the form of Exhibit A hereto but may take the form of an exchange of any form of written telecommunication between such Agent and the Company.</w:t>
      </w:r>
    </w:p>
    <w:p>
      <w:pPr>
        <w:spacing w:after="0" w:line="211"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An Agent's commitment to purchase Notes as principal, whether pursuant to a Terms Agreement or otherwise, shall be deemed to have been made on the basis of the representations and warranties of the Company herein contained and shall be subject to the terms and conditions herein set forth. Each agreement by an Agent to purchase Notes as principal (whether or not set forth in a Terms Agreement) shall specify the principal amount of Notes to be purchased by such Agent pursuant thereto, the maturity date of such Notes, the price to be paid to the Company for such Notes, the interest rate and interest rate formula, if any, applicable to such Notes and any other terms of such Notes. Each such agreement shall also specify any requirements for officers' certificates, opinions of counsel and letters from the independent public accountants of the Company pursuant to Section 4 hereof. A Terms Agreement may also specify certain provisions relating to the reoffering of such Notes by such Agent.</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Each Terms Agreement shall specify the time and place of delivery of and payment for such Notes. Unless otherwise specified in a Terms Agreement, the procedural details relating to the issue and delivery of Notes purchased by an Agent as principal and the payment therefor shall be as set forth in the Administrative Procedures. Each date of delivery of and payment for Notes to be purchased by an Agent as principal, whether pursuant to a Terms Agreement or otherwise, is referred to herein as a "Settlement Date."</w:t>
      </w:r>
    </w:p>
    <w:p>
      <w:pPr>
        <w:spacing w:after="0" w:line="211" w:lineRule="exact"/>
        <w:rPr>
          <w:sz w:val="20"/>
          <w:szCs w:val="20"/>
          <w:color w:val="auto"/>
        </w:rPr>
      </w:pPr>
    </w:p>
    <w:p>
      <w:pPr>
        <w:ind w:right="1999" w:firstLine="1272"/>
        <w:spacing w:after="0" w:line="237" w:lineRule="auto"/>
        <w:tabs>
          <w:tab w:leader="none" w:pos="179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Procedures. The Agents and the Company agree to perform the respective duties and obligations specifically provided to be performed in the Medium-Term Notes Administrative Procedures (attached hereto as Exhibit B) (the "Administrative Procedures"), as amended from time to time. The Administrative Procedures may be amended only by written agreement of the Company and the Agents.</w:t>
      </w:r>
    </w:p>
    <w:p>
      <w:pPr>
        <w:spacing w:after="0" w:line="209"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The documents required to be delivered by Section 4 of this Agreement as a condition precedent to the Agents' obligations to begin soliciting offers to purchase Notes as agents of the Company shall be delivered at the office of Cahill Gordon &amp; Reindel, counsel for the Agents, not later than __ p.m., New York time, on the date hereof, or at such other time and/or place as the Agents and the Company may agree upon in writing, but in no event later than the day prior to the earlier of (i) the date on which the Agents begin soliciting offers to purchase Notes and (ii) the first date on which the Company accepts any offer by an Agent to purchase Notes as principal. The date of delivery of such documents is referred to herein as the "Commencement Date."</w:t>
      </w:r>
    </w:p>
    <w:p>
      <w:pPr>
        <w:spacing w:after="0" w:line="215" w:lineRule="exact"/>
        <w:rPr>
          <w:rFonts w:ascii="Courier New" w:cs="Courier New" w:eastAsia="Courier New" w:hAnsi="Courier New"/>
          <w:sz w:val="18"/>
          <w:szCs w:val="18"/>
          <w:color w:val="auto"/>
        </w:rPr>
      </w:pPr>
    </w:p>
    <w:p>
      <w:pPr>
        <w:ind w:right="2519" w:firstLine="1272"/>
        <w:spacing w:after="0" w:line="290" w:lineRule="auto"/>
        <w:tabs>
          <w:tab w:leader="none" w:pos="179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Several. The Company acknowledges that the obligations of the Agents under this Agreement are several and not joint.</w:t>
      </w:r>
    </w:p>
    <w:p>
      <w:pPr>
        <w:sectPr>
          <w:pgSz w:w="11900" w:h="16838" w:orient="portrait"/>
          <w:cols w:equalWidth="0" w:num="1">
            <w:col w:w="10219"/>
          </w:cols>
          <w:pgMar w:left="240" w:top="520" w:right="1440" w:bottom="1440" w:gutter="0" w:footer="0" w:header="0"/>
        </w:sectPr>
      </w:pPr>
    </w:p>
    <w:bookmarkStart w:id="39" w:name="page40"/>
    <w:bookmarkEnd w:id="39"/>
    <w:p>
      <w:pPr>
        <w:ind w:left="600" w:hanging="528"/>
        <w:spacing w:after="0"/>
        <w:tabs>
          <w:tab w:leader="none" w:pos="6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The Company agrees with each Agent that:</w:t>
      </w:r>
    </w:p>
    <w:p>
      <w:pPr>
        <w:spacing w:after="0" w:line="207" w:lineRule="exact"/>
        <w:rPr>
          <w:sz w:val="20"/>
          <w:szCs w:val="20"/>
          <w:color w:val="auto"/>
        </w:rPr>
      </w:pPr>
    </w:p>
    <w:p>
      <w:pPr>
        <w:ind w:left="-1200" w:right="1999" w:firstLine="1272"/>
        <w:spacing w:after="0" w:line="268" w:lineRule="auto"/>
        <w:tabs>
          <w:tab w:leader="none" w:pos="59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offering of the Notes pursuant to this Agreement or any Terms Agreement, the Company will not file any Prospectus Supplement relating to the Notes or any amendment to the Registration Statement unless the Company has previously furnished to the Agents copies thereof for their review and will not file any such proposed supplement or amendment to which the Agents reasonably object; provided, however, that (i) the foregoing requirement shall not apply to any of the Company's periodic filings with the Commission required to be filed pursuant to Section 13(a), 13(c), 14 or 15(d) of the Exchange Act, copies of which filings the Company will cause to be delivered to the Agents promptly after being transmitted for filing with the Commission and (ii) any Prospectus Supplement that merely sets forth the terms or a description of particular Notes shall only be reviewed and approved by the Agent or Agents offering such Notes. Subject to the foregoing sentence, the Company will promptly cause each Prospectus Supplement to be filed with or transmitted for filing to the Commission in accordance with Rule 424(b) under the Securities Act. The Company will promptly advise the Agents (i) of the filing of any amendment or supplement to the Basic Prospectus (except that notice of the filing of an amendment or supplement to the Basic Prospectus that merely sets forth the terms or a description of particular Notes shall only be given to the Agent or Agents offering such Notes), (ii) of the filing and effectiveness of any amendment to the Registration Statement, (iii) of any request by the Commission for any amendment to the Registration Statement or any amendment or supplement to the Basic Prospectus or for any additional information, (iv) of the issuance by the Commission of any stop order suspending the effectiveness of the Registration Statement or the institution or threatening of any proceeding for that purpose and (v) of the receipt by the Company of any notification with respect to the suspension of the qualification of the Notes for sale in any jurisdiction or the initiation or threatening of any proceeding for such purpose. The Company will use its best efforts to prevent the issuance of any such stop order or notice of suspension of qualification and, if issued, to obtain as soon as possible the withdrawal thereof. If the Basic Prospectus is amended or supplemented as a result of the filing under the Exchange Act of any document incorporated by reference in the Prospectus, no Agent shall be obligated to solicit offers to purchase Notes so long as it is not reasonably satisfied with such document.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1200" w:right="1879" w:firstLine="1272"/>
        <w:spacing w:after="0" w:line="238" w:lineRule="auto"/>
        <w:tabs>
          <w:tab w:leader="none" w:pos="59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when a prospectus relating to the Notes is required to be delivered under the Securities Act, any event occurs or condition exists as a result of which the Prospectus, as then amended or supplemented, would include an untrue statement of a material fact, or omit to state any material fact necessary to make the statements therein, in light of the circumstances when the Prospectus, as then amended or supplemented, is delivered to a purchaser, not misleading, or if, in the opinion of the Agents or in the opinion of the Company, it is necessary at any time to amend or supplement the Prospectus, as then amended or supplemented, to comply with applicable law, the Company will immediately notify the Agents by telephone (with confirmation in writing) to suspend solicitation of offers to purchase Notes and, if so notified by the Company, the Agents shall forthwith suspend such solicitation and cease using the Prospectus, as then amended or supplemented. If the Company shall decide to amend or supplement the Registration Statement or Prospectus, as then amended or supplemented, it shall so advise the Agents promptly by telephone (with confirmation in writing) and, at its expense, shall prepare and cause to be filed promptly with the Commission an amendment or supplement to the Registration Statement or Prospectus, as then amended or supplemented, satisfactory in all respects to the Agents, that will correct such statement or omission or effect such</w:t>
      </w:r>
    </w:p>
    <w:p>
      <w:pPr>
        <w:sectPr>
          <w:pgSz w:w="11900" w:h="16838" w:orient="portrait"/>
          <w:cols w:equalWidth="0" w:num="1">
            <w:col w:w="9019"/>
          </w:cols>
          <w:pgMar w:left="1440" w:top="717" w:right="1440" w:bottom="1440" w:gutter="0" w:footer="0" w:header="0"/>
        </w:sectPr>
      </w:pPr>
    </w:p>
    <w:bookmarkStart w:id="40" w:name="page41"/>
    <w:bookmarkEnd w:id="40"/>
    <w:p>
      <w:pPr>
        <w:ind w:right="1999"/>
        <w:spacing w:after="0" w:line="268" w:lineRule="auto"/>
        <w:rPr>
          <w:sz w:val="20"/>
          <w:szCs w:val="20"/>
          <w:color w:val="auto"/>
        </w:rPr>
      </w:pPr>
      <w:r>
        <w:rPr>
          <w:rFonts w:ascii="Courier New" w:cs="Courier New" w:eastAsia="Courier New" w:hAnsi="Courier New"/>
          <w:sz w:val="16"/>
          <w:szCs w:val="16"/>
          <w:color w:val="auto"/>
        </w:rPr>
        <w:t>compliance and will supply such amended or supplemented Prospectus to the Agents in such quantities as they may reasonably request. If any documents, certificates, opinions and letters furnished to the Agents pursuant to paragraph (f) below and Sections 5(a), 5(b) and 5(c) in connection with the preparation and filing of such amendment or supplement are satisfactory in all respects to the Agents, upon the filing with the Commission of such amendment or supplement to the Prospectus or upon the effectiveness of an amendment to the Registration Statement, the Agents will resume the solicitation of offers to purchase Notes hereunder. Notwithstanding any other provision of this Section 3(b), until the distribution of any Notes an Agent may own as principal has been completed, if any event described above in this paragraph</w:t>
      </w:r>
    </w:p>
    <w:p>
      <w:pPr>
        <w:spacing w:after="0" w:line="2" w:lineRule="exact"/>
        <w:rPr>
          <w:sz w:val="20"/>
          <w:szCs w:val="20"/>
          <w:color w:val="auto"/>
        </w:rPr>
      </w:pPr>
    </w:p>
    <w:p>
      <w:pPr>
        <w:ind w:right="2099" w:firstLine="8"/>
        <w:spacing w:after="0" w:line="237" w:lineRule="auto"/>
        <w:tabs>
          <w:tab w:leader="none" w:pos="42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occurs, the Company will, at its own expense, forthwith prepare and cause to be filed promptly with the Commission an amendment or supplement to the Registration Statement or Prospectus, as then amended or supplemented, satisfactory in all respects to such Agent, will supply such amended or supplemented Prospectus to such Agent in such quantities as it may reasonably request and shall furnish to such Agent pursuant to paragraph (f) below and Sections 5(a), 5(b) and 5(c) such documents, certificates, opinions and letters as it may request in connection with the preparation and filing of such amendment or supplement.</w:t>
      </w:r>
    </w:p>
    <w:p>
      <w:pPr>
        <w:spacing w:after="0" w:line="213" w:lineRule="exact"/>
        <w:rPr>
          <w:rFonts w:ascii="Courier New" w:cs="Courier New" w:eastAsia="Courier New" w:hAnsi="Courier New"/>
          <w:sz w:val="18"/>
          <w:szCs w:val="18"/>
          <w:color w:val="auto"/>
        </w:rPr>
      </w:pPr>
    </w:p>
    <w:p>
      <w:pPr>
        <w:ind w:right="1999" w:firstLine="1272"/>
        <w:spacing w:after="0" w:line="238" w:lineRule="auto"/>
        <w:tabs>
          <w:tab w:leader="none" w:pos="1791"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make generally available to its security holders and to the Agents as soon as practicable earnings statements that satisfy the provisions of Section 11(a) of the Securities Act and the rules and regulations of the Commission thereunder covering twelve month periods beginning, in each case, not later than the first day of the Company's fiscal quarter next following the "effective date" (as defined in Rule 158 under the Securities Act) of the Registration Statement with respect to each sale of Notes. If such fiscal quarter is the last fiscal quarter of the Company's fiscal year, such earnings statement shall be made available not later than 90 days after the close of the period covered thereby and in all other cases shall be made available not later than 45 days after the close of the period covered thereby.</w:t>
      </w:r>
    </w:p>
    <w:p>
      <w:pPr>
        <w:spacing w:after="0" w:line="207" w:lineRule="exact"/>
        <w:rPr>
          <w:rFonts w:ascii="Courier New" w:cs="Courier New" w:eastAsia="Courier New" w:hAnsi="Courier New"/>
          <w:sz w:val="18"/>
          <w:szCs w:val="18"/>
          <w:color w:val="auto"/>
        </w:rPr>
      </w:pPr>
    </w:p>
    <w:p>
      <w:pPr>
        <w:ind w:right="2199" w:firstLine="1272"/>
        <w:spacing w:after="0" w:line="237" w:lineRule="auto"/>
        <w:tabs>
          <w:tab w:leader="none" w:pos="1791"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furnish to each Agent, without charge, a signed copy of the Registration Statement, including exhibits and all amendments thereto, and as many copies of the Prospectus, any documents incorporated by reference therein and any supplements and amendments thereto as such Agent may reasonably request.</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endeavor to qualify the Notes for offer and sale under the securities or Blue Sky laws of such jurisdictions as the Agents shall reasonably request and to maintain such qualifications for as long as the Agents shall reasonably request.</w:t>
      </w:r>
    </w:p>
    <w:p>
      <w:pPr>
        <w:spacing w:after="0" w:line="207" w:lineRule="exact"/>
        <w:rPr>
          <w:rFonts w:ascii="Courier New" w:cs="Courier New" w:eastAsia="Courier New" w:hAnsi="Courier New"/>
          <w:sz w:val="18"/>
          <w:szCs w:val="18"/>
          <w:color w:val="auto"/>
        </w:rPr>
      </w:pPr>
    </w:p>
    <w:p>
      <w:pPr>
        <w:ind w:right="2099" w:firstLine="1272"/>
        <w:spacing w:after="0" w:line="237" w:lineRule="auto"/>
        <w:tabs>
          <w:tab w:leader="none" w:pos="1791"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the Company shall furnish to the Agents such relevant documents and certificates of officers of the Company relating to the business, operations and affairs of the Company, the Registration Statement, the Basic Prospectus, any amendments or supplements thereto, the Indenture, the Notes, this Agreement, the Administrative Procedures, any Terms Agreement and the performance by the Company of its obligations hereunder or thereunder as the Agents may from time to time reasonably request.</w:t>
      </w:r>
    </w:p>
    <w:p>
      <w:pPr>
        <w:spacing w:after="0" w:line="212" w:lineRule="exact"/>
        <w:rPr>
          <w:rFonts w:ascii="Courier New" w:cs="Courier New" w:eastAsia="Courier New" w:hAnsi="Courier New"/>
          <w:sz w:val="18"/>
          <w:szCs w:val="18"/>
          <w:color w:val="auto"/>
        </w:rPr>
      </w:pPr>
    </w:p>
    <w:p>
      <w:pPr>
        <w:ind w:right="1999" w:firstLine="1272"/>
        <w:spacing w:after="0" w:line="272" w:lineRule="auto"/>
        <w:tabs>
          <w:tab w:leader="none" w:pos="1791"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the Company shall notify the Agents promptly in writing of any downgrading, or of its receipt of any notice of any intended or potential downgrading or of any review for possible change that does not indicate the direction of the possible change, in the rating accorded any of the Company's securities by any "nationally recognized statistical rating organization," as such term is defined for purposes of Rule</w:t>
      </w:r>
    </w:p>
    <w:p>
      <w:pPr>
        <w:sectPr>
          <w:pgSz w:w="11900" w:h="16838" w:orient="portrait"/>
          <w:cols w:equalWidth="0" w:num="1">
            <w:col w:w="10219"/>
          </w:cols>
          <w:pgMar w:left="240" w:top="5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436(g)(2) under the Securities Act.</w:t>
      </w:r>
    </w:p>
    <w:p>
      <w:pPr>
        <w:spacing w:after="0" w:line="207" w:lineRule="exact"/>
        <w:rPr>
          <w:sz w:val="20"/>
          <w:szCs w:val="20"/>
          <w:color w:val="auto"/>
        </w:rPr>
      </w:pPr>
    </w:p>
    <w:p>
      <w:pPr>
        <w:ind w:right="1879" w:firstLine="1272"/>
        <w:spacing w:after="0" w:line="269" w:lineRule="auto"/>
        <w:tabs>
          <w:tab w:leader="none" w:pos="179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whether or not any sale of Notes is consummated, pay all expenses incident to the performance of its obligations under this Agreement and any Terms Agreement, including: (i) the preparation and filing of the Registration Statement and the Prospectus and all amendments and supplements thereto, (ii) the preparation, issuance and delivery of the Notes, (iii) the fees and disbursements of the Company's counsel and accountants and of the Trustee and its counsel, (iv) the qualification of the Notes under securities or Blue Sky laws in accordance with the provisions of Section 3(e), including filing fees and the fees and disbursements of counsel for the Agents in connection therewith and in connection with the preparation of any Blue Sky Memoranda, (v) the printing and delivery to the Agents in quantities as hereinabove stated of copies of the Registration Statement and all amendments thereto and of the Basic Prospectus and any amendments or supplements thereto, (vi) the printing and delivery to the Agents of copies of the Indenture and any Blue Sky Memoranda, (vii) any fees charged by rating agencies for the rating of the Notes, (viii) the fees and expenses, if any, incurred with respect to any filing with the National Association of Securities Dealers, Inc., (ix) the fees and disbursements of counsel for the Agents incurred in connection with the offering and sale of the Notes, including any opinions to be rendered by such counsel hereunder, and (x) any out-of-pocket expenses incurred by the Agents; provided that any advertising expenses incurred by the Agents shall have been approved by the Company.</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999" w:firstLine="1272"/>
        <w:spacing w:after="0" w:line="268" w:lineRule="auto"/>
        <w:tabs>
          <w:tab w:leader="none" w:pos="179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Between the date of any agreement by an Agent to purchase Notes as principal and the Settlement Date with respect to such agreement, the Company will not, without such Agent's prior consent, offer, sell, contract to sell or otherwise dispose of any debt securities of the Company substantially similar to such Notes (other than (i) the Notes that are to be sold pursuant to such agreement, (ii) Notes previously agreed to be sold by the Company and</w:t>
      </w:r>
    </w:p>
    <w:p>
      <w:pPr>
        <w:spacing w:after="0" w:line="1" w:lineRule="exact"/>
        <w:rPr>
          <w:rFonts w:ascii="Courier New" w:cs="Courier New" w:eastAsia="Courier New" w:hAnsi="Courier New"/>
          <w:sz w:val="16"/>
          <w:szCs w:val="16"/>
          <w:color w:val="auto"/>
        </w:rPr>
      </w:pPr>
    </w:p>
    <w:p>
      <w:pPr>
        <w:ind w:right="2199" w:firstLine="8"/>
        <w:spacing w:after="0" w:line="235" w:lineRule="auto"/>
        <w:tabs>
          <w:tab w:leader="none" w:pos="63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paper issued in the ordinary course of business), except as may otherwise be provided in such agreement.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during the period when the Prospectus is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required to be delivered under the 1933 Act, will file promptly all documents required to be filed with the Commission pursuant to Sections 13(a), 13(c), 14 or 15(d) of the Exchange Act and will promptly supply copies of those documents to the Agents.</w:t>
      </w:r>
    </w:p>
    <w:p>
      <w:pPr>
        <w:spacing w:after="0" w:line="207" w:lineRule="exact"/>
        <w:rPr>
          <w:sz w:val="20"/>
          <w:szCs w:val="20"/>
          <w:color w:val="auto"/>
        </w:rPr>
      </w:pPr>
    </w:p>
    <w:p>
      <w:pPr>
        <w:ind w:right="1999" w:firstLine="1272"/>
        <w:spacing w:after="0" w:line="238" w:lineRule="auto"/>
        <w:tabs>
          <w:tab w:leader="none" w:pos="168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the Obligations of the Agents. Each Agent's obligation to solicit offers to purchase Notes as agent of the Company, each Agent's obligation to purchase Notes as principal pursuant to any Terms Agreement or otherwise and the obligation of any other purchaser to purchase Notes will be subject to the accuracy of the representations and warranties on the part of the Company herein, to the accuracy of the statements of the Company's officers made in each certificate furnished pursuant to the provisions hereof and to the performance and observance by the Company of all covenants and agreements herein contained on its part to be performed and observed (in the case of an Agent's obligation to solicit offers to purchase Notes, at the time of such solicitation, and, in the case of an Agent's or any other purchaser's obligation to purchase Notes, at the time the Company accepts the offer to purchase such Notes and at the time of purchase) and (in each case) to the following additional conditions precedent when and as specified:</w:t>
      </w:r>
    </w:p>
    <w:p>
      <w:pPr>
        <w:spacing w:after="0" w:line="202" w:lineRule="exact"/>
        <w:rPr>
          <w:sz w:val="20"/>
          <w:szCs w:val="20"/>
          <w:color w:val="auto"/>
        </w:rPr>
      </w:pPr>
    </w:p>
    <w:p>
      <w:pPr>
        <w:ind w:left="1800" w:hanging="528"/>
        <w:spacing w:after="0"/>
        <w:tabs>
          <w:tab w:leader="none" w:pos="18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such solicitation or purchase, as the case may be:</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there shall not have occurred any change, or any development</w:t>
      </w:r>
    </w:p>
    <w:p>
      <w:pPr>
        <w:sectPr>
          <w:pgSz w:w="11900" w:h="16838" w:orient="portrait"/>
          <w:cols w:equalWidth="0" w:num="1">
            <w:col w:w="10219"/>
          </w:cols>
          <w:pgMar w:left="240" w:top="514" w:right="1440" w:bottom="1440" w:gutter="0" w:footer="0" w:header="0"/>
        </w:sectPr>
      </w:pPr>
    </w:p>
    <w:bookmarkStart w:id="42" w:name="page43"/>
    <w:bookmarkEnd w:id="42"/>
    <w:p>
      <w:pPr>
        <w:ind w:right="1999"/>
        <w:spacing w:after="0" w:line="271" w:lineRule="auto"/>
        <w:rPr>
          <w:sz w:val="20"/>
          <w:szCs w:val="20"/>
          <w:color w:val="auto"/>
        </w:rPr>
      </w:pPr>
      <w:r>
        <w:rPr>
          <w:rFonts w:ascii="Courier New" w:cs="Courier New" w:eastAsia="Courier New" w:hAnsi="Courier New"/>
          <w:sz w:val="16"/>
          <w:szCs w:val="16"/>
          <w:color w:val="auto"/>
        </w:rPr>
        <w:t>involving a prospective change, in the condition, financial or otherwise, or in the earnings, business or operations, of the Company and its subsidiaries, taken as a whole, from that set forth in the Prospectus, as amended or supplemented at the time of such solicitation or at the time such offer to purchase was made, that, in the judgment of the relevant Agent, is material and adverse and that makes it, in the judgment of such Agent, impracticable to market the Notes or enforce contracts for the sale of the Notes on the terms and in the manner contemplated by the Prospectus, as so amended or supplemented;</w:t>
      </w:r>
    </w:p>
    <w:p>
      <w:pPr>
        <w:spacing w:after="0" w:line="184" w:lineRule="exact"/>
        <w:rPr>
          <w:sz w:val="20"/>
          <w:szCs w:val="20"/>
          <w:color w:val="auto"/>
        </w:rPr>
      </w:pPr>
    </w:p>
    <w:p>
      <w:pPr>
        <w:ind w:right="1999" w:firstLine="421"/>
        <w:spacing w:after="0" w:line="269" w:lineRule="auto"/>
        <w:tabs>
          <w:tab w:leader="none" w:pos="105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have occurred any (A) suspension or material limitation of trading generally on or by, as the case may be, the New York Stock Exchange, the American Stock Exchange, the Nasdaq National Market, the Chicago Board Options Exchange, the Chicago Mercantile Exchange or the Chicago Board of Trade, or minimum or maximum prices for trading have been fixed, or maximum ranges for prices for securities have been required, by any of said exchanges or by order of the Commission or any other governmental authority, (B) suspension of trading of any securities of the Company on any exchange or in any over-the-counter market, (C) if a banking moratorium in the United States generally or in the City or the State of New York has been declared by either Federal or New York authorities or if a banking moratorium has been declared by the relevant authorities in the country or countries of origin of any foreign currency or currencies underlying the Notes, (D) any outbreak or escalation of hostilities or any change in financial markets or any calamity or crisis that, in the judgment of the relevant Agent, is material and adverse and in the case of any of the events described in clauses (ii)(A) through (D), such event, singly or together with any other such event, makes it, in the judgment of such Agent, impracticable to market the Notes or enforce contracts for the sale of the Notes on the terms and in the manner contemplated by the Prospectus, as amended or supplemented at the time of such solicitation or at the time such offer to purchase was made;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999" w:firstLine="316"/>
        <w:spacing w:after="0" w:line="237" w:lineRule="auto"/>
        <w:tabs>
          <w:tab w:leader="none" w:pos="105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Company's securities by any "nationally recognized statistical rating organization," as such term is defined for purposes of Rule 436(g)(2) under the Securities Act; and</w:t>
      </w:r>
    </w:p>
    <w:p>
      <w:pPr>
        <w:spacing w:after="0" w:line="205" w:lineRule="exact"/>
        <w:rPr>
          <w:rFonts w:ascii="Courier New" w:cs="Courier New" w:eastAsia="Courier New" w:hAnsi="Courier New"/>
          <w:sz w:val="18"/>
          <w:szCs w:val="18"/>
          <w:color w:val="auto"/>
        </w:rPr>
      </w:pPr>
    </w:p>
    <w:p>
      <w:pPr>
        <w:ind w:left="1060" w:hanging="639"/>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have come to the relevant Agent's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attention any facts that would cause the Agent to believe that the Prospectus, at the time it was required to be delivered to a purchaser of Notes, contained an untrue statement of a material fact or omitted to state a material fact necessary in order to make the statements therein, in light of the circumstances existing at the time of such delivery, not misleading.</w:t>
      </w:r>
    </w:p>
    <w:p>
      <w:pPr>
        <w:spacing w:after="0" w:line="210" w:lineRule="exact"/>
        <w:rPr>
          <w:sz w:val="20"/>
          <w:szCs w:val="20"/>
          <w:color w:val="auto"/>
        </w:rPr>
      </w:pPr>
    </w:p>
    <w:p>
      <w:pPr>
        <w:ind w:right="2099" w:firstLine="632"/>
        <w:spacing w:after="0" w:line="279" w:lineRule="auto"/>
        <w:tabs>
          <w:tab w:leader="none" w:pos="115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Commencement Date and, if called for by any agreement by an Agent to purchase Notes as principal, on the corresponding Settlement Date, the relevant Agents shall have received:</w:t>
      </w:r>
    </w:p>
    <w:p>
      <w:pPr>
        <w:spacing w:after="0" w:line="381" w:lineRule="exact"/>
        <w:rPr>
          <w:sz w:val="20"/>
          <w:szCs w:val="20"/>
          <w:color w:val="auto"/>
        </w:rPr>
      </w:pPr>
    </w:p>
    <w:p>
      <w:pPr>
        <w:ind w:right="1999" w:firstLine="632"/>
        <w:spacing w:after="0" w:line="236" w:lineRule="auto"/>
        <w:tabs>
          <w:tab w:leader="none" w:pos="1159"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opinion, dated as of such date, of General Counsel of the Company, in form and substance satisfactory to the Agents and Agents' counsel to the effect that:</w:t>
      </w:r>
    </w:p>
    <w:p>
      <w:pPr>
        <w:sectPr>
          <w:pgSz w:w="11900" w:h="16838" w:orient="portrait"/>
          <w:cols w:equalWidth="0" w:num="1">
            <w:col w:w="9579"/>
          </w:cols>
          <w:pgMar w:left="880" w:top="520" w:right="1440" w:bottom="1440" w:gutter="0" w:footer="0" w:header="0"/>
        </w:sectPr>
      </w:pPr>
    </w:p>
    <w:bookmarkStart w:id="43" w:name="page44"/>
    <w:bookmarkEnd w:id="43"/>
    <w:p>
      <w:pPr>
        <w:ind w:left="700" w:right="1999" w:firstLine="636"/>
        <w:spacing w:after="0" w:line="237" w:lineRule="auto"/>
        <w:tabs>
          <w:tab w:leader="none" w:pos="196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and is validly existing as a corporation in good standing under the laws of the jurisdiction of its incorporation, with corporate power and authority to own its properties and conduct its business as described in the Prospectus as amended or supplemented;</w:t>
      </w:r>
    </w:p>
    <w:p>
      <w:pPr>
        <w:spacing w:after="0" w:line="209" w:lineRule="exact"/>
        <w:rPr>
          <w:rFonts w:ascii="Courier New" w:cs="Courier New" w:eastAsia="Courier New" w:hAnsi="Courier New"/>
          <w:sz w:val="18"/>
          <w:szCs w:val="18"/>
          <w:color w:val="auto"/>
        </w:rPr>
      </w:pPr>
    </w:p>
    <w:p>
      <w:pPr>
        <w:ind w:left="700" w:right="2099" w:firstLine="636"/>
        <w:spacing w:after="0" w:line="237" w:lineRule="auto"/>
        <w:tabs>
          <w:tab w:leader="none" w:pos="196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an authorized capitalization as set forth in the Prospectus as amended or supplemented and all of the issued shares of capital stock of the Company have been duly and validly authorized and issued and are fully paid and non-assessable;</w:t>
      </w:r>
    </w:p>
    <w:p>
      <w:pPr>
        <w:spacing w:after="0" w:line="208" w:lineRule="exact"/>
        <w:rPr>
          <w:rFonts w:ascii="Courier New" w:cs="Courier New" w:eastAsia="Courier New" w:hAnsi="Courier New"/>
          <w:sz w:val="18"/>
          <w:szCs w:val="18"/>
          <w:color w:val="auto"/>
        </w:rPr>
      </w:pPr>
    </w:p>
    <w:p>
      <w:pPr>
        <w:ind w:left="700" w:right="1999" w:firstLine="636"/>
        <w:spacing w:after="0" w:line="237" w:lineRule="auto"/>
        <w:tabs>
          <w:tab w:leader="none" w:pos="196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failure to be so qualified in any such jurisdiction;</w:t>
      </w:r>
    </w:p>
    <w:p>
      <w:pPr>
        <w:spacing w:after="0" w:line="211" w:lineRule="exact"/>
        <w:rPr>
          <w:rFonts w:ascii="Courier New" w:cs="Courier New" w:eastAsia="Courier New" w:hAnsi="Courier New"/>
          <w:sz w:val="18"/>
          <w:szCs w:val="18"/>
          <w:color w:val="auto"/>
        </w:rPr>
      </w:pPr>
    </w:p>
    <w:p>
      <w:pPr>
        <w:ind w:left="700" w:right="1879" w:firstLine="636"/>
        <w:spacing w:after="0" w:line="271" w:lineRule="auto"/>
        <w:tabs>
          <w:tab w:leader="none" w:pos="196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subsidiary of the Company has been duly incorporated and is validly existing as a corporation in good standing under the laws of its jurisdiction of incorporation; and all of the issued shares of capital stock of each such Subsidiary have been duly and validly authorized and issued, are fully paid and non-assessable and (except for directors' qualifying shares and except as otherwise set forth in the Registration Statement and Prospectus are owned directly or indirectly by the Company, free and clear of all liens, encumbrances, equities or claims;</w:t>
      </w:r>
    </w:p>
    <w:p>
      <w:pPr>
        <w:spacing w:after="0" w:line="386" w:lineRule="exact"/>
        <w:rPr>
          <w:rFonts w:ascii="Courier New" w:cs="Courier New" w:eastAsia="Courier New" w:hAnsi="Courier New"/>
          <w:sz w:val="16"/>
          <w:szCs w:val="16"/>
          <w:color w:val="auto"/>
        </w:rPr>
      </w:pPr>
    </w:p>
    <w:p>
      <w:pPr>
        <w:ind w:left="700" w:right="1999" w:firstLine="636"/>
        <w:spacing w:after="0" w:line="270" w:lineRule="auto"/>
        <w:tabs>
          <w:tab w:leader="none" w:pos="196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without independent inquiry, the Company and its subsidiaries have good and marketable title in fee simple to all real property owned by them, in each case free and clear of all liens, encumbrances and defects except such as are described in the Prospectus or such as do not materially affect the business of the Company and its subsidiaries, taken as a whole; and any material real property and buildings held under lease by the Company and its subsidiaries are held by them under valid, subsisting and enforceable leases with such exceptions as do not materially affect the business of the Company and its subsidiaries, taken as a whole;</w:t>
      </w:r>
    </w:p>
    <w:p>
      <w:pPr>
        <w:spacing w:after="0" w:line="180" w:lineRule="exact"/>
        <w:rPr>
          <w:rFonts w:ascii="Courier New" w:cs="Courier New" w:eastAsia="Courier New" w:hAnsi="Courier New"/>
          <w:sz w:val="16"/>
          <w:szCs w:val="16"/>
          <w:color w:val="auto"/>
        </w:rPr>
      </w:pPr>
    </w:p>
    <w:p>
      <w:pPr>
        <w:ind w:left="1960" w:hanging="624"/>
        <w:spacing w:after="0"/>
        <w:tabs>
          <w:tab w:leader="none" w:pos="19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such counsel's knowledge and</w:t>
      </w:r>
    </w:p>
    <w:p>
      <w:pPr>
        <w:ind w:left="700"/>
        <w:spacing w:after="0" w:line="238" w:lineRule="auto"/>
        <w:rPr>
          <w:sz w:val="20"/>
          <w:szCs w:val="20"/>
          <w:color w:val="auto"/>
        </w:rPr>
      </w:pPr>
      <w:r>
        <w:rPr>
          <w:rFonts w:ascii="Courier New" w:cs="Courier New" w:eastAsia="Courier New" w:hAnsi="Courier New"/>
          <w:sz w:val="18"/>
          <w:szCs w:val="18"/>
          <w:color w:val="auto"/>
        </w:rPr>
        <w:t>other than as set forth in the Prospectus, there are no</w:t>
      </w:r>
    </w:p>
    <w:p>
      <w:pPr>
        <w:ind w:left="700"/>
        <w:spacing w:after="0"/>
        <w:rPr>
          <w:sz w:val="20"/>
          <w:szCs w:val="20"/>
          <w:color w:val="auto"/>
        </w:rPr>
      </w:pPr>
      <w:r>
        <w:rPr>
          <w:rFonts w:ascii="Courier New" w:cs="Courier New" w:eastAsia="Courier New" w:hAnsi="Courier New"/>
          <w:sz w:val="18"/>
          <w:szCs w:val="18"/>
          <w:color w:val="auto"/>
        </w:rPr>
        <w:t>legal or governmental proceedings pending to which the</w:t>
      </w:r>
    </w:p>
    <w:p>
      <w:pPr>
        <w:ind w:left="700"/>
        <w:spacing w:after="0" w:line="237" w:lineRule="auto"/>
        <w:rPr>
          <w:sz w:val="20"/>
          <w:szCs w:val="20"/>
          <w:color w:val="auto"/>
        </w:rPr>
      </w:pPr>
      <w:r>
        <w:rPr>
          <w:rFonts w:ascii="Courier New" w:cs="Courier New" w:eastAsia="Courier New" w:hAnsi="Courier New"/>
          <w:sz w:val="18"/>
          <w:szCs w:val="18"/>
          <w:color w:val="auto"/>
        </w:rPr>
        <w:t>Company or any of its subsidiaries is a party or of which</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any property of the Company or any of its subsidiaries is the</w:t>
      </w:r>
    </w:p>
    <w:p>
      <w:pPr>
        <w:spacing w:after="0" w:line="16"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subject which such counsel has reasonable cause to believe</w:t>
      </w:r>
    </w:p>
    <w:p>
      <w:pPr>
        <w:ind w:left="700"/>
        <w:spacing w:after="0" w:line="238" w:lineRule="auto"/>
        <w:rPr>
          <w:sz w:val="20"/>
          <w:szCs w:val="20"/>
          <w:color w:val="auto"/>
        </w:rPr>
      </w:pPr>
      <w:r>
        <w:rPr>
          <w:rFonts w:ascii="Courier New" w:cs="Courier New" w:eastAsia="Courier New" w:hAnsi="Courier New"/>
          <w:sz w:val="18"/>
          <w:szCs w:val="18"/>
          <w:color w:val="auto"/>
        </w:rPr>
        <w:t>could individually or in the aggregate have a material</w:t>
      </w:r>
    </w:p>
    <w:p>
      <w:pPr>
        <w:ind w:left="700"/>
        <w:spacing w:after="0"/>
        <w:rPr>
          <w:sz w:val="20"/>
          <w:szCs w:val="20"/>
          <w:color w:val="auto"/>
        </w:rPr>
      </w:pPr>
      <w:r>
        <w:rPr>
          <w:rFonts w:ascii="Courier New" w:cs="Courier New" w:eastAsia="Courier New" w:hAnsi="Courier New"/>
          <w:sz w:val="18"/>
          <w:szCs w:val="18"/>
          <w:color w:val="auto"/>
        </w:rPr>
        <w:t>adverse effect on the consolidated financial position,</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stockholders' equity or results of operations of the Company</w:t>
      </w:r>
    </w:p>
    <w:p>
      <w:pPr>
        <w:spacing w:after="0" w:line="16"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and its subsidiaries, taken as a whole; and, to the best of</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such counsel's knowledge, no such proceedings are threatened</w:t>
      </w:r>
    </w:p>
    <w:p>
      <w:pPr>
        <w:spacing w:after="0" w:line="2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or contemplated by governmental authorities or threatened by</w:t>
      </w:r>
    </w:p>
    <w:p>
      <w:pPr>
        <w:spacing w:after="0" w:line="16"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others;</w:t>
      </w:r>
    </w:p>
    <w:p>
      <w:pPr>
        <w:spacing w:after="0" w:line="201"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8"/>
          <w:szCs w:val="18"/>
          <w:color w:val="auto"/>
        </w:rPr>
        <w:t>(G)</w:t>
        <w:tab/>
        <w:t>This Agreement and any applicable Terms</w:t>
      </w:r>
    </w:p>
    <w:p>
      <w:pPr>
        <w:sectPr>
          <w:pgSz w:w="11900" w:h="16838" w:orient="portrait"/>
          <w:cols w:equalWidth="0" w:num="1">
            <w:col w:w="9019"/>
          </w:cols>
          <w:pgMar w:left="1440" w:top="520" w:right="1440" w:bottom="1440" w:gutter="0" w:footer="0" w:header="0"/>
        </w:sectPr>
      </w:pPr>
    </w:p>
    <w:bookmarkStart w:id="44" w:name="page45"/>
    <w:bookmarkEnd w:id="44"/>
    <w:p>
      <w:pPr>
        <w:ind w:left="700" w:right="2199"/>
        <w:spacing w:after="0" w:line="235" w:lineRule="auto"/>
        <w:rPr>
          <w:sz w:val="20"/>
          <w:szCs w:val="20"/>
          <w:color w:val="auto"/>
        </w:rPr>
      </w:pPr>
      <w:r>
        <w:rPr>
          <w:rFonts w:ascii="Courier New" w:cs="Courier New" w:eastAsia="Courier New" w:hAnsi="Courier New"/>
          <w:sz w:val="18"/>
          <w:szCs w:val="18"/>
          <w:color w:val="auto"/>
        </w:rPr>
        <w:t>Agreement, if any, have been duly authorized, executed and delivered by the Company;</w:t>
      </w:r>
    </w:p>
    <w:p>
      <w:pPr>
        <w:spacing w:after="0" w:line="208" w:lineRule="exact"/>
        <w:rPr>
          <w:sz w:val="20"/>
          <w:szCs w:val="20"/>
          <w:color w:val="auto"/>
        </w:rPr>
      </w:pPr>
    </w:p>
    <w:p>
      <w:pPr>
        <w:ind w:left="700" w:right="1999" w:firstLine="636"/>
        <w:spacing w:after="0" w:line="237" w:lineRule="auto"/>
        <w:tabs>
          <w:tab w:leader="none" w:pos="1964"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are in due and proper form, as contemplated by the Indenture, have been duly authorized and, when the terms of the Notes have been established in accordance with the Indenture and when such Notes have been duly executed, authenticated, issued and delivered in accordance with the Indenture and the Distribution Agreement by the Company, will constitute valid and binding obligations of the Company entitled to the benefits provided by the Indenture; and the Indenture conforms and the Notes will conform to the descriptions thereof in the Prospectus as amended or supplemented;</w:t>
      </w:r>
    </w:p>
    <w:p>
      <w:pPr>
        <w:spacing w:after="0" w:line="215" w:lineRule="exact"/>
        <w:rPr>
          <w:rFonts w:ascii="Courier New" w:cs="Courier New" w:eastAsia="Courier New" w:hAnsi="Courier New"/>
          <w:sz w:val="18"/>
          <w:szCs w:val="18"/>
          <w:color w:val="auto"/>
        </w:rPr>
      </w:pPr>
    </w:p>
    <w:p>
      <w:pPr>
        <w:ind w:left="700" w:right="1999" w:firstLine="636"/>
        <w:spacing w:after="0" w:line="270" w:lineRule="auto"/>
        <w:tabs>
          <w:tab w:leader="none" w:pos="196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 Trust Indenture Act and has been duly authorized, executed and delivered by the parties thereto and constitutes a valid and binding instrument, enforceable in accordance with its terms, except as (a) the enforceability thereof may be limited by bankruptcy, insolvency, reorganization and other laws of general applicability relating to or affecting creditors' rights generally and (b) rights of acceleration and the availability of equitable remedies may be limited by equitable principles of general applicability;</w:t>
      </w:r>
    </w:p>
    <w:p>
      <w:pPr>
        <w:spacing w:after="0" w:line="189" w:lineRule="exact"/>
        <w:rPr>
          <w:rFonts w:ascii="Courier New" w:cs="Courier New" w:eastAsia="Courier New" w:hAnsi="Courier New"/>
          <w:sz w:val="16"/>
          <w:szCs w:val="16"/>
          <w:color w:val="auto"/>
        </w:rPr>
      </w:pPr>
    </w:p>
    <w:p>
      <w:pPr>
        <w:ind w:left="700" w:right="1999" w:firstLine="636"/>
        <w:spacing w:after="0" w:line="269" w:lineRule="auto"/>
        <w:tabs>
          <w:tab w:leader="none" w:pos="196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Notes, the compliance by the Company with all of the provisions of the Notes, the Indenture, this Agreement and any applicable Terms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known to such counsel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Certificate of Incorporation, as amended, of the Company or the By-Laws of the Company or any statute or any order, rule or regulation known to such counsel of any court or governmental agency or body having jurisdiction over the Company or any of its subsidiaries or any of their properties;</w:t>
      </w:r>
    </w:p>
    <w:p>
      <w:pPr>
        <w:spacing w:after="0" w:line="394" w:lineRule="exact"/>
        <w:rPr>
          <w:rFonts w:ascii="Courier New" w:cs="Courier New" w:eastAsia="Courier New" w:hAnsi="Courier New"/>
          <w:sz w:val="16"/>
          <w:szCs w:val="16"/>
          <w:color w:val="auto"/>
        </w:rPr>
      </w:pPr>
    </w:p>
    <w:p>
      <w:pPr>
        <w:ind w:left="700" w:right="1999" w:firstLine="636"/>
        <w:spacing w:after="0" w:line="270" w:lineRule="auto"/>
        <w:tabs>
          <w:tab w:leader="none" w:pos="196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registration or qualification of or with any court or governmental agency or body is required for the solicitation of offers to purchase Notes, the issue and sale of the Notes or the consummation by the Company of the other transactions contemplated by this Agreement, any applicable Terms Agreement, or the Indenture, except such as have been obtained under the Securities Act and the Trust Indenture Act, and such consents, approvals, authorizations, registrations or qualifications as may be required under state securities or Blue Sky laws in connection with the solicitation by the Agents of offers to purchase Notes from the Company and with purchases of Notes by an Agent as principal, as the case may be, in each case in the manner</w:t>
      </w:r>
    </w:p>
    <w:p>
      <w:pPr>
        <w:sectPr>
          <w:pgSz w:w="11900" w:h="16838" w:orient="portrait"/>
          <w:cols w:equalWidth="0" w:num="1">
            <w:col w:w="9019"/>
          </w:cols>
          <w:pgMar w:left="1440" w:top="520" w:right="1440" w:bottom="1440" w:gutter="0" w:footer="0" w:header="0"/>
        </w:sectPr>
      </w:pPr>
    </w:p>
    <w:bookmarkStart w:id="45" w:name="page46"/>
    <w:bookmarkEnd w:id="45"/>
    <w:p>
      <w:pPr>
        <w:ind w:left="700"/>
        <w:spacing w:after="0"/>
        <w:rPr>
          <w:sz w:val="20"/>
          <w:szCs w:val="20"/>
          <w:color w:val="auto"/>
        </w:rPr>
      </w:pPr>
      <w:r>
        <w:rPr>
          <w:rFonts w:ascii="Courier New" w:cs="Courier New" w:eastAsia="Courier New" w:hAnsi="Courier New"/>
          <w:sz w:val="18"/>
          <w:szCs w:val="18"/>
          <w:color w:val="auto"/>
        </w:rPr>
        <w:t>contemplated by this Agreement;</w:t>
      </w:r>
    </w:p>
    <w:p>
      <w:pPr>
        <w:spacing w:after="0" w:line="207" w:lineRule="exact"/>
        <w:rPr>
          <w:sz w:val="20"/>
          <w:szCs w:val="20"/>
          <w:color w:val="auto"/>
        </w:rPr>
      </w:pPr>
    </w:p>
    <w:p>
      <w:pPr>
        <w:ind w:left="700" w:right="1879" w:firstLine="636"/>
        <w:spacing w:after="0" w:line="269" w:lineRule="auto"/>
        <w:tabs>
          <w:tab w:leader="none" w:pos="19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(other than the financial statements and related schedules and other financial information therein, as to which such counsel need express no opinion), when they became effective or were filed with the Commission, as the case may be, complied as to form in all material respects with the requirements of the Securities Act or the Exchange Act, as applicable, and the rules and regulations of the Commission thereunder; and such counsel has no reason to believe that any of such documents, when they became effective or were so filed,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Securities Act or the Exchange Act with the Commission, an untrue statement of a material fact or omitted to state a material fact necessary in order to make the statements therein, in light of the circumstances under which they were made when such documents were so filed, not misleading;</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left="700" w:right="1999" w:firstLine="636"/>
        <w:spacing w:after="0" w:line="237" w:lineRule="auto"/>
        <w:tabs>
          <w:tab w:leader="none" w:pos="185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in the Registration Statement and Prospectus, under the headings "Description of Debt Securities," "Plan of Distribution," "Description of the Notes" and Underwriting" insofar as they are descriptions or summaries of contracts, agreements or other legal documents, or refer to statements of law or legal conclusions, are accurate and present fairly the information required to be shown; and</w:t>
      </w:r>
    </w:p>
    <w:p>
      <w:pPr>
        <w:spacing w:after="0" w:line="212" w:lineRule="exact"/>
        <w:rPr>
          <w:rFonts w:ascii="Courier New" w:cs="Courier New" w:eastAsia="Courier New" w:hAnsi="Courier New"/>
          <w:sz w:val="18"/>
          <w:szCs w:val="18"/>
          <w:color w:val="auto"/>
        </w:rPr>
      </w:pPr>
    </w:p>
    <w:p>
      <w:pPr>
        <w:ind w:left="700" w:right="1879" w:firstLine="636"/>
        <w:spacing w:after="0" w:line="269" w:lineRule="auto"/>
        <w:tabs>
          <w:tab w:leader="none" w:pos="196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and supplemented and any further amendments and supplements thereto made by the Company prior to the date of such opinion (other than the financial and statistical statements and related schedules and other financial information therein, as to which such counsel need express no opinion) comply as to form in all material respects with the requirements of the Act and the Trust Indenture Act and the rules and regulations thereunder; such counsel has no reason to believe that, as of its effective date, the Registration Statement or any further amendment or supplement thereto made by the Company prior to the date of such opinion (other than the financial statements and related schedules and other financial and statistical information therein, as to which such counsel need express no opinion) contained an untrue statement of a material fact or omitted to state a material fact required to be stated therein or necessary to make the statements therein not misleading or that, as of the date of such opinion, the Prospectus as amended or supplemented or any further amendment or supplement thereto made by the Company prior to the date of such opinion (other than the financial statements and related schedules and other financial and statistical information therein, as to which such counsel need express no opinion) contained an untrue statement of a material fact or omitted to state a material fact necessary to make the</w:t>
      </w:r>
    </w:p>
    <w:p>
      <w:pPr>
        <w:sectPr>
          <w:pgSz w:w="11900" w:h="16838" w:orient="portrait"/>
          <w:cols w:equalWidth="0" w:num="1">
            <w:col w:w="9019"/>
          </w:cols>
          <w:pgMar w:left="1440" w:top="514" w:right="1440" w:bottom="1440" w:gutter="0" w:footer="0" w:header="0"/>
        </w:sectPr>
      </w:pPr>
    </w:p>
    <w:bookmarkStart w:id="46" w:name="page47"/>
    <w:bookmarkEnd w:id="46"/>
    <w:p>
      <w:pPr>
        <w:ind w:left="1900" w:right="1879"/>
        <w:spacing w:after="0" w:line="269" w:lineRule="auto"/>
        <w:rPr>
          <w:sz w:val="20"/>
          <w:szCs w:val="20"/>
          <w:color w:val="auto"/>
        </w:rPr>
      </w:pPr>
      <w:r>
        <w:rPr>
          <w:rFonts w:ascii="Courier New" w:cs="Courier New" w:eastAsia="Courier New" w:hAnsi="Courier New"/>
          <w:sz w:val="16"/>
          <w:szCs w:val="16"/>
          <w:color w:val="auto"/>
        </w:rPr>
        <w:t>statements therein, in light of the circumstances under which they were made, not misleading or that, as of the date of such opinion, either the Registration Statement or the Prospectus as amended or supplemented or any further amendment or supplement thereto made by the Company prior to the date of such opinion (other than the financial statements and related schedules and other financial and statistical information therein, as to which such counsel need express no opinion) contains an untrue statement of a material fact or omits to state a material fact necessary to make the statements therein, in light of the circumstances under which they were made, not misleading; and such counsel does not know of any amendment to the Registration Statement required to be filed or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200" w:lineRule="exact"/>
        <w:rPr>
          <w:sz w:val="20"/>
          <w:szCs w:val="20"/>
          <w:color w:val="auto"/>
        </w:rPr>
      </w:pPr>
    </w:p>
    <w:p>
      <w:pPr>
        <w:spacing w:after="0" w:line="39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In rendering such opinion, such counsel may rely, without independent investigation, upon an opinion or opinions as to laws of any jurisdiction other than the United States or the States of Delaware and Arkansas, provided that (1) each such local counsel is acceptable to the Agents, (2) such reliance is expressly authorized by each opinion so relied upon and a copy of each such opinion so relied upon and a copy of each such opinion is delivered to the Agents and is in form and substance satisfactory to the Agents and their counsel and (3) counsel shall state in their opinion that they believe that they and the Agents are justified in relying thereon. With respect to subparagraph (H) of paragraph (i) above, such counsel may assume that (a) the Securities will conform to the forms attached to the certificate delivered and executed by the Secretary of the Company pursuant to this Agreement or any applicable Terms Agreement and will be completed in accordance with the requirements of the Indenture and the Administrative Procedures and (b) none of the terms of the Securities not contained in the forms examined by such counsel will violate any applicable law or be unenforceable. With respect to subparagraph (N) of paragraph (i) above, such counsel may state that his opinion and belief are based upon his participation and the participation of his staff in the preparation of the Registration Statement and Prospectus and review and discussion of the information furnished therein;</w:t>
      </w:r>
    </w:p>
    <w:p>
      <w:pPr>
        <w:spacing w:after="0" w:line="210" w:lineRule="exact"/>
        <w:rPr>
          <w:sz w:val="20"/>
          <w:szCs w:val="20"/>
          <w:color w:val="auto"/>
        </w:rPr>
      </w:pPr>
    </w:p>
    <w:p>
      <w:pPr>
        <w:ind w:left="640" w:right="2099" w:firstLine="632"/>
        <w:spacing w:after="0" w:line="237" w:lineRule="auto"/>
        <w:tabs>
          <w:tab w:leader="none" w:pos="190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opinion, dated as of such date, of Davis Polk &amp; Wardwell, or other counsel for the Company satisfactory to the Agents, in form and substance satisfactory to the Agents and Agents' counsel to the effect that:</w:t>
      </w:r>
    </w:p>
    <w:p>
      <w:pPr>
        <w:spacing w:after="0" w:line="207" w:lineRule="exact"/>
        <w:rPr>
          <w:rFonts w:ascii="Courier New" w:cs="Courier New" w:eastAsia="Courier New" w:hAnsi="Courier New"/>
          <w:sz w:val="18"/>
          <w:szCs w:val="18"/>
          <w:color w:val="auto"/>
        </w:rPr>
      </w:pPr>
    </w:p>
    <w:p>
      <w:pPr>
        <w:ind w:left="1900" w:right="1999" w:firstLine="636"/>
        <w:spacing w:after="0" w:line="236" w:lineRule="auto"/>
        <w:tabs>
          <w:tab w:leader="none" w:pos="3059"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any applicable Terms Agreement have been duly authorized, executed and delivered by the Company;</w:t>
      </w:r>
    </w:p>
    <w:p>
      <w:pPr>
        <w:spacing w:after="0" w:line="208" w:lineRule="exact"/>
        <w:rPr>
          <w:rFonts w:ascii="Courier New" w:cs="Courier New" w:eastAsia="Courier New" w:hAnsi="Courier New"/>
          <w:sz w:val="18"/>
          <w:szCs w:val="18"/>
          <w:color w:val="auto"/>
        </w:rPr>
      </w:pPr>
    </w:p>
    <w:p>
      <w:pPr>
        <w:ind w:left="1900" w:right="1879" w:firstLine="636"/>
        <w:spacing w:after="0" w:line="272" w:lineRule="auto"/>
        <w:tabs>
          <w:tab w:leader="none" w:pos="3059"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are in due and proper form, as contemplated by the Indenture, have been duly authorized, and, when the terms of the Notes have been established in accordance with the Indenture and when such Notes have been duly executed, authenticated, issued and delivered in accordance with the Indenture and the Distribution Agreement, will constitute valid and binding obligations of the Company entitled to the benefits provided by the Indenture; and the</w:t>
      </w:r>
    </w:p>
    <w:p>
      <w:pPr>
        <w:sectPr>
          <w:pgSz w:w="11900" w:h="16838" w:orient="portrait"/>
          <w:cols w:equalWidth="0" w:num="1">
            <w:col w:w="10219"/>
          </w:cols>
          <w:pgMar w:left="240" w:top="520" w:right="1440" w:bottom="1440" w:gutter="0" w:footer="0" w:header="0"/>
        </w:sectPr>
      </w:pPr>
    </w:p>
    <w:bookmarkStart w:id="47" w:name="page48"/>
    <w:bookmarkEnd w:id="47"/>
    <w:p>
      <w:pPr>
        <w:ind w:left="700" w:right="2419"/>
        <w:spacing w:after="0" w:line="236" w:lineRule="auto"/>
        <w:rPr>
          <w:sz w:val="20"/>
          <w:szCs w:val="20"/>
          <w:color w:val="auto"/>
        </w:rPr>
      </w:pPr>
      <w:r>
        <w:rPr>
          <w:rFonts w:ascii="Courier New" w:cs="Courier New" w:eastAsia="Courier New" w:hAnsi="Courier New"/>
          <w:sz w:val="18"/>
          <w:szCs w:val="18"/>
          <w:color w:val="auto"/>
        </w:rPr>
        <w:t>Indenture conforms and the Form of Notes conforms to the descriptions thereof in the Prospectus as amended or supplemented;</w:t>
      </w:r>
    </w:p>
    <w:p>
      <w:pPr>
        <w:spacing w:after="0" w:line="209" w:lineRule="exact"/>
        <w:rPr>
          <w:sz w:val="20"/>
          <w:szCs w:val="20"/>
          <w:color w:val="auto"/>
        </w:rPr>
      </w:pPr>
    </w:p>
    <w:p>
      <w:pPr>
        <w:ind w:left="700" w:right="1999" w:firstLine="636"/>
        <w:spacing w:after="0" w:line="270" w:lineRule="auto"/>
        <w:tabs>
          <w:tab w:leader="none" w:pos="185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 Trust Indenture Act and has been duly authorized, executed and delivered by the parties thereto and constitutes a valid and binding instrument, enforceable in accordance with its terms, except as (a) the enforceability thereof may be limited by bankruptcy, insolvency, reorganization and other laws of general applicability relating to or affecting creditors' rights generally and (b) rights of acceleration and the availability of equitable remedies may be limited by equitable principles of general applicability;</w:t>
      </w:r>
    </w:p>
    <w:p>
      <w:pPr>
        <w:spacing w:after="0" w:line="189" w:lineRule="exact"/>
        <w:rPr>
          <w:rFonts w:ascii="Courier New" w:cs="Courier New" w:eastAsia="Courier New" w:hAnsi="Courier New"/>
          <w:sz w:val="16"/>
          <w:szCs w:val="16"/>
          <w:color w:val="auto"/>
        </w:rPr>
      </w:pPr>
    </w:p>
    <w:p>
      <w:pPr>
        <w:ind w:left="700" w:right="1999" w:firstLine="636"/>
        <w:spacing w:after="0" w:line="270" w:lineRule="auto"/>
        <w:tabs>
          <w:tab w:leader="none" w:pos="185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registration or qualification of or with any court or governmental agency or body of the United States or the State of New York is required for the solicitation of offers to purchase Notes, the issue and sale of the Notes or the consummation by the Company of the transactions contemplated by this Agreement, and applicable Terms Agreement or the Indenture except such as have been obtained under the Act and the Trust Indenture Act, and such consents, approvals, authorizations, registrations or qualifications as may be required under state securities or Blue Sky laws in connection with the solicitation by the Agents of offers to purchase Notes from the Company and with purchases of Notes by an Agent as principal, as the case may be, in each case in the manner contemplated by this Agreement;</w:t>
      </w:r>
    </w:p>
    <w:p>
      <w:pPr>
        <w:spacing w:after="0" w:line="386" w:lineRule="exact"/>
        <w:rPr>
          <w:rFonts w:ascii="Courier New" w:cs="Courier New" w:eastAsia="Courier New" w:hAnsi="Courier New"/>
          <w:sz w:val="16"/>
          <w:szCs w:val="16"/>
          <w:color w:val="auto"/>
        </w:rPr>
      </w:pPr>
    </w:p>
    <w:p>
      <w:pPr>
        <w:ind w:left="700" w:right="1999" w:firstLine="636"/>
        <w:spacing w:after="0" w:line="271" w:lineRule="auto"/>
        <w:tabs>
          <w:tab w:leader="none" w:pos="185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amended or supplemented (other than the financial statements and related schedules and other financial information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388" w:lineRule="exact"/>
        <w:rPr>
          <w:rFonts w:ascii="Courier New" w:cs="Courier New" w:eastAsia="Courier New" w:hAnsi="Courier New"/>
          <w:sz w:val="16"/>
          <w:szCs w:val="16"/>
          <w:color w:val="auto"/>
        </w:rPr>
      </w:pPr>
    </w:p>
    <w:p>
      <w:pPr>
        <w:ind w:left="700" w:right="1879" w:firstLine="636"/>
        <w:spacing w:after="0" w:line="269" w:lineRule="auto"/>
        <w:tabs>
          <w:tab w:leader="none" w:pos="185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or supplements thereto made by the Company prior to the date of such opinion (other than the financial statements and related schedules and other financial and statistical information therein, as to which such counsel need express no opinion) comply as to form in all material respects with the requirements of the Act and the Trust Indenture Act and the rules and regulations thereunder; such counsel has no reason to believe that, as of its effective date, the Registration Statement or any further amendment thereto made by the Company prior to the date of such opinion (other than the financial statements and related schedules and other financial and statistical information therein, as to which such counsel need express no opinion) contained an untrue statement of a material fact or omitted to state a material fact required to be stated therein or necessary to make the statements therein not misleading or that, as of its date, the Prospectus as amended or supplemented or any further</w:t>
      </w:r>
    </w:p>
    <w:p>
      <w:pPr>
        <w:sectPr>
          <w:pgSz w:w="11900" w:h="16838" w:orient="portrait"/>
          <w:cols w:equalWidth="0" w:num="1">
            <w:col w:w="9019"/>
          </w:cols>
          <w:pgMar w:left="1440" w:top="520" w:right="1440" w:bottom="1440" w:gutter="0" w:footer="0" w:header="0"/>
        </w:sectPr>
      </w:pPr>
    </w:p>
    <w:bookmarkStart w:id="48" w:name="page49"/>
    <w:bookmarkEnd w:id="48"/>
    <w:p>
      <w:pPr>
        <w:ind w:left="1900" w:right="1999"/>
        <w:spacing w:after="0" w:line="269" w:lineRule="auto"/>
        <w:rPr>
          <w:sz w:val="20"/>
          <w:szCs w:val="20"/>
          <w:color w:val="auto"/>
        </w:rPr>
      </w:pPr>
      <w:r>
        <w:rPr>
          <w:rFonts w:ascii="Courier New" w:cs="Courier New" w:eastAsia="Courier New" w:hAnsi="Courier New"/>
          <w:sz w:val="16"/>
          <w:szCs w:val="16"/>
          <w:color w:val="auto"/>
        </w:rPr>
        <w:t>amendment or supplement thereto made by the Company prior to the date of such opinion (other than the finanical statements and related schedules and other financial and statistical information therein, as to which such counsel need express no opinion) contained an untrue statement of a material fact necessary to make the statements therein, in light of the circumstances under which they were made, not misleading or that, as of the date of such opinion, either the Registration Statement or the Prospectus as amended or supplemented or any further amendment or supplement thereto made by the Company prior to the date of such opinion (other than the financial statements and related schedules and other financial and statistical information therein, as to which such counsel need express no opinion) contains an untrue statement of a material fact or omits to state a material fact necessary to make the statements therein, in light of the circumstances under which they were made, not misleading; and such counsel does not know of any amendment to the Registration Statement required to be filed.</w:t>
      </w:r>
    </w:p>
    <w:p>
      <w:pPr>
        <w:spacing w:after="0" w:line="395"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In rendering such opinion, such counsel may state that they express no opinion as to the laws of any jurisdiction other than the United States and the State of New York. With respect to subparagraph (B) of paragraph (ii) above, such counsel may assume that (a) the Notes will conform to the forms attached to the certificate delivered and executed by the Secretary of the Company pursuant to this Agreement or any applicable Terms Agreement and will be completed in accordance with the requirements of the Indenture and the Administrative Procedures and (b) none of the terms of the Notes not contained in the forms examined by such counsel will violate any applicable law or be unenforceable. With respect to subparagraph (F) of paragraph (ii) above, such counsel may state that their opinion and belief are based upon their participation in the preparation of the Registration Statement and Prospectus as amended or supplemented and review and discussion of the information furnished therein, but without independent check or verification thereof, except as specified.</w:t>
      </w:r>
    </w:p>
    <w:p>
      <w:pPr>
        <w:spacing w:after="0" w:line="208" w:lineRule="exact"/>
        <w:rPr>
          <w:sz w:val="20"/>
          <w:szCs w:val="20"/>
          <w:color w:val="auto"/>
        </w:rPr>
      </w:pPr>
    </w:p>
    <w:p>
      <w:pPr>
        <w:ind w:left="640" w:right="2519" w:firstLine="632"/>
        <w:spacing w:after="0" w:line="235" w:lineRule="auto"/>
        <w:tabs>
          <w:tab w:leader="none" w:pos="201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opinion, dated as of such date, of Cahill Gordon &amp; Reindel, counsel for the Agents, to the effect that:</w:t>
      </w:r>
    </w:p>
    <w:p>
      <w:pPr>
        <w:spacing w:after="0" w:line="208" w:lineRule="exact"/>
        <w:rPr>
          <w:rFonts w:ascii="Courier New" w:cs="Courier New" w:eastAsia="Courier New" w:hAnsi="Courier New"/>
          <w:sz w:val="18"/>
          <w:szCs w:val="18"/>
          <w:color w:val="auto"/>
        </w:rPr>
      </w:pPr>
    </w:p>
    <w:p>
      <w:pPr>
        <w:ind w:left="1900" w:right="2099" w:firstLine="636"/>
        <w:spacing w:after="0" w:line="236" w:lineRule="auto"/>
        <w:tabs>
          <w:tab w:leader="none" w:pos="3059"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any applicable Terms Agreement have been duly authorized, executed and delivered by the Company;</w:t>
      </w:r>
    </w:p>
    <w:p>
      <w:pPr>
        <w:spacing w:after="0" w:line="208" w:lineRule="exact"/>
        <w:rPr>
          <w:rFonts w:ascii="Courier New" w:cs="Courier New" w:eastAsia="Courier New" w:hAnsi="Courier New"/>
          <w:sz w:val="18"/>
          <w:szCs w:val="18"/>
          <w:color w:val="auto"/>
        </w:rPr>
      </w:pPr>
    </w:p>
    <w:p>
      <w:pPr>
        <w:ind w:left="1900" w:right="1999" w:firstLine="636"/>
        <w:spacing w:after="0" w:line="237" w:lineRule="auto"/>
        <w:tabs>
          <w:tab w:leader="none" w:pos="3059"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have been duly authorized and, when the terms of the Notes have been established in accordance with the Indenture and when such Notes have been duly executed, authenticated, issued and delivered in accordance with the Indenture and the Distribution Agreement, will constitute valid and binding obligations of the Company entitled to the benefits of the Indenture;</w:t>
      </w:r>
    </w:p>
    <w:p>
      <w:pPr>
        <w:spacing w:after="0" w:line="211" w:lineRule="exact"/>
        <w:rPr>
          <w:rFonts w:ascii="Courier New" w:cs="Courier New" w:eastAsia="Courier New" w:hAnsi="Courier New"/>
          <w:sz w:val="18"/>
          <w:szCs w:val="18"/>
          <w:color w:val="auto"/>
        </w:rPr>
      </w:pPr>
    </w:p>
    <w:p>
      <w:pPr>
        <w:ind w:left="1900" w:right="1999" w:firstLine="636"/>
        <w:spacing w:after="0" w:line="271" w:lineRule="auto"/>
        <w:tabs>
          <w:tab w:leader="none" w:pos="3059"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 Trust Indenture Act and has been duly authorized, executed and delivered by the Company and constitutes a valid and binding agreement of the Company, enforceable in accordance with its terms, except as (a) the enforceability thereof may be limited by bankruptcy, insolvency, fraudulent conveyance, reorganization and other laws of general applicability relating to or affecting creditors' rights generally and (b) rights of acceleration and the availability of equitable</w:t>
      </w:r>
    </w:p>
    <w:p>
      <w:pPr>
        <w:sectPr>
          <w:pgSz w:w="11900" w:h="16838" w:orient="portrait"/>
          <w:cols w:equalWidth="0" w:num="1">
            <w:col w:w="10219"/>
          </w:cols>
          <w:pgMar w:left="240" w:top="520" w:right="1440" w:bottom="1440" w:gutter="0" w:footer="0" w:header="0"/>
        </w:sectPr>
      </w:pPr>
    </w:p>
    <w:bookmarkStart w:id="49" w:name="page50"/>
    <w:bookmarkEnd w:id="49"/>
    <w:p>
      <w:pPr>
        <w:ind w:left="1900" w:right="2199"/>
        <w:spacing w:after="0" w:line="235" w:lineRule="auto"/>
        <w:rPr>
          <w:sz w:val="20"/>
          <w:szCs w:val="20"/>
          <w:color w:val="auto"/>
        </w:rPr>
      </w:pPr>
      <w:r>
        <w:rPr>
          <w:rFonts w:ascii="Courier New" w:cs="Courier New" w:eastAsia="Courier New" w:hAnsi="Courier New"/>
          <w:sz w:val="18"/>
          <w:szCs w:val="18"/>
          <w:color w:val="auto"/>
        </w:rPr>
        <w:t>remedies may be limited by equitable principles of general applicability; and</w:t>
      </w:r>
    </w:p>
    <w:p>
      <w:pPr>
        <w:spacing w:after="0" w:line="208" w:lineRule="exact"/>
        <w:rPr>
          <w:sz w:val="20"/>
          <w:szCs w:val="20"/>
          <w:color w:val="auto"/>
        </w:rPr>
      </w:pPr>
    </w:p>
    <w:p>
      <w:pPr>
        <w:ind w:left="1900" w:right="1999" w:firstLine="636"/>
        <w:spacing w:after="0" w:line="237" w:lineRule="auto"/>
        <w:tabs>
          <w:tab w:leader="none" w:pos="3059"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Prospectus (except for financial statements and schedules and other financial and statistical data included therein as to which such counsel need not express any opinion) comply as to form in all material respects with the Securities Act and the applicable rules and regulations of the Commission thereunder.</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 addition, such counsel has participated in conferences</w:t>
      </w:r>
    </w:p>
    <w:p>
      <w:pPr>
        <w:spacing w:after="0" w:line="4" w:lineRule="exact"/>
        <w:rPr>
          <w:sz w:val="20"/>
          <w:szCs w:val="20"/>
          <w:color w:val="auto"/>
        </w:rPr>
      </w:pPr>
    </w:p>
    <w:p>
      <w:pPr>
        <w:ind w:left="640" w:right="1999"/>
        <w:spacing w:after="0" w:line="269" w:lineRule="auto"/>
        <w:rPr>
          <w:sz w:val="20"/>
          <w:szCs w:val="20"/>
          <w:color w:val="auto"/>
        </w:rPr>
      </w:pPr>
      <w:r>
        <w:rPr>
          <w:rFonts w:ascii="Courier New" w:cs="Courier New" w:eastAsia="Courier New" w:hAnsi="Courier New"/>
          <w:sz w:val="16"/>
          <w:szCs w:val="16"/>
          <w:color w:val="auto"/>
        </w:rPr>
        <w:t>with officers and other representatives of the Company, representatives of the independent public accountants for the Company and representatives of the Agents, at which the contents of the Registration Statement and the Prospectus were discussed and, although such counsel is not passing upon and does not assume any responsibility for the accuracy, completeness or fairness of the statements contained in the Registration Statement or the Prospectus, on the basis of the foregoing (relying as to materiality to a large extent upon the opinions of officers and other representatives of the Company), nothing has come to such counsel's attention that causes them to believe that the Registration Statement at the time such Registration Statement became effective contained an untrue statement of a material fact or omitted to state a material fact required to be stated therein or necessary to make the statements therein not misleading, or that the Prospectus as of its date and as of the date hereof, contained an untrue statement of a material fact or omitted to state a material fact required to be stated therein or necessary to make the statements therein, in the light of the circumstances under which they were made, not misleading (it being understood that such counsel has not been asked to, and does not, comment on the financial statements and schedules and other financial and statistical data included or incorporated by reference in the Registration Statement or the Prospectus or the exhibits to the Registration Statement or the Statement of Eligibility and Qualification on Form T-1 of the Trustee).</w:t>
      </w:r>
    </w:p>
    <w:p>
      <w:pPr>
        <w:spacing w:after="0" w:line="200" w:lineRule="exact"/>
        <w:rPr>
          <w:sz w:val="20"/>
          <w:szCs w:val="20"/>
          <w:color w:val="auto"/>
        </w:rPr>
      </w:pPr>
    </w:p>
    <w:p>
      <w:pPr>
        <w:spacing w:after="0" w:line="395" w:lineRule="exact"/>
        <w:rPr>
          <w:sz w:val="20"/>
          <w:szCs w:val="20"/>
          <w:color w:val="auto"/>
        </w:rPr>
      </w:pPr>
    </w:p>
    <w:p>
      <w:pPr>
        <w:ind w:right="1879" w:firstLine="1272"/>
        <w:spacing w:after="0" w:line="237" w:lineRule="auto"/>
        <w:tabs>
          <w:tab w:leader="none" w:pos="179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Commencement Date and, if called for by any agreement by an Agent to purchase Notes as principal, on the corresponding Settlement Date, the relevant Agents shall have received a certificate, dated such Commencement Date or Settlement Date, as the case may be, signed by an executive officer of the Company to the effect set forth in subparagraph (a)(iii) above and to the effect that the representations and warranties of the Company contained herein are true and correct as of such date and that the Company has complied with all of the agreements and satisfied all of the conditions on its part to be performed or satisfied on or before such date.</w:t>
      </w:r>
    </w:p>
    <w:p>
      <w:pPr>
        <w:spacing w:after="0" w:line="214"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The officer signing and delivering such certificate may rely upon the best of his knowledge as to proceedings threatened.</w:t>
      </w:r>
    </w:p>
    <w:p>
      <w:pPr>
        <w:spacing w:after="0" w:line="208" w:lineRule="exact"/>
        <w:rPr>
          <w:sz w:val="20"/>
          <w:szCs w:val="20"/>
          <w:color w:val="auto"/>
        </w:rPr>
      </w:pPr>
    </w:p>
    <w:p>
      <w:pPr>
        <w:ind w:right="1879" w:firstLine="1272"/>
        <w:spacing w:after="0" w:line="271" w:lineRule="auto"/>
        <w:tabs>
          <w:tab w:leader="none" w:pos="179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Commencement Date and, if called for by any agreement by an Agent to purchase Notes as principal, on the corresponding Settlement Date, the Company's independent public accountants shall have furnished to the relevant Agents a letter or letters, dated as of the Commencement Date or such Settlement Date, as the case may be, in form and substance satisfactory to such Agents containing statements and information of the type ordinarily included in accountants' "comfort letters" to underwriters with respect to the financial statements and certain financial information contained in or incorporated by reference into the Prospectus, as then amended or supplemented.</w:t>
      </w:r>
    </w:p>
    <w:p>
      <w:pPr>
        <w:sectPr>
          <w:pgSz w:w="11900" w:h="16838" w:orient="portrait"/>
          <w:cols w:equalWidth="0" w:num="1">
            <w:col w:w="10219"/>
          </w:cols>
          <w:pgMar w:left="240" w:top="520" w:right="1440" w:bottom="1440" w:gutter="0" w:footer="0" w:header="0"/>
        </w:sectPr>
      </w:pPr>
    </w:p>
    <w:bookmarkStart w:id="50" w:name="page51"/>
    <w:bookmarkEnd w:id="50"/>
    <w:p>
      <w:pPr>
        <w:ind w:left="-8" w:right="2199" w:firstLine="1272"/>
        <w:spacing w:after="0" w:line="279" w:lineRule="auto"/>
        <w:tabs>
          <w:tab w:leader="none" w:pos="178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Commencement Date and on each Settlement Date, the Company shall have furnished to the relevant Agents such appropriate further information, certificates and documents as they may reasonably request.</w:t>
      </w:r>
    </w:p>
    <w:p>
      <w:pPr>
        <w:spacing w:after="0" w:line="178" w:lineRule="exact"/>
        <w:rPr>
          <w:sz w:val="20"/>
          <w:szCs w:val="20"/>
          <w:color w:val="auto"/>
        </w:rPr>
      </w:pPr>
    </w:p>
    <w:p>
      <w:pPr>
        <w:ind w:left="-8" w:right="1999" w:firstLine="1272"/>
        <w:spacing w:after="0" w:line="237" w:lineRule="auto"/>
        <w:tabs>
          <w:tab w:leader="none" w:pos="178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Agreements of the Company. (a) Each time the Registration Statement or Prospectus is amended or supplemented (other than by an amendment or supplement providing solely for a change in the interest rates, redemption provisions, amortization schedules or maturities offered on the Notes or for a change the Agents deem to be immaterial), the Company will deliver or cause to be delivered forthwith to each Agent a certificate signed by an executive officer of the Company, dated the date of such amendment or supplement, as the case may be, in form reasonably satisfactory to the Agents, of the same tenor as the certificate referred to in Section 4(c) relating to the Registration Statement or the Prospectus as amended or supplemented to the time of delivery of such certificate.</w:t>
      </w:r>
    </w:p>
    <w:p>
      <w:pPr>
        <w:spacing w:after="0" w:line="216" w:lineRule="exact"/>
        <w:rPr>
          <w:sz w:val="20"/>
          <w:szCs w:val="20"/>
          <w:color w:val="auto"/>
        </w:rPr>
      </w:pPr>
    </w:p>
    <w:p>
      <w:pPr>
        <w:ind w:left="-8" w:right="1999" w:firstLine="1272"/>
        <w:spacing w:after="0" w:line="238" w:lineRule="auto"/>
        <w:tabs>
          <w:tab w:leader="none" w:pos="1783"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time the Company furnishes a certificate pursuant to Section 5(a), the Company will furnish or cause to be furnished forthwith to each Agent a written opinion of independent counsel for the Company. Any such opinion shall be dated the date of such amendment or supplement, as the case may be, shall be in a form satisfactory to the Agents and shall be of the same tenor as the opinion referred to in Section 4(b)(i), but modified to relate to the Registration Statement and the Prospectus as amended and supplemented to the time of delivery of such opinion. In lieu of such opinion, counsel last furnishing such an opinion to an Agent may furnish to each Agent a letter to the effect that such Agent may rely on such last opinion to the same extent as though it were dated the date of such letter (except that statements in such last opinion will be deemed to relate to the Registration Statement and the Prospectus as amended or supplemented to the time of delivery of such letter.)</w:t>
      </w:r>
    </w:p>
    <w:p>
      <w:pPr>
        <w:spacing w:after="0" w:line="207" w:lineRule="exact"/>
        <w:rPr>
          <w:rFonts w:ascii="Courier New" w:cs="Courier New" w:eastAsia="Courier New" w:hAnsi="Courier New"/>
          <w:sz w:val="18"/>
          <w:szCs w:val="18"/>
          <w:color w:val="auto"/>
        </w:rPr>
      </w:pPr>
    </w:p>
    <w:p>
      <w:pPr>
        <w:ind w:left="-8" w:right="2099" w:firstLine="1272"/>
        <w:spacing w:after="0" w:line="268" w:lineRule="auto"/>
        <w:tabs>
          <w:tab w:leader="none" w:pos="1888"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cause its independent public accountants to furnish the Agents a letter, dated the date of delivery of such letter, in form and substance satisfactory to the Agents, of the type referred to in Section 4(d) hereof at the following times: (i) within 30 days of the Company's filing of its Annual Report on Form 10-K with the Commission; and</w:t>
      </w:r>
    </w:p>
    <w:p>
      <w:pPr>
        <w:ind w:left="-8" w:right="2199" w:firstLine="8"/>
        <w:spacing w:after="0" w:line="235" w:lineRule="auto"/>
        <w:tabs>
          <w:tab w:leader="none" w:pos="51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request of the Agents at any time when the Company is actively soliciting offers to purchase Notes.</w:t>
      </w:r>
    </w:p>
    <w:p>
      <w:pPr>
        <w:spacing w:after="0" w:line="208" w:lineRule="exact"/>
        <w:rPr>
          <w:sz w:val="20"/>
          <w:szCs w:val="20"/>
          <w:color w:val="auto"/>
        </w:rPr>
      </w:pPr>
    </w:p>
    <w:p>
      <w:pPr>
        <w:ind w:left="-8" w:right="1999" w:firstLine="1272"/>
        <w:spacing w:after="0" w:line="269" w:lineRule="auto"/>
        <w:tabs>
          <w:tab w:leader="none" w:pos="178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Contribution. (a) The Company agrees to indemnify and hold harmless each Agent and each person, if any, who controls such Agent within the meaning of either Section 15 of the Securities Act or Section 20 of the Exchange Act (i) from and against any and all losses, claims, damages and liabilities arising out of any untrue statement or alleged untrue statement of a material fact contained in the Registration Statement or in any amendment thereof or the Prospectus (as amended or supplemented if the Company shall have furnished any amendments or supplements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such Agent furnished to the Company in writing by such Agent expressly for use therein, (ii) against any and all loss, liability, claim, damage and expense whatsoever, as incurred, to the extent of the aggregate amount paid in settlement of any litigation, or investigation or proceeding by any governmental agency or body, commenced or threatened, or of any claim whatsoever based upon any such untrue statement or omission, or any such alleged untrue statement or omission if such settlement is effected with the written consent of the Company and (iii) against any and all expense whatsoever, as incurred (including the fees and disbursements of</w:t>
      </w:r>
    </w:p>
    <w:p>
      <w:pPr>
        <w:sectPr>
          <w:pgSz w:w="11900" w:h="16838" w:orient="portrait"/>
          <w:cols w:equalWidth="0" w:num="1">
            <w:col w:w="10211"/>
          </w:cols>
          <w:pgMar w:left="248" w:top="520" w:right="1440" w:bottom="1440" w:gutter="0" w:footer="0" w:header="0"/>
        </w:sectPr>
      </w:pPr>
    </w:p>
    <w:bookmarkStart w:id="51" w:name="page52"/>
    <w:bookmarkEnd w:id="51"/>
    <w:p>
      <w:pPr>
        <w:ind w:right="1999"/>
        <w:spacing w:after="0" w:line="271" w:lineRule="auto"/>
        <w:rPr>
          <w:sz w:val="20"/>
          <w:szCs w:val="20"/>
          <w:color w:val="auto"/>
        </w:rPr>
      </w:pPr>
      <w:r>
        <w:rPr>
          <w:rFonts w:ascii="Courier New" w:cs="Courier New" w:eastAsia="Courier New" w:hAnsi="Courier New"/>
          <w:sz w:val="16"/>
          <w:szCs w:val="16"/>
          <w:color w:val="auto"/>
        </w:rPr>
        <w:t>counsel chosen by the Agents), reasonably incurred in investigating, preparing or defending against any litigation, or investigation or proceeding by any governmental agency or body, commenced or threatened, or any claim whatsoever based upon any such untrue statement or omission, or any such alleged untrue statement or omission (except as made in reliance upon and in conformity with information furnished by the Agents as aforesaid), to the extent that any such expense is not paid under (i) or (ii) above.</w:t>
      </w:r>
    </w:p>
    <w:p>
      <w:pPr>
        <w:spacing w:after="0" w:line="188" w:lineRule="exact"/>
        <w:rPr>
          <w:sz w:val="20"/>
          <w:szCs w:val="20"/>
          <w:color w:val="auto"/>
        </w:rPr>
      </w:pPr>
    </w:p>
    <w:p>
      <w:pPr>
        <w:ind w:right="1999" w:firstLine="1272"/>
        <w:spacing w:after="0" w:line="237" w:lineRule="auto"/>
        <w:tabs>
          <w:tab w:leader="none" w:pos="1791"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Agent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Agent, but only with reference to information relating to such Agent furnished to the Company in writing by such Agent expressly for use in the Registration Statement or the Prospectus or any amendments or supplements thereto.</w:t>
      </w:r>
    </w:p>
    <w:p>
      <w:pPr>
        <w:spacing w:after="0" w:line="213" w:lineRule="exact"/>
        <w:rPr>
          <w:rFonts w:ascii="Courier New" w:cs="Courier New" w:eastAsia="Courier New" w:hAnsi="Courier New"/>
          <w:sz w:val="18"/>
          <w:szCs w:val="18"/>
          <w:color w:val="auto"/>
        </w:rPr>
      </w:pPr>
    </w:p>
    <w:p>
      <w:pPr>
        <w:ind w:right="1999" w:firstLine="1272"/>
        <w:spacing w:after="0" w:line="275" w:lineRule="auto"/>
        <w:tabs>
          <w:tab w:leader="none" w:pos="179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Agent against any documentary stamp or similar issue tax and any related interest or penalties on the issue or sale of the Notes to the Agents which are due in the United States, any state or municipality or any other jurisdiction.</w:t>
      </w:r>
    </w:p>
    <w:p>
      <w:pPr>
        <w:spacing w:after="0" w:line="182" w:lineRule="exact"/>
        <w:rPr>
          <w:rFonts w:ascii="Courier New" w:cs="Courier New" w:eastAsia="Courier New" w:hAnsi="Courier New"/>
          <w:sz w:val="16"/>
          <w:szCs w:val="16"/>
          <w:color w:val="auto"/>
        </w:rPr>
      </w:pPr>
    </w:p>
    <w:p>
      <w:pPr>
        <w:ind w:right="1999" w:firstLine="1272"/>
        <w:spacing w:after="0" w:line="269" w:lineRule="auto"/>
        <w:tabs>
          <w:tab w:leader="none" w:pos="179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paragraph (a), (b) or (c) above,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Smith Barney Inc. or, if Smith Barney Inc. is not an indemnified party and is not reasonably likely to become an indemnified party, by the Agents that are indemnified parties, in the case of parties indemnified pursuant to paragraphs</w:t>
      </w:r>
    </w:p>
    <w:p>
      <w:pPr>
        <w:spacing w:after="0" w:line="3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above, and by the Company, in the case of parties indemnified pursuant to paragraph (b) above.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w:t>
      </w:r>
    </w:p>
    <w:p>
      <w:pPr>
        <w:sectPr>
          <w:pgSz w:w="11900" w:h="16838" w:orient="portrait"/>
          <w:cols w:equalWidth="0" w:num="1">
            <w:col w:w="10219"/>
          </w:cols>
          <w:pgMar w:left="240" w:top="520" w:right="1440" w:bottom="1440" w:gutter="0" w:footer="0" w:header="0"/>
        </w:sectPr>
      </w:pPr>
    </w:p>
    <w:bookmarkStart w:id="52" w:name="page53"/>
    <w:bookmarkEnd w:id="52"/>
    <w:p>
      <w:pPr>
        <w:ind w:right="2099"/>
        <w:spacing w:after="0" w:line="235" w:lineRule="auto"/>
        <w:rPr>
          <w:sz w:val="20"/>
          <w:szCs w:val="20"/>
          <w:color w:val="auto"/>
        </w:rPr>
      </w:pPr>
      <w:r>
        <w:rPr>
          <w:rFonts w:ascii="Courier New" w:cs="Courier New" w:eastAsia="Courier New" w:hAnsi="Courier New"/>
          <w:sz w:val="18"/>
          <w:szCs w:val="18"/>
          <w:color w:val="auto"/>
        </w:rPr>
        <w:t>indemnified party from all liability on claims that are the subject matter of such proceeding.</w:t>
      </w:r>
    </w:p>
    <w:p>
      <w:pPr>
        <w:spacing w:after="0" w:line="208" w:lineRule="exact"/>
        <w:rPr>
          <w:sz w:val="20"/>
          <w:szCs w:val="20"/>
          <w:color w:val="auto"/>
        </w:rPr>
      </w:pPr>
    </w:p>
    <w:p>
      <w:pPr>
        <w:ind w:right="1999" w:firstLine="1272"/>
        <w:spacing w:after="0" w:line="269" w:lineRule="auto"/>
        <w:tabs>
          <w:tab w:leader="none" w:pos="179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6 is unavailable to an indemnified party or insufficient in respect of any losses, claims, damages or liabilities referred to therein in connection with any offering of Notes, then each indemnifying party under this Section 6,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each Agent on the other hand from the offering of such Notes or (ii) if the allocation provided by clause (i) is not permitted by applicable law, in such proportion as is appropriate to reflect not only the relative benefits referred to in clause (i) above but also the relative fault of the Company on the one hand and each Agent on the other hand in connection with the statements or omissions that resulted in such losses, claims, damages or liabilities, as well as any other relevant equitable considerations. The relative benefits received by the Company on the one hand and each Agent on the other hand in connection with the offering of such Notes shall be deemed to be in the same respective proportions as the total net proceeds from the offering of such Notes (before deducting expenses) received by the Company bear to the total discounts and commissions received by each Agent in respect thereof. The relative fault of the Company on the one hand and of each Agent on the other hand shall be determined by reference to, among other things, whether the untrue or alleged untrue statement of a material fact or the omission or alleged omission to state a material fact relates to information supplied by the Company or by such Agent and the parties' relative intent, knowledge, access to information and opportunity to correct or prevent such statement or omission. Each Agent's obligation to contribute pursuant to this Section 6 shall be several (in the proportion that the principal amount of the Notes the sale of which by or through such Agent gave rise to such losses, claims, damages or liabilities bears to the aggregate principal amount of the Notes the sale of which by or through any Agent gave rise to such losses, claims, damages or liabilities) and not joint.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999" w:firstLine="1272"/>
        <w:spacing w:after="0" w:line="238" w:lineRule="auto"/>
        <w:tabs>
          <w:tab w:leader="none" w:pos="179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Agents agree that it would not be just or equitable if contribution pursuant to this Section 6 were determined by pro rata allocation (even if the Agents were treated as one entity for such purpose) or by any other method of allocation that does not take account of the equitable considerations referred to in paragraph (e) above. The amount paid or payable by an indemnified party as a result of the losses, claims, damages and liabilities referred to in paragraph (e) above shall be deemed to include, subject to the limitations set forth above, any legal or other expenses reasonably incurred by such indemnified party in connection with investigating or defending any such action or claim. Notwithstanding the provisions of this Section 6, no Agent shall be required to contribute any amount in excess of the amount by which the total price at which the Notes referred to in paragraph (e) above that were offered and sold to the public through such Agent exceeds the amount of any damages that such Agent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6 are not exclusive and shall not limit any rights or remedies which may otherwise be available to any indemnified party at law or in equity.</w:t>
      </w:r>
    </w:p>
    <w:p>
      <w:pPr>
        <w:spacing w:after="0" w:line="210" w:lineRule="exact"/>
        <w:rPr>
          <w:sz w:val="20"/>
          <w:szCs w:val="20"/>
          <w:color w:val="auto"/>
        </w:rPr>
      </w:pPr>
    </w:p>
    <w:p>
      <w:pPr>
        <w:ind w:right="1999" w:firstLine="1272"/>
        <w:spacing w:after="0" w:line="290" w:lineRule="auto"/>
        <w:tabs>
          <w:tab w:leader="none" w:pos="179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of the Agents. In acting under this Agreement and in connection with the sale of any Notes by the Company (other than Notes sold</w:t>
      </w:r>
    </w:p>
    <w:p>
      <w:pPr>
        <w:sectPr>
          <w:pgSz w:w="11900" w:h="16838" w:orient="portrait"/>
          <w:cols w:equalWidth="0" w:num="1">
            <w:col w:w="10219"/>
          </w:cols>
          <w:pgMar w:left="240" w:top="520" w:right="1440" w:bottom="1440" w:gutter="0" w:footer="0" w:header="0"/>
        </w:sectPr>
      </w:pPr>
    </w:p>
    <w:bookmarkStart w:id="53" w:name="page54"/>
    <w:bookmarkEnd w:id="53"/>
    <w:p>
      <w:pPr>
        <w:ind w:right="1999"/>
        <w:spacing w:after="0" w:line="238" w:lineRule="auto"/>
        <w:rPr>
          <w:sz w:val="20"/>
          <w:szCs w:val="20"/>
          <w:color w:val="auto"/>
        </w:rPr>
      </w:pPr>
      <w:r>
        <w:rPr>
          <w:rFonts w:ascii="Courier New" w:cs="Courier New" w:eastAsia="Courier New" w:hAnsi="Courier New"/>
          <w:sz w:val="18"/>
          <w:szCs w:val="18"/>
          <w:color w:val="auto"/>
        </w:rPr>
        <w:t>to an Agent as principal), each Agent is acting solely as agent of the Company and does not assume any obligation towards or relationship of agency or trust with any purchaser of Notes. An Agent shall make reasonable efforts to assist the Company in obtaining performance by each purchaser whose offer to purchase Notes has been solicited by such Agent and accepted by the Company, but such Agent shall not have any liability to the Company in the event any such purchase is not consummated for any reason. If the Company shall default in its obligations to deliver Notes to a purchaser whose offer it has accepted, the Company shall hold the relevant Agent harmless against any loss, claim, damage or liability arising from or as a result of such default and shall, in particular, pay to such Agent the commission it would have received had such sale been consummated.</w:t>
      </w:r>
    </w:p>
    <w:p>
      <w:pPr>
        <w:spacing w:after="0" w:line="207" w:lineRule="exact"/>
        <w:rPr>
          <w:sz w:val="20"/>
          <w:szCs w:val="20"/>
          <w:color w:val="auto"/>
        </w:rPr>
      </w:pPr>
    </w:p>
    <w:p>
      <w:pPr>
        <w:ind w:right="1999" w:firstLine="1272"/>
        <w:spacing w:after="0" w:line="238" w:lineRule="auto"/>
        <w:tabs>
          <w:tab w:leader="none" w:pos="179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This Agreement may be terminated at any time by the Company or, as to any Agent, by the Company or such Agent upon the giving of written notice of such termination to the other parties hereto, but without prejudice to any rights, obligations or liabilities of any party hereto accrued or incurred prior to such termination. The termination of this Agreement shall not require termination of any agreement by an Agent to purchase Notes as principal, and the termination of any such agreement shall not require termination of this Agreement. If this Agreement is terminated, the provisions of the third paragraph of Section 2(a), Section 2(e), the last sentence of Section 3(b) and Sections 3(c), 3(h), 6, 7, 9, 11 and 14 shall survive; provided that if at the time of termination an offer to purchase Notes has been accepted by the Company but the time of delivery to the purchaser or its agent of such Notes has not occurred, the provisions of Sections 2(b), 2(c), 3(a), 3(e), 3(f), 3(g), 3(i), 3(j), 4 and 5 shall also survive until such delivery has been made.</w:t>
      </w:r>
    </w:p>
    <w:p>
      <w:pPr>
        <w:spacing w:after="0" w:line="208" w:lineRule="exact"/>
        <w:rPr>
          <w:rFonts w:ascii="Courier New" w:cs="Courier New" w:eastAsia="Courier New" w:hAnsi="Courier New"/>
          <w:sz w:val="18"/>
          <w:szCs w:val="18"/>
          <w:color w:val="auto"/>
        </w:rPr>
      </w:pPr>
    </w:p>
    <w:p>
      <w:pPr>
        <w:ind w:right="2099" w:firstLine="1272"/>
        <w:spacing w:after="0" w:line="237" w:lineRule="auto"/>
        <w:tabs>
          <w:tab w:leader="none" w:pos="179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Indemnities to Survive. The respective indemnity and contribution agreements, representations, warranties and other statements of the Company, its officers and the Agents set forth in or made pursuant to this Agreement or any agreement by an Agent to purchase Notes as principal will remain in full force and effect, regardless of any termination of this Agreement or any such agreement, any investigation made by or on behalf of an Agent or the Company or any of the officers, directors or controlling persons referred to in Section 6 and delivery of and payment for the Notes.</w:t>
      </w:r>
    </w:p>
    <w:p>
      <w:pPr>
        <w:spacing w:after="0" w:line="213" w:lineRule="exact"/>
        <w:rPr>
          <w:rFonts w:ascii="Courier New" w:cs="Courier New" w:eastAsia="Courier New" w:hAnsi="Courier New"/>
          <w:sz w:val="18"/>
          <w:szCs w:val="18"/>
          <w:color w:val="auto"/>
        </w:rPr>
      </w:pPr>
    </w:p>
    <w:p>
      <w:pPr>
        <w:ind w:right="1999" w:firstLine="1272"/>
        <w:spacing w:after="0" w:line="238" w:lineRule="auto"/>
        <w:tabs>
          <w:tab w:leader="none" w:pos="179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communications hereunder will be in writing and effective only on receipt, and, if sent to Smith Barney Inc., will be mailed, delivered or telefaxed and confirmed at 1345 Avenue of the Americas, 48th Floor, New York, New York 10105, Attention: William O. Hiltz (telefax number: 212-698-5802); and, if sent to J.P. Morgan Securities Inc., will be mailed, delivered or telefaxed and confirmed at 60 Wall Street, New York, New York 10260-0060, Attention: Medium Term Notes Desk (telefax number: 212-698-5902); and, if sent to National Westminster Bank Plc, New York Branch, will be mailed, delivered or telefaxed and confirmed at 175 Water Street, 20th Floor, New York, New York 10038, Attention: Manager, Medium Term Note Desk (telefax number: 212-602-4939); or, if sent to the Company, will be mailed, delivered or telefaxed and confirmed to the Company at P.O. Box 7000, 200 Peach Street, El Dorado, Arkansas 71731-7000, Attention: W. Bayless Rowe (telefax number 501-864-6489).</w:t>
      </w:r>
    </w:p>
    <w:p>
      <w:pPr>
        <w:spacing w:after="0" w:line="207" w:lineRule="exact"/>
        <w:rPr>
          <w:rFonts w:ascii="Courier New" w:cs="Courier New" w:eastAsia="Courier New" w:hAnsi="Courier New"/>
          <w:sz w:val="18"/>
          <w:szCs w:val="18"/>
          <w:color w:val="auto"/>
        </w:rPr>
      </w:pPr>
    </w:p>
    <w:p>
      <w:pPr>
        <w:ind w:right="2099" w:firstLine="1272"/>
        <w:spacing w:after="0" w:line="237" w:lineRule="auto"/>
        <w:tabs>
          <w:tab w:leader="none" w:pos="179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This Agreement and any Terms Agreement will inure to the benefit of and be binding upon the parties hereto and their respective successors and the officers, directors and controlling persons referred to in Section 6 and the purchasers of Notes (to the extent expressly provided in Section 4), and no other person will have any right or obligation hereunder.</w:t>
      </w:r>
    </w:p>
    <w:p>
      <w:pPr>
        <w:sectPr>
          <w:pgSz w:w="11900" w:h="16838" w:orient="portrait"/>
          <w:cols w:equalWidth="0" w:num="1">
            <w:col w:w="10219"/>
          </w:cols>
          <w:pgMar w:left="240" w:top="520" w:right="1440" w:bottom="1440" w:gutter="0" w:footer="0" w:header="0"/>
        </w:sectPr>
      </w:pPr>
    </w:p>
    <w:bookmarkStart w:id="54" w:name="page55"/>
    <w:bookmarkEnd w:id="54"/>
    <w:p>
      <w:pPr>
        <w:ind w:right="1879" w:firstLine="1272"/>
        <w:spacing w:after="0" w:line="237" w:lineRule="auto"/>
        <w:tabs>
          <w:tab w:leader="none" w:pos="179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Agreement may be amended or supplemented if, but only if, such amendment or supplement is in writing and is signed by the Company and each Agent; provided that the Company may from time to time, on seven days prior written notice to the Agents but without the consent of any Agent, amend this Agreement to add as a party hereto one or more additional firms, whereupon each such firm shall become an Agent hereunder on the same terms and conditions as the other Agents that are parties hereto. The Agents shall sign any amendment or supplement giving effect to the addition of any such firm as an Agent under this Agreement.</w:t>
      </w:r>
    </w:p>
    <w:p>
      <w:pPr>
        <w:spacing w:after="0" w:line="213" w:lineRule="exact"/>
        <w:rPr>
          <w:rFonts w:ascii="Courier New" w:cs="Courier New" w:eastAsia="Courier New" w:hAnsi="Courier New"/>
          <w:sz w:val="18"/>
          <w:szCs w:val="18"/>
          <w:color w:val="auto"/>
        </w:rPr>
      </w:pPr>
    </w:p>
    <w:p>
      <w:pPr>
        <w:ind w:right="2099" w:firstLine="1272"/>
        <w:spacing w:after="0" w:line="236" w:lineRule="auto"/>
        <w:tabs>
          <w:tab w:leader="none" w:pos="179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signed in any number of counterparts, each of which shall be an original, with the same effect as if the signatures thereto and hereto were upon the same instrument.</w:t>
      </w:r>
    </w:p>
    <w:p>
      <w:pPr>
        <w:spacing w:after="0" w:line="208" w:lineRule="exact"/>
        <w:rPr>
          <w:rFonts w:ascii="Courier New" w:cs="Courier New" w:eastAsia="Courier New" w:hAnsi="Courier New"/>
          <w:sz w:val="18"/>
          <w:szCs w:val="18"/>
          <w:color w:val="auto"/>
        </w:rPr>
      </w:pPr>
    </w:p>
    <w:p>
      <w:pPr>
        <w:jc w:val="both"/>
        <w:ind w:right="2619" w:firstLine="1272"/>
        <w:spacing w:after="0" w:line="290" w:lineRule="auto"/>
        <w:tabs>
          <w:tab w:leader="none" w:pos="179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This Agreement will be governed by and construed in accordance with the internal laws of the State of New York.</w:t>
      </w:r>
    </w:p>
    <w:p>
      <w:pPr>
        <w:spacing w:after="0" w:line="164"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of the sections of this Agreement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have been inserted for convenience of reference only and shall not be deemed a part of this Agreement.</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If the foregoing is in accordance with your understanding of our agreement, please sign and return to us the enclosed duplicate hereof, whereupon this letter and your acceptance shall represent a binding agreement between the Company and you.</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MURPHY OIL CORPORATION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______________________________</w:t>
      </w:r>
    </w:p>
    <w:p>
      <w:pPr>
        <w:ind w:left="35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Agreement</w:t>
      </w:r>
    </w:p>
    <w:p>
      <w:pPr>
        <w:spacing w:after="0" w:line="238" w:lineRule="auto"/>
        <w:rPr>
          <w:sz w:val="20"/>
          <w:szCs w:val="20"/>
          <w:color w:val="auto"/>
        </w:rPr>
      </w:pPr>
      <w:r>
        <w:rPr>
          <w:rFonts w:ascii="Courier New" w:cs="Courier New" w:eastAsia="Courier New" w:hAnsi="Courier New"/>
          <w:sz w:val="18"/>
          <w:szCs w:val="18"/>
          <w:color w:val="auto"/>
        </w:rPr>
        <w:t>is hereby confirmed</w:t>
      </w:r>
    </w:p>
    <w:p>
      <w:pPr>
        <w:spacing w:after="0"/>
        <w:rPr>
          <w:sz w:val="20"/>
          <w:szCs w:val="20"/>
          <w:color w:val="auto"/>
        </w:rPr>
      </w:pPr>
      <w:r>
        <w:rPr>
          <w:rFonts w:ascii="Courier New" w:cs="Courier New" w:eastAsia="Courier New" w:hAnsi="Courier New"/>
          <w:sz w:val="18"/>
          <w:szCs w:val="18"/>
          <w:color w:val="auto"/>
        </w:rPr>
        <w:t>and accepted as of the</w:t>
      </w:r>
    </w:p>
    <w:p>
      <w:pPr>
        <w:spacing w:after="0" w:line="237" w:lineRule="auto"/>
        <w:rPr>
          <w:sz w:val="20"/>
          <w:szCs w:val="20"/>
          <w:color w:val="auto"/>
        </w:rPr>
      </w:pPr>
      <w:r>
        <w:rPr>
          <w:rFonts w:ascii="Courier New" w:cs="Courier New" w:eastAsia="Courier New" w:hAnsi="Courier New"/>
          <w:sz w:val="18"/>
          <w:szCs w:val="18"/>
          <w:color w:val="auto"/>
        </w:rPr>
        <w:t>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w:t>
      </w:r>
    </w:p>
    <w:p>
      <w:pPr>
        <w:ind w:left="4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w:t>
      </w:r>
    </w:p>
    <w:p>
      <w:pPr>
        <w:ind w:left="4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WESTMINSTER BANK PLC,</w:t>
      </w:r>
    </w:p>
    <w:p>
      <w:pPr>
        <w:ind w:left="220"/>
        <w:spacing w:after="0" w:line="238" w:lineRule="auto"/>
        <w:rPr>
          <w:sz w:val="20"/>
          <w:szCs w:val="20"/>
          <w:color w:val="auto"/>
        </w:rPr>
      </w:pPr>
      <w:r>
        <w:rPr>
          <w:rFonts w:ascii="Courier New" w:cs="Courier New" w:eastAsia="Courier New" w:hAnsi="Courier New"/>
          <w:sz w:val="18"/>
          <w:szCs w:val="18"/>
          <w:color w:val="auto"/>
        </w:rPr>
        <w:t>NEW YORK BRANCH</w:t>
      </w:r>
    </w:p>
    <w:p>
      <w:pPr>
        <w:sectPr>
          <w:pgSz w:w="11900" w:h="16838" w:orient="portrait"/>
          <w:cols w:equalWidth="0" w:num="1">
            <w:col w:w="10219"/>
          </w:cols>
          <w:pgMar w:left="240" w:top="72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By ________________________________</w:t>
      </w:r>
    </w:p>
    <w:p>
      <w:pPr>
        <w:ind w:left="5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MEDIUM-TERM NOTES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TERMS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_________________,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Murphy Oil Corporation</w:t>
      </w:r>
    </w:p>
    <w:p>
      <w:pPr>
        <w:spacing w:after="0" w:line="238" w:lineRule="auto"/>
        <w:rPr>
          <w:sz w:val="20"/>
          <w:szCs w:val="20"/>
          <w:color w:val="auto"/>
        </w:rPr>
      </w:pPr>
      <w:r>
        <w:rPr>
          <w:rFonts w:ascii="Courier New" w:cs="Courier New" w:eastAsia="Courier New" w:hAnsi="Courier New"/>
          <w:sz w:val="18"/>
          <w:szCs w:val="18"/>
          <w:color w:val="auto"/>
        </w:rPr>
        <w:t>200 Peach Street</w:t>
      </w:r>
    </w:p>
    <w:p>
      <w:pPr>
        <w:spacing w:after="0"/>
        <w:tabs>
          <w:tab w:leader="none" w:pos="2200" w:val="left"/>
        </w:tabs>
        <w:rPr>
          <w:sz w:val="20"/>
          <w:szCs w:val="20"/>
          <w:color w:val="auto"/>
        </w:rPr>
      </w:pPr>
      <w:r>
        <w:rPr>
          <w:rFonts w:ascii="Courier New" w:cs="Courier New" w:eastAsia="Courier New" w:hAnsi="Courier New"/>
          <w:sz w:val="18"/>
          <w:szCs w:val="18"/>
          <w:color w:val="auto"/>
        </w:rPr>
        <w:t>El Dorado, Arkansas</w:t>
      </w:r>
      <w:r>
        <w:rPr>
          <w:sz w:val="20"/>
          <w:szCs w:val="20"/>
          <w:color w:val="auto"/>
        </w:rPr>
        <w:tab/>
      </w:r>
      <w:r>
        <w:rPr>
          <w:rFonts w:ascii="Courier New" w:cs="Courier New" w:eastAsia="Courier New" w:hAnsi="Courier New"/>
          <w:sz w:val="16"/>
          <w:szCs w:val="16"/>
          <w:color w:val="auto"/>
        </w:rPr>
        <w:t>71731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w:t>
      </w:r>
    </w:p>
    <w:p>
      <w:pPr>
        <w:spacing w:after="0" w:line="201" w:lineRule="exact"/>
        <w:rPr>
          <w:sz w:val="20"/>
          <w:szCs w:val="20"/>
          <w:color w:val="auto"/>
        </w:rPr>
      </w:pPr>
    </w:p>
    <w:p>
      <w:pPr>
        <w:ind w:left="1280"/>
        <w:spacing w:after="0"/>
        <w:tabs>
          <w:tab w:leader="none" w:pos="17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Distribution Agreement dated ___________, 1994</w:t>
      </w:r>
    </w:p>
    <w:p>
      <w:pPr>
        <w:ind w:left="1800"/>
        <w:spacing w:after="0" w:line="238" w:lineRule="auto"/>
        <w:rPr>
          <w:sz w:val="20"/>
          <w:szCs w:val="20"/>
          <w:color w:val="auto"/>
        </w:rPr>
      </w:pPr>
      <w:r>
        <w:rPr>
          <w:rFonts w:ascii="Courier New" w:cs="Courier New" w:eastAsia="Courier New" w:hAnsi="Courier New"/>
          <w:sz w:val="18"/>
          <w:szCs w:val="18"/>
          <w:color w:val="auto"/>
        </w:rPr>
        <w:t>(the "Distribution Agreement")</w:t>
      </w:r>
    </w:p>
    <w:p>
      <w:pPr>
        <w:spacing w:after="0" w:line="20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We agree to purchase your Medium-Term Notes having the following</w:t>
      </w:r>
    </w:p>
    <w:p>
      <w:pPr>
        <w:spacing w:after="0" w:line="238" w:lineRule="auto"/>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[We agree to purchase, severally and not jointly, the principal amount of Notes set forth below opposite our names: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Notes</w:t>
      </w:r>
    </w:p>
    <w:p>
      <w:pPr>
        <w:spacing w:after="0" w:line="200" w:lineRule="exact"/>
        <w:rPr>
          <w:sz w:val="20"/>
          <w:szCs w:val="20"/>
          <w:color w:val="auto"/>
        </w:rPr>
      </w:pPr>
    </w:p>
    <w:p>
      <w:pPr>
        <w:sectPr>
          <w:pgSz w:w="11900" w:h="16838" w:orient="portrait"/>
          <w:cols w:equalWidth="0" w:num="2">
            <w:col w:w="4560" w:space="720"/>
            <w:col w:w="49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[Smith Barney Inc.]</w:t>
      </w:r>
    </w:p>
    <w:p>
      <w:pPr>
        <w:spacing w:after="0" w:line="238" w:lineRule="auto"/>
        <w:rPr>
          <w:sz w:val="20"/>
          <w:szCs w:val="20"/>
          <w:color w:val="auto"/>
        </w:rPr>
      </w:pPr>
      <w:r>
        <w:rPr>
          <w:rFonts w:ascii="Courier New" w:cs="Courier New" w:eastAsia="Courier New" w:hAnsi="Courier New"/>
          <w:sz w:val="18"/>
          <w:szCs w:val="18"/>
          <w:color w:val="auto"/>
        </w:rPr>
        <w:t>[J.P. Morgan Securities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Westminster Bank Plc,</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New York Branch]</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Total . . . . . . . . . . . .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60" w:space="420"/>
            <w:col w:w="4739"/>
          </w:cols>
          <w:pgMar w:left="240" w:top="717" w:right="1440" w:bottom="1440" w:gutter="0" w:footer="0" w:header="0"/>
          <w:type w:val="continuous"/>
        </w:sectPr>
      </w:pPr>
    </w:p>
    <w:p>
      <w:pPr>
        <w:spacing w:after="0" w:line="22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The Notes shall have the following terms:]</w:t>
      </w:r>
    </w:p>
    <w:p>
      <w:pPr>
        <w:sectPr>
          <w:pgSz w:w="11900" w:h="16838" w:orient="portrait"/>
          <w:cols w:equalWidth="0" w:num="1">
            <w:col w:w="10219"/>
          </w:cols>
          <w:pgMar w:left="240" w:top="717" w:right="1440"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All Notes:</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rPr>
              <w:t>Fixed Rate Notes:</w:t>
            </w: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w w:val="96"/>
              </w:rPr>
              <w:t>Floating Rate Notes:</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Principal amount:</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rPr>
              <w:t>Interest Rate:</w:t>
            </w: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Base rate: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Purchase price:</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rPr>
              <w:t>Applicability</w:t>
            </w: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Index maturity:</w:t>
            </w:r>
          </w:p>
        </w:tc>
      </w:tr>
      <w:tr>
        <w:trPr>
          <w:trHeight w:val="203"/>
        </w:trPr>
        <w:tc>
          <w:tcPr>
            <w:tcW w:w="2280" w:type="dxa"/>
            <w:vAlign w:val="bottom"/>
          </w:tcPr>
          <w:p>
            <w:pPr>
              <w:spacing w:after="0"/>
              <w:rPr>
                <w:sz w:val="17"/>
                <w:szCs w:val="17"/>
                <w:color w:val="auto"/>
              </w:rPr>
            </w:pP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modified</w:t>
            </w:r>
          </w:p>
        </w:tc>
        <w:tc>
          <w:tcPr>
            <w:tcW w:w="27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Price to public:</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rPr>
              <w:t>Payment upon</w:t>
            </w: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Spread:</w:t>
            </w:r>
          </w:p>
        </w:tc>
      </w:tr>
      <w:tr>
        <w:trPr>
          <w:trHeight w:val="203"/>
        </w:trPr>
        <w:tc>
          <w:tcPr>
            <w:tcW w:w="2280" w:type="dxa"/>
            <w:vAlign w:val="bottom"/>
          </w:tcPr>
          <w:p>
            <w:pPr>
              <w:spacing w:after="0"/>
              <w:rPr>
                <w:sz w:val="17"/>
                <w:szCs w:val="17"/>
                <w:color w:val="auto"/>
              </w:rPr>
            </w:pP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acceleration:</w:t>
            </w:r>
          </w:p>
        </w:tc>
        <w:tc>
          <w:tcPr>
            <w:tcW w:w="27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Settlement date</w:t>
            </w:r>
          </w:p>
        </w:tc>
        <w:tc>
          <w:tcPr>
            <w:tcW w:w="274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Spread multiplier:</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time:</w:t>
            </w: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If yes, state</w:t>
            </w:r>
          </w:p>
        </w:tc>
        <w:tc>
          <w:tcPr>
            <w:tcW w:w="27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issue price:</w:t>
            </w: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Alternate rate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Place of</w:t>
            </w: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event spread: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delivery:</w:t>
            </w: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Amortization</w:t>
            </w:r>
          </w:p>
        </w:tc>
        <w:tc>
          <w:tcPr>
            <w:tcW w:w="27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schedule:</w:t>
            </w: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Initial interest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Specified</w:t>
            </w: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rate: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currency:</w:t>
            </w:r>
          </w:p>
        </w:tc>
        <w:tc>
          <w:tcPr>
            <w:tcW w:w="27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Initial interest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Maturity date:</w:t>
            </w: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reset date: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Initial accrual</w:t>
            </w:r>
          </w:p>
        </w:tc>
        <w:tc>
          <w:tcPr>
            <w:tcW w:w="274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Interest reset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 OID:</w:t>
            </w: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dates:</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Total amount</w:t>
            </w:r>
          </w:p>
        </w:tc>
        <w:tc>
          <w:tcPr>
            <w:tcW w:w="274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Interest reset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of OID:</w:t>
            </w: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period:</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Original yield</w:t>
            </w:r>
          </w:p>
        </w:tc>
        <w:tc>
          <w:tcPr>
            <w:tcW w:w="274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Maximum interest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to maturity:</w:t>
            </w: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rate: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Optional repayment</w:t>
            </w:r>
          </w:p>
        </w:tc>
        <w:tc>
          <w:tcPr>
            <w:tcW w:w="274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Minimum interest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date(s):</w:t>
            </w: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rate: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Optional redemption</w:t>
            </w:r>
          </w:p>
        </w:tc>
        <w:tc>
          <w:tcPr>
            <w:tcW w:w="274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Interest payment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date(s):</w:t>
            </w: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period:</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Initial redemption</w:t>
            </w:r>
          </w:p>
        </w:tc>
        <w:tc>
          <w:tcPr>
            <w:tcW w:w="274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Interest payment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dates:</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Initial redemption</w:t>
            </w:r>
          </w:p>
        </w:tc>
        <w:tc>
          <w:tcPr>
            <w:tcW w:w="274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Calculation agent: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percentage:</w:t>
            </w:r>
          </w:p>
        </w:tc>
        <w:tc>
          <w:tcPr>
            <w:tcW w:w="27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Annual redemption</w:t>
            </w:r>
          </w:p>
        </w:tc>
        <w:tc>
          <w:tcPr>
            <w:tcW w:w="27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percentage</w:t>
            </w:r>
          </w:p>
        </w:tc>
        <w:tc>
          <w:tcPr>
            <w:tcW w:w="27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w:t>
            </w:r>
          </w:p>
        </w:tc>
        <w:tc>
          <w:tcPr>
            <w:tcW w:w="27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Other terms:</w:t>
            </w:r>
          </w:p>
        </w:tc>
        <w:tc>
          <w:tcPr>
            <w:tcW w:w="274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900" w:right="1999" w:firstLine="1264"/>
        <w:spacing w:after="0" w:line="237" w:lineRule="auto"/>
        <w:rPr>
          <w:sz w:val="20"/>
          <w:szCs w:val="20"/>
          <w:color w:val="auto"/>
        </w:rPr>
      </w:pPr>
      <w:r>
        <w:rPr>
          <w:rFonts w:ascii="Courier New" w:cs="Courier New" w:eastAsia="Courier New" w:hAnsi="Courier New"/>
          <w:sz w:val="18"/>
          <w:szCs w:val="18"/>
          <w:color w:val="auto"/>
        </w:rPr>
        <w:t>The provisions of Sections 1, 2(b) and 2(c) and 3 through 6, 9, 10, 11 and 14 of the Distribution Agreement and the related definitions are incorporated by reference herein and shall be deemed to have the same force and effect as if set forth in full herein.</w:t>
      </w:r>
    </w:p>
    <w:p>
      <w:pPr>
        <w:spacing w:after="0" w:line="209" w:lineRule="exact"/>
        <w:rPr>
          <w:sz w:val="20"/>
          <w:szCs w:val="20"/>
          <w:color w:val="auto"/>
        </w:rPr>
      </w:pPr>
    </w:p>
    <w:p>
      <w:pPr>
        <w:jc w:val="both"/>
        <w:ind w:left="1900" w:right="2319" w:firstLine="1264"/>
        <w:spacing w:after="0" w:line="279" w:lineRule="auto"/>
        <w:rPr>
          <w:sz w:val="20"/>
          <w:szCs w:val="20"/>
          <w:color w:val="auto"/>
        </w:rPr>
      </w:pPr>
      <w:r>
        <w:rPr>
          <w:rFonts w:ascii="Courier New" w:cs="Courier New" w:eastAsia="Courier New" w:hAnsi="Courier New"/>
          <w:sz w:val="16"/>
          <w:szCs w:val="16"/>
          <w:color w:val="auto"/>
        </w:rPr>
        <w:t>[If on the Settlement Date any one or more of the Agents shall fail or refuse to purchase Notes that it has or they have agreed to purchase on such date, and the</w:t>
      </w:r>
    </w:p>
    <w:p>
      <w:pPr>
        <w:sectPr>
          <w:pgSz w:w="11900" w:h="16838" w:orient="portrait"/>
          <w:cols w:equalWidth="0" w:num="1">
            <w:col w:w="10219"/>
          </w:cols>
          <w:pgMar w:left="240" w:top="514" w:right="1440" w:bottom="1440" w:gutter="0" w:footer="0" w:header="0"/>
        </w:sectPr>
      </w:pPr>
    </w:p>
    <w:bookmarkStart w:id="57" w:name="page58"/>
    <w:bookmarkEnd w:id="57"/>
    <w:p>
      <w:pPr>
        <w:ind w:left="700" w:right="1999"/>
        <w:spacing w:after="0" w:line="268" w:lineRule="auto"/>
        <w:rPr>
          <w:sz w:val="20"/>
          <w:szCs w:val="20"/>
          <w:color w:val="auto"/>
        </w:rPr>
      </w:pPr>
      <w:r>
        <w:rPr>
          <w:rFonts w:ascii="Courier New" w:cs="Courier New" w:eastAsia="Courier New" w:hAnsi="Courier New"/>
          <w:sz w:val="16"/>
          <w:szCs w:val="16"/>
          <w:color w:val="auto"/>
        </w:rPr>
        <w:t>aggregate amount of Notes which such defaulting Agent or Agents agreed but failed or refused to purchase is not more than one-tenth of the aggregate amount of the Notes to be purchased on such date, the other Agents shall be obligated severally in the proportions that the amount of Notes set forth opposite their respective names above bears to the aggregate amount of Notes set forth opposite the names of all such non-defaulting Agents, or in such other proportions as Smith Barney Inc., J.P. Morgan Securities Inc. and National Westminster Bank Plc, New York Branch may specify, to purchase the Notes which such defaulting Agent or Agents agreed but failed or refused to purchase on such date; provided that in no event shall the amount of Notes that any Agent has agreed to purchase pursuant to this Agreement be increased pursuant to this paragraph by an amount in excess of one-ninth of such amount of Notes without the written consent of such Agent. If on the Settlement Date any Agent or Agents shall fail or refuse to purchase Notes and the aggregate amount of Notes with respect to which such default occurs is more than one-tenth of the aggregate amount of Notes to be purchased on such date, and arrangements satisfactory to Smith Barney Inc., J.P. Morgan Securities Inc. and National Westminster Bank Plc, New York Branch and the Company for the purchase of such Notes are not made within 36 hours after such default, this Agreement shall terminate without liability on the part of any non-defaulting Agent or the Company. In any such case either Smith Barney Inc., J.P. Morgan Securities Inc. and National Westminster Bank Plc, New York Branch or the Company shall have the right to postpone the Settlement Date but in no event for longer than seven days, in order that the required changes, if any, in the Registration Statement and in the Prospectus or in any other documents or arrangements may be effected. Any action taken under this paragraph shall not relieve any defaulting Agent from liability in respect of any default of such Agent under this Agreement.]1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700" w:right="2099" w:firstLine="1264"/>
        <w:spacing w:after="0" w:line="268" w:lineRule="auto"/>
        <w:rPr>
          <w:sz w:val="20"/>
          <w:szCs w:val="20"/>
          <w:color w:val="auto"/>
        </w:rPr>
      </w:pPr>
      <w:r>
        <w:rPr>
          <w:rFonts w:ascii="Courier New" w:cs="Courier New" w:eastAsia="Courier New" w:hAnsi="Courier New"/>
          <w:sz w:val="16"/>
          <w:szCs w:val="16"/>
          <w:color w:val="auto"/>
        </w:rPr>
        <w:t>This Agreement is subject to termination on the terms incorporated by reference herein. If this Agreement is so terminated, the provisions of Sections 3(h), 6, 7, 9,</w:t>
      </w:r>
    </w:p>
    <w:p>
      <w:pPr>
        <w:spacing w:after="0" w:line="1" w:lineRule="exact"/>
        <w:rPr>
          <w:sz w:val="20"/>
          <w:szCs w:val="20"/>
          <w:color w:val="auto"/>
        </w:rPr>
      </w:pPr>
    </w:p>
    <w:p>
      <w:pPr>
        <w:ind w:left="700" w:right="1879"/>
        <w:spacing w:after="0" w:line="235" w:lineRule="auto"/>
        <w:rPr>
          <w:sz w:val="20"/>
          <w:szCs w:val="20"/>
          <w:color w:val="auto"/>
        </w:rPr>
      </w:pPr>
      <w:r>
        <w:rPr>
          <w:rFonts w:ascii="Courier New" w:cs="Courier New" w:eastAsia="Courier New" w:hAnsi="Courier New"/>
          <w:sz w:val="18"/>
          <w:szCs w:val="18"/>
          <w:color w:val="auto"/>
        </w:rPr>
        <w:t>11 and 14 of the Distribution Agreement shall survive for the purposes of this Agreement.</w:t>
      </w:r>
    </w:p>
    <w:p>
      <w:pPr>
        <w:spacing w:after="0" w:line="208" w:lineRule="exact"/>
        <w:rPr>
          <w:sz w:val="20"/>
          <w:szCs w:val="20"/>
          <w:color w:val="auto"/>
        </w:rPr>
      </w:pPr>
    </w:p>
    <w:p>
      <w:pPr>
        <w:ind w:left="700" w:right="1999" w:firstLine="1264"/>
        <w:spacing w:after="0" w:line="237" w:lineRule="auto"/>
        <w:rPr>
          <w:sz w:val="20"/>
          <w:szCs w:val="20"/>
          <w:color w:val="auto"/>
        </w:rPr>
      </w:pPr>
      <w:r>
        <w:rPr>
          <w:rFonts w:ascii="Courier New" w:cs="Courier New" w:eastAsia="Courier New" w:hAnsi="Courier New"/>
          <w:sz w:val="18"/>
          <w:szCs w:val="18"/>
          <w:color w:val="auto"/>
        </w:rPr>
        <w:t>The following information, opinions, certificates, letters and documents referred to in Section 4 of the Distribution Agreement will be required (check the required items):</w:t>
      </w:r>
    </w:p>
    <w:p>
      <w:pPr>
        <w:spacing w:after="0" w:line="207" w:lineRule="exact"/>
        <w:rPr>
          <w:sz w:val="20"/>
          <w:szCs w:val="20"/>
          <w:color w:val="auto"/>
        </w:rPr>
      </w:pPr>
    </w:p>
    <w:p>
      <w:pPr>
        <w:ind w:left="1960" w:right="2099" w:hanging="624"/>
        <w:spacing w:after="0" w:line="235" w:lineRule="auto"/>
        <w:tabs>
          <w:tab w:leader="none" w:pos="19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4(b)(i) - Opinion of General Counsel of the Company</w:t>
      </w:r>
    </w:p>
    <w:p>
      <w:pPr>
        <w:spacing w:after="0" w:line="208" w:lineRule="exact"/>
        <w:rPr>
          <w:rFonts w:ascii="Courier New" w:cs="Courier New" w:eastAsia="Courier New" w:hAnsi="Courier New"/>
          <w:sz w:val="18"/>
          <w:szCs w:val="18"/>
          <w:color w:val="auto"/>
        </w:rPr>
      </w:pPr>
    </w:p>
    <w:p>
      <w:pPr>
        <w:jc w:val="both"/>
        <w:ind w:left="1960" w:right="2619" w:hanging="624"/>
        <w:spacing w:after="0" w:line="290" w:lineRule="auto"/>
        <w:tabs>
          <w:tab w:leader="none" w:pos="19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4(b)(ii) - Opinion of Davis Polk &amp; Wardwell (special counsel for the Company)</w:t>
      </w:r>
    </w:p>
    <w:p>
      <w:pPr>
        <w:spacing w:after="0" w:line="372" w:lineRule="exact"/>
        <w:rPr>
          <w:rFonts w:ascii="Courier New" w:cs="Courier New" w:eastAsia="Courier New" w:hAnsi="Courier New"/>
          <w:sz w:val="16"/>
          <w:szCs w:val="16"/>
          <w:color w:val="auto"/>
        </w:rPr>
      </w:pPr>
    </w:p>
    <w:p>
      <w:pPr>
        <w:ind w:left="1960" w:right="2199" w:hanging="624"/>
        <w:spacing w:after="0" w:line="235" w:lineRule="auto"/>
        <w:tabs>
          <w:tab w:leader="none" w:pos="19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4(b)(iii) - Opinion of Cahill Gordon &amp; Reindel (counsel for the Agents)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960" w:hanging="624"/>
        <w:spacing w:after="0"/>
        <w:tabs>
          <w:tab w:leader="none" w:pos="19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4(d) - Comfort Letter</w:t>
      </w:r>
    </w:p>
    <w:p>
      <w:pPr>
        <w:sectPr>
          <w:pgSz w:w="11900" w:h="16838" w:orient="portrait"/>
          <w:cols w:equalWidth="0" w:num="1">
            <w:col w:w="9019"/>
          </w:cols>
          <w:pgMar w:left="1440" w:top="520" w:right="1440" w:bottom="1440" w:gutter="0" w:footer="0" w:header="0"/>
        </w:sectPr>
      </w:pPr>
    </w:p>
    <w:bookmarkStart w:id="58" w:name="page59"/>
    <w:bookmarkEnd w:id="58"/>
    <w:p>
      <w:pPr>
        <w:ind w:left="3160" w:right="2839" w:hanging="624"/>
        <w:spacing w:after="0" w:line="235" w:lineRule="auto"/>
        <w:tabs>
          <w:tab w:leader="none" w:pos="31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information, certificates and documents listed below:</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RELEVANT AGENT(S)]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 ______________________________</w:t>
      </w:r>
    </w:p>
    <w:p>
      <w:pPr>
        <w:ind w:left="3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MURPHY OIL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w:t>
      </w:r>
    </w:p>
    <w:p>
      <w:pPr>
        <w:ind w:left="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Delete if the transaction will not be syndicated.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MEDIUM-TERM NOTES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ADMINISTRATIVE PROCEDURES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Explained below are the administrative procedures and specific terms of the offering of Medium-Term Notes (the "Notes"), on a continuous basis by Murphy Oil Corporation (the "Company") pursuant to the Distribution Agreement, dated as of ________, 1994 (the "Distribution Agreement") among the Company</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and Smith Barney Inc., J.P. Morgan Securities Inc. and National Westminster Bank Plc, New York Branch (the "Agents"). The Notes will be issued under an Indenture dated as of ________, 1994 (the "Indenture") between the Company and</w:t>
      </w:r>
    </w:p>
    <w:p>
      <w:pPr>
        <w:spacing w:after="0" w:line="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Chemical Bank ("Chemical"), as trustee. In the Distribution Agreement, the Agents have agreed to use reasonable efforts to solicit purchasers of the Notes, and the administrative procedures explained below will govern the issuance and settlement of any Notes sold through an Agent, as agent of the Company. An Agent, as principal, may also purchase Notes for its own account, and if requested by such Agent, the Company and such Agent will enter into a terms agreement (a "Terms Agreement"), as contemplated by the Distribution Agreement. The administrative procedures explained below will govern the</w:t>
      </w:r>
    </w:p>
    <w:p>
      <w:pPr>
        <w:sectPr>
          <w:pgSz w:w="11900" w:h="16838" w:orient="portrait"/>
          <w:cols w:equalWidth="0" w:num="1">
            <w:col w:w="10219"/>
          </w:cols>
          <w:pgMar w:left="240" w:top="723" w:right="1440" w:bottom="1440" w:gutter="0" w:footer="0" w:header="0"/>
        </w:sectPr>
      </w:pPr>
    </w:p>
    <w:bookmarkStart w:id="59" w:name="page60"/>
    <w:bookmarkEnd w:id="59"/>
    <w:p>
      <w:pPr>
        <w:ind w:right="2519"/>
        <w:spacing w:after="0" w:line="290" w:lineRule="auto"/>
        <w:rPr>
          <w:sz w:val="20"/>
          <w:szCs w:val="20"/>
          <w:color w:val="auto"/>
        </w:rPr>
      </w:pPr>
      <w:r>
        <w:rPr>
          <w:rFonts w:ascii="Courier New" w:cs="Courier New" w:eastAsia="Courier New" w:hAnsi="Courier New"/>
          <w:sz w:val="16"/>
          <w:szCs w:val="16"/>
          <w:color w:val="auto"/>
        </w:rPr>
        <w:t>issuance and settlement of any Notes purchased by an Agent, as principal, unless otherwise specified in the applicable Terms Agreement.</w:t>
      </w:r>
    </w:p>
    <w:p>
      <w:pPr>
        <w:spacing w:after="0" w:line="170"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Chemical will be the Registrar, Calculation Agent, Trustee and Paying Agent for the Notes and will perform the duties specified herein. Each Note will be represented by either a Global Security (as defined below) delivered to Chemical, as agent for The Depository Trust Company ("DTC"), and recorded in the book-entry system maintained by DTC (a "Book-Entry Note") or a certificate delivered to the holder thereof or a person designated by such holder (a "Certificated Note"). Except as set forth in the Indenture, an owner of a Book-Entry Note will not be entitled to receive a Certificated Note.</w:t>
      </w:r>
    </w:p>
    <w:p>
      <w:pPr>
        <w:spacing w:after="0" w:line="186"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Book-Entry Notes, which may be payable only in U.S. dollars, will be issued in accordance with the administrative procedures set forth in Part I hereof as they may subsequently be amended as the result of changes in DTC'S operating procedures. Certificated Notes will be issued in accordance with the administrative procedures set forth in Part II hereof. Unless otherwise defined herein, terms defined in the Indenture, the Notes or any prospectus supplement relating to the Notes shall be used herein as therein defined.</w:t>
      </w:r>
    </w:p>
    <w:p>
      <w:pPr>
        <w:spacing w:after="0" w:line="188"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The Company will advise the Agents in writing of the employees of the Company with whom the Agents are to communicate regarding offers to purchase Notes and the related settlement details.</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ADMINISTRATIVE PROCEDURES FOR BOOK-ENTRY NOTES</w:t>
      </w:r>
    </w:p>
    <w:p>
      <w:pPr>
        <w:spacing w:after="0" w:line="200" w:lineRule="exact"/>
        <w:rPr>
          <w:sz w:val="20"/>
          <w:szCs w:val="20"/>
          <w:color w:val="auto"/>
        </w:rPr>
      </w:pPr>
    </w:p>
    <w:p>
      <w:pPr>
        <w:spacing w:after="0" w:line="209"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In connection with the qualification of the Book-Entry Notes for eligibility in the book-entry system maintained by DTC, Chemical will perform the custodial, document control and administrative functions described below, in accordance with its respective obligations under a Letter of Representation from the Company and Chemical to DTC, dated as of ________, 1994, and a</w:t>
      </w:r>
    </w:p>
    <w:p>
      <w:pPr>
        <w:spacing w:after="0" w:line="1"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Medium-Term Note Certificate Agreement between Chemical and DTC, dated as of December 2, 1988 (the "MTN Certificate Agreement"), and its obligations as a participant in DTC, including DTC's Same-Day Funds Settlement System ("SDFS").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Issuance:</w:t>
            </w:r>
          </w:p>
        </w:tc>
        <w:tc>
          <w:tcPr>
            <w:tcW w:w="5320" w:type="dxa"/>
            <w:vAlign w:val="bottom"/>
            <w:gridSpan w:val="2"/>
          </w:tcPr>
          <w:p>
            <w:pPr>
              <w:ind w:left="1420"/>
              <w:spacing w:after="0"/>
              <w:rPr>
                <w:sz w:val="20"/>
                <w:szCs w:val="20"/>
                <w:color w:val="auto"/>
              </w:rPr>
            </w:pPr>
            <w:r>
              <w:rPr>
                <w:rFonts w:ascii="Courier New" w:cs="Courier New" w:eastAsia="Courier New" w:hAnsi="Courier New"/>
                <w:sz w:val="18"/>
                <w:szCs w:val="18"/>
                <w:color w:val="auto"/>
                <w:w w:val="97"/>
              </w:rPr>
              <w:t>On any date of settlement (as defined</w:t>
            </w:r>
          </w:p>
        </w:tc>
        <w:tc>
          <w:tcPr>
            <w:tcW w:w="6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3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w w:val="99"/>
              </w:rPr>
              <w:t>under "Settlement" below) for one or</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more</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w w:val="99"/>
              </w:rPr>
              <w:t>Book-Entry Notes, the Company will issue a</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w w:val="99"/>
              </w:rPr>
              <w:t>single global security in fully registered</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w w:val="99"/>
              </w:rPr>
              <w:t>form without coupons (a "Global Security")</w:t>
            </w:r>
          </w:p>
        </w:tc>
      </w:tr>
      <w:tr>
        <w:trPr>
          <w:trHeight w:val="203"/>
        </w:trPr>
        <w:tc>
          <w:tcPr>
            <w:tcW w:w="2380" w:type="dxa"/>
            <w:vAlign w:val="bottom"/>
          </w:tcPr>
          <w:p>
            <w:pPr>
              <w:spacing w:after="0"/>
              <w:rPr>
                <w:sz w:val="17"/>
                <w:szCs w:val="17"/>
                <w:color w:val="auto"/>
              </w:rPr>
            </w:pPr>
          </w:p>
        </w:tc>
        <w:tc>
          <w:tcPr>
            <w:tcW w:w="53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w w:val="99"/>
              </w:rPr>
              <w:t>representing up to U.S. $150,000,000</w:t>
            </w:r>
          </w:p>
        </w:tc>
        <w:tc>
          <w:tcPr>
            <w:tcW w:w="6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rPr>
              <w:t>principal amount of all such Notes that</w:t>
            </w:r>
          </w:p>
        </w:tc>
      </w:tr>
      <w:tr>
        <w:trPr>
          <w:trHeight w:val="203"/>
        </w:trPr>
        <w:tc>
          <w:tcPr>
            <w:tcW w:w="2380" w:type="dxa"/>
            <w:vAlign w:val="bottom"/>
          </w:tcPr>
          <w:p>
            <w:pPr>
              <w:spacing w:after="0"/>
              <w:rPr>
                <w:sz w:val="17"/>
                <w:szCs w:val="17"/>
                <w:color w:val="auto"/>
              </w:rPr>
            </w:pPr>
          </w:p>
        </w:tc>
        <w:tc>
          <w:tcPr>
            <w:tcW w:w="23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have the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same Original Issue Date,</w:t>
            </w:r>
          </w:p>
        </w:tc>
        <w:tc>
          <w:tcPr>
            <w:tcW w:w="6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23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Maturity</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and other terms.  Each</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Global</w:t>
            </w:r>
          </w:p>
        </w:tc>
      </w:tr>
      <w:tr>
        <w:trPr>
          <w:trHeight w:val="203"/>
        </w:trPr>
        <w:tc>
          <w:tcPr>
            <w:tcW w:w="2380" w:type="dxa"/>
            <w:vAlign w:val="bottom"/>
          </w:tcPr>
          <w:p>
            <w:pPr>
              <w:spacing w:after="0"/>
              <w:rPr>
                <w:sz w:val="17"/>
                <w:szCs w:val="17"/>
                <w:color w:val="auto"/>
              </w:rPr>
            </w:pPr>
          </w:p>
        </w:tc>
        <w:tc>
          <w:tcPr>
            <w:tcW w:w="23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Security</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will be dated and issued as</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380" w:type="dxa"/>
            <w:vAlign w:val="bottom"/>
          </w:tcPr>
          <w:p>
            <w:pPr>
              <w:spacing w:after="0"/>
              <w:rPr>
                <w:sz w:val="17"/>
                <w:szCs w:val="17"/>
                <w:color w:val="auto"/>
              </w:rPr>
            </w:pPr>
          </w:p>
        </w:tc>
        <w:tc>
          <w:tcPr>
            <w:tcW w:w="23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the date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its authentication by</w:t>
            </w:r>
          </w:p>
        </w:tc>
        <w:tc>
          <w:tcPr>
            <w:tcW w:w="6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3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w w:val="99"/>
              </w:rPr>
              <w:t>Chemical.  Each Global Security will</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bear</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rPr>
              <w:t>an "Interest Accrual Date," which will be</w:t>
            </w:r>
          </w:p>
        </w:tc>
      </w:tr>
      <w:tr>
        <w:trPr>
          <w:trHeight w:val="203"/>
        </w:trPr>
        <w:tc>
          <w:tcPr>
            <w:tcW w:w="2380" w:type="dxa"/>
            <w:vAlign w:val="bottom"/>
          </w:tcPr>
          <w:p>
            <w:pPr>
              <w:spacing w:after="0"/>
              <w:rPr>
                <w:sz w:val="17"/>
                <w:szCs w:val="17"/>
                <w:color w:val="auto"/>
              </w:rPr>
            </w:pPr>
          </w:p>
        </w:tc>
        <w:tc>
          <w:tcPr>
            <w:tcW w:w="23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(i) with</w:t>
            </w:r>
          </w:p>
        </w:tc>
        <w:tc>
          <w:tcPr>
            <w:tcW w:w="3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respect to an original Global</w:t>
            </w:r>
          </w:p>
        </w:tc>
      </w:tr>
      <w:tr>
        <w:trPr>
          <w:trHeight w:val="203"/>
        </w:trPr>
        <w:tc>
          <w:tcPr>
            <w:tcW w:w="2380" w:type="dxa"/>
            <w:vAlign w:val="bottom"/>
          </w:tcPr>
          <w:p>
            <w:pPr>
              <w:spacing w:after="0"/>
              <w:rPr>
                <w:sz w:val="17"/>
                <w:szCs w:val="17"/>
                <w:color w:val="auto"/>
              </w:rPr>
            </w:pPr>
          </w:p>
        </w:tc>
        <w:tc>
          <w:tcPr>
            <w:tcW w:w="23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Security</w:t>
            </w:r>
          </w:p>
        </w:tc>
        <w:tc>
          <w:tcPr>
            <w:tcW w:w="3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any portion thereof), its</w:t>
            </w:r>
          </w:p>
        </w:tc>
      </w:tr>
      <w:tr>
        <w:trPr>
          <w:trHeight w:val="203"/>
        </w:trPr>
        <w:tc>
          <w:tcPr>
            <w:tcW w:w="2380" w:type="dxa"/>
            <w:vAlign w:val="bottom"/>
          </w:tcPr>
          <w:p>
            <w:pPr>
              <w:spacing w:after="0"/>
              <w:rPr>
                <w:sz w:val="17"/>
                <w:szCs w:val="17"/>
                <w:color w:val="auto"/>
              </w:rPr>
            </w:pPr>
          </w:p>
        </w:tc>
        <w:tc>
          <w:tcPr>
            <w:tcW w:w="23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original</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issuance date and (ii) with</w:t>
            </w:r>
          </w:p>
        </w:tc>
        <w:tc>
          <w:tcPr>
            <w:tcW w:w="6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rPr>
              <w:t>respect to any Global Security (or any</w:t>
            </w:r>
          </w:p>
        </w:tc>
      </w:tr>
      <w:tr>
        <w:trPr>
          <w:trHeight w:val="203"/>
        </w:trPr>
        <w:tc>
          <w:tcPr>
            <w:tcW w:w="2380" w:type="dxa"/>
            <w:vAlign w:val="bottom"/>
          </w:tcPr>
          <w:p>
            <w:pPr>
              <w:spacing w:after="0"/>
              <w:rPr>
                <w:sz w:val="17"/>
                <w:szCs w:val="17"/>
                <w:color w:val="auto"/>
              </w:rPr>
            </w:pPr>
          </w:p>
        </w:tc>
        <w:tc>
          <w:tcPr>
            <w:tcW w:w="53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w w:val="99"/>
              </w:rPr>
              <w:t>portion thereof) issued subsequently</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upon</w:t>
            </w:r>
          </w:p>
        </w:tc>
      </w:tr>
      <w:tr>
        <w:trPr>
          <w:trHeight w:val="203"/>
        </w:trPr>
        <w:tc>
          <w:tcPr>
            <w:tcW w:w="2380" w:type="dxa"/>
            <w:vAlign w:val="bottom"/>
          </w:tcPr>
          <w:p>
            <w:pPr>
              <w:spacing w:after="0"/>
              <w:rPr>
                <w:sz w:val="17"/>
                <w:szCs w:val="17"/>
                <w:color w:val="auto"/>
              </w:rPr>
            </w:pPr>
          </w:p>
        </w:tc>
        <w:tc>
          <w:tcPr>
            <w:tcW w:w="23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exchange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a Global Security, or in</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lieu</w:t>
            </w:r>
          </w:p>
        </w:tc>
      </w:tr>
      <w:tr>
        <w:trPr>
          <w:trHeight w:val="203"/>
        </w:trPr>
        <w:tc>
          <w:tcPr>
            <w:tcW w:w="2380" w:type="dxa"/>
            <w:vAlign w:val="bottom"/>
          </w:tcPr>
          <w:p>
            <w:pPr>
              <w:spacing w:after="0"/>
              <w:rPr>
                <w:sz w:val="17"/>
                <w:szCs w:val="17"/>
                <w:color w:val="auto"/>
              </w:rPr>
            </w:pPr>
          </w:p>
        </w:tc>
        <w:tc>
          <w:tcPr>
            <w:tcW w:w="53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w w:val="97"/>
              </w:rPr>
              <w:t>of a destroyed, lost or stolen Global</w:t>
            </w:r>
          </w:p>
        </w:tc>
        <w:tc>
          <w:tcPr>
            <w:tcW w:w="6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1420"/>
              <w:spacing w:after="0" w:line="203" w:lineRule="exact"/>
              <w:rPr>
                <w:sz w:val="20"/>
                <w:szCs w:val="20"/>
                <w:color w:val="auto"/>
              </w:rPr>
            </w:pPr>
            <w:r>
              <w:rPr>
                <w:rFonts w:ascii="Courier New" w:cs="Courier New" w:eastAsia="Courier New" w:hAnsi="Courier New"/>
                <w:sz w:val="18"/>
                <w:szCs w:val="18"/>
                <w:color w:val="auto"/>
                <w:w w:val="99"/>
              </w:rPr>
              <w:t>Security, the most recent Interest Payment</w:t>
            </w:r>
          </w:p>
        </w:tc>
      </w:tr>
      <w:tr>
        <w:trPr>
          <w:trHeight w:val="203"/>
        </w:trPr>
        <w:tc>
          <w:tcPr>
            <w:tcW w:w="2380" w:type="dxa"/>
            <w:vAlign w:val="bottom"/>
          </w:tcPr>
          <w:p>
            <w:pPr>
              <w:spacing w:after="0"/>
              <w:rPr>
                <w:sz w:val="17"/>
                <w:szCs w:val="17"/>
                <w:color w:val="auto"/>
              </w:rPr>
            </w:pPr>
          </w:p>
        </w:tc>
        <w:tc>
          <w:tcPr>
            <w:tcW w:w="53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w w:val="99"/>
              </w:rPr>
              <w:t>Date to which interest has been paid</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2380" w:type="dxa"/>
            <w:vAlign w:val="bottom"/>
          </w:tcPr>
          <w:p>
            <w:pPr>
              <w:spacing w:after="0"/>
              <w:rPr>
                <w:sz w:val="17"/>
                <w:szCs w:val="17"/>
                <w:color w:val="auto"/>
              </w:rPr>
            </w:pPr>
          </w:p>
        </w:tc>
        <w:tc>
          <w:tcPr>
            <w:tcW w:w="532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w w:val="99"/>
              </w:rPr>
              <w:t>duly provided for on the predecessor</w:t>
            </w:r>
          </w:p>
        </w:tc>
        <w:tc>
          <w:tcPr>
            <w:tcW w:w="640" w:type="dxa"/>
            <w:vAlign w:val="bottom"/>
          </w:tcPr>
          <w:p>
            <w:pPr>
              <w:spacing w:after="0"/>
              <w:rPr>
                <w:sz w:val="17"/>
                <w:szCs w:val="17"/>
                <w:color w:val="auto"/>
              </w:rPr>
            </w:pPr>
          </w:p>
        </w:tc>
      </w:tr>
    </w:tbl>
    <w:p>
      <w:pPr>
        <w:sectPr>
          <w:pgSz w:w="11900" w:h="16838" w:orient="portrait"/>
          <w:cols w:equalWidth="0" w:num="1">
            <w:col w:w="10219"/>
          </w:cols>
          <w:pgMar w:left="240" w:top="520" w:right="1440" w:bottom="1440" w:gutter="0" w:footer="0" w:header="0"/>
        </w:sectPr>
      </w:pPr>
    </w:p>
    <w:bookmarkStart w:id="60" w:name="page61"/>
    <w:bookmarkEnd w:id="60"/>
    <w:p>
      <w:pPr>
        <w:ind w:left="3800"/>
        <w:spacing w:after="0"/>
        <w:rPr>
          <w:sz w:val="20"/>
          <w:szCs w:val="20"/>
          <w:color w:val="auto"/>
        </w:rPr>
      </w:pPr>
      <w:r>
        <w:rPr>
          <w:rFonts w:ascii="Courier New" w:cs="Courier New" w:eastAsia="Courier New" w:hAnsi="Courier New"/>
          <w:sz w:val="16"/>
          <w:szCs w:val="16"/>
          <w:color w:val="auto"/>
        </w:rPr>
        <w:t>Global Security (or if no such payment or</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provision has been made, the original</w:t>
      </w:r>
    </w:p>
    <w:p>
      <w:pPr>
        <w:ind w:left="3800"/>
        <w:spacing w:after="0" w:line="238" w:lineRule="auto"/>
        <w:rPr>
          <w:sz w:val="20"/>
          <w:szCs w:val="20"/>
          <w:color w:val="auto"/>
        </w:rPr>
      </w:pPr>
      <w:r>
        <w:rPr>
          <w:rFonts w:ascii="Courier New" w:cs="Courier New" w:eastAsia="Courier New" w:hAnsi="Courier New"/>
          <w:sz w:val="18"/>
          <w:szCs w:val="18"/>
          <w:color w:val="auto"/>
        </w:rPr>
        <w:t>issuance date of the predecessor Global</w:t>
      </w:r>
    </w:p>
    <w:p>
      <w:pPr>
        <w:ind w:left="3800"/>
        <w:spacing w:after="0"/>
        <w:rPr>
          <w:sz w:val="20"/>
          <w:szCs w:val="20"/>
          <w:color w:val="auto"/>
        </w:rPr>
      </w:pPr>
      <w:r>
        <w:rPr>
          <w:rFonts w:ascii="Courier New" w:cs="Courier New" w:eastAsia="Courier New" w:hAnsi="Courier New"/>
          <w:sz w:val="18"/>
          <w:szCs w:val="18"/>
          <w:color w:val="auto"/>
        </w:rPr>
        <w:t>Security), regardless of the date of</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authentication of such subsequently issued</w:t>
      </w:r>
    </w:p>
    <w:p>
      <w:pPr>
        <w:spacing w:after="0" w:line="16" w:lineRule="exact"/>
        <w:rPr>
          <w:sz w:val="20"/>
          <w:szCs w:val="20"/>
          <w:color w:val="auto"/>
        </w:rPr>
      </w:pPr>
    </w:p>
    <w:p>
      <w:pPr>
        <w:ind w:left="3800"/>
        <w:spacing w:after="0"/>
        <w:tabs>
          <w:tab w:leader="none" w:pos="5680" w:val="left"/>
        </w:tabs>
        <w:rPr>
          <w:sz w:val="20"/>
          <w:szCs w:val="20"/>
          <w:color w:val="auto"/>
        </w:rPr>
      </w:pPr>
      <w:r>
        <w:rPr>
          <w:rFonts w:ascii="Courier New" w:cs="Courier New" w:eastAsia="Courier New" w:hAnsi="Courier New"/>
          <w:sz w:val="18"/>
          <w:szCs w:val="18"/>
          <w:color w:val="auto"/>
        </w:rPr>
        <w:t>Global Security.</w:t>
      </w:r>
      <w:r>
        <w:rPr>
          <w:sz w:val="20"/>
          <w:szCs w:val="20"/>
          <w:color w:val="auto"/>
        </w:rPr>
        <w:tab/>
      </w:r>
      <w:r>
        <w:rPr>
          <w:rFonts w:ascii="Courier New" w:cs="Courier New" w:eastAsia="Courier New" w:hAnsi="Courier New"/>
          <w:sz w:val="16"/>
          <w:szCs w:val="16"/>
          <w:color w:val="auto"/>
        </w:rPr>
        <w:t>Book-Entry Notes may be</w:t>
      </w:r>
    </w:p>
    <w:p>
      <w:pPr>
        <w:ind w:left="3800"/>
        <w:spacing w:after="0"/>
        <w:tabs>
          <w:tab w:leader="none" w:pos="7040" w:val="left"/>
        </w:tabs>
        <w:rPr>
          <w:sz w:val="20"/>
          <w:szCs w:val="20"/>
          <w:color w:val="auto"/>
        </w:rPr>
      </w:pPr>
      <w:r>
        <w:rPr>
          <w:rFonts w:ascii="Courier New" w:cs="Courier New" w:eastAsia="Courier New" w:hAnsi="Courier New"/>
          <w:sz w:val="18"/>
          <w:szCs w:val="18"/>
          <w:color w:val="auto"/>
        </w:rPr>
        <w:t>payable only in U.S. dollars.</w:t>
      </w:r>
      <w:r>
        <w:rPr>
          <w:sz w:val="20"/>
          <w:szCs w:val="20"/>
          <w:color w:val="auto"/>
        </w:rPr>
        <w:tab/>
      </w:r>
      <w:r>
        <w:rPr>
          <w:rFonts w:ascii="Courier New" w:cs="Courier New" w:eastAsia="Courier New" w:hAnsi="Courier New"/>
          <w:sz w:val="16"/>
          <w:szCs w:val="16"/>
          <w:color w:val="auto"/>
        </w:rPr>
        <w:t>No Global</w:t>
      </w:r>
    </w:p>
    <w:p>
      <w:pPr>
        <w:ind w:left="3800"/>
        <w:spacing w:after="0"/>
        <w:rPr>
          <w:sz w:val="20"/>
          <w:szCs w:val="20"/>
          <w:color w:val="auto"/>
        </w:rPr>
      </w:pPr>
      <w:r>
        <w:rPr>
          <w:rFonts w:ascii="Courier New" w:cs="Courier New" w:eastAsia="Courier New" w:hAnsi="Courier New"/>
          <w:sz w:val="18"/>
          <w:szCs w:val="18"/>
          <w:color w:val="auto"/>
        </w:rPr>
        <w:t>Security will represent any Certificated</w:t>
      </w:r>
    </w:p>
    <w:p>
      <w:pPr>
        <w:ind w:left="3800"/>
        <w:spacing w:after="0" w:line="237" w:lineRule="auto"/>
        <w:rPr>
          <w:sz w:val="20"/>
          <w:szCs w:val="20"/>
          <w:color w:val="auto"/>
        </w:rPr>
      </w:pPr>
      <w:r>
        <w:rPr>
          <w:rFonts w:ascii="Courier New" w:cs="Courier New" w:eastAsia="Courier New" w:hAnsi="Courier New"/>
          <w:sz w:val="18"/>
          <w:szCs w:val="18"/>
          <w:color w:val="auto"/>
        </w:rPr>
        <w:t>Note.</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Denominations: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Book-Entry Notes will be issued in principal amounts of U.S. $[100,000] or any amount in excess thereof that is an integral multiple of U.S. $1,000. Global Securities will be denominated in principal amounts not in excess of U.S. $150,000,000. If one or more Book-Entry Notes having an aggregate principal amount in excess of $150,000,000 would, but for the preceding sentence, be represented by a single Global Security, then one Global Security will be issued to represent each U.S. $150,000,000 principal amount of such Book-Entry Note or Notes and an additional Global Security will be issued to represent any remaining principal amount of such Book-Entry Note or Notes. In such a case, each of the Global Securities representing such Book-Entry Note or Notes shall be assigned the same CUSIP number.</w:t>
      </w:r>
    </w:p>
    <w:p>
      <w:pPr>
        <w:spacing w:after="0" w:line="200" w:lineRule="exact"/>
        <w:rPr>
          <w:sz w:val="20"/>
          <w:szCs w:val="20"/>
          <w:color w:val="auto"/>
        </w:rPr>
      </w:pPr>
    </w:p>
    <w:p>
      <w:pPr>
        <w:sectPr>
          <w:pgSz w:w="11900" w:h="16838" w:orient="portrait"/>
          <w:cols w:equalWidth="0" w:num="2">
            <w:col w:w="3080" w:space="720"/>
            <w:col w:w="6419"/>
          </w:cols>
          <w:pgMar w:left="240" w:top="520"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Pricing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offer to purchase a Book-</w:t>
      </w:r>
    </w:p>
    <w:p>
      <w:pPr>
        <w:spacing w:after="0" w:line="238" w:lineRule="auto"/>
        <w:rPr>
          <w:sz w:val="20"/>
          <w:szCs w:val="20"/>
          <w:color w:val="auto"/>
        </w:rPr>
      </w:pPr>
      <w:r>
        <w:rPr>
          <w:rFonts w:ascii="Courier New" w:cs="Courier New" w:eastAsia="Courier New" w:hAnsi="Courier New"/>
          <w:sz w:val="18"/>
          <w:szCs w:val="18"/>
          <w:color w:val="auto"/>
        </w:rPr>
        <w:t>Entry Note is accepted by or on</w:t>
      </w:r>
    </w:p>
    <w:p>
      <w:pPr>
        <w:spacing w:after="0"/>
        <w:rPr>
          <w:sz w:val="20"/>
          <w:szCs w:val="20"/>
          <w:color w:val="auto"/>
        </w:rPr>
      </w:pPr>
      <w:r>
        <w:rPr>
          <w:rFonts w:ascii="Courier New" w:cs="Courier New" w:eastAsia="Courier New" w:hAnsi="Courier New"/>
          <w:sz w:val="18"/>
          <w:szCs w:val="18"/>
          <w:color w:val="auto"/>
        </w:rPr>
        <w:t>behalf of the Company, the Company</w:t>
      </w:r>
    </w:p>
    <w:p>
      <w:pPr>
        <w:spacing w:after="0" w:line="237" w:lineRule="auto"/>
        <w:rPr>
          <w:sz w:val="20"/>
          <w:szCs w:val="20"/>
          <w:color w:val="auto"/>
        </w:rPr>
      </w:pPr>
      <w:r>
        <w:rPr>
          <w:rFonts w:ascii="Courier New" w:cs="Courier New" w:eastAsia="Courier New" w:hAnsi="Courier New"/>
          <w:sz w:val="18"/>
          <w:szCs w:val="18"/>
          <w:color w:val="auto"/>
        </w:rPr>
        <w:t>will prepare a pricing supplement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"Pricing Supplement") reflecting the terms</w:t>
      </w:r>
    </w:p>
    <w:p>
      <w:pPr>
        <w:spacing w:after="0" w:line="1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of such Note.</w:t>
      </w:r>
      <w:r>
        <w:rPr>
          <w:sz w:val="20"/>
          <w:szCs w:val="20"/>
          <w:color w:val="auto"/>
        </w:rPr>
        <w:tab/>
      </w:r>
      <w:r>
        <w:rPr>
          <w:rFonts w:ascii="Courier New" w:cs="Courier New" w:eastAsia="Courier New" w:hAnsi="Courier New"/>
          <w:sz w:val="16"/>
          <w:szCs w:val="16"/>
          <w:color w:val="auto"/>
        </w:rPr>
        <w:t>The Company (i) will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arrange to file 10 copies of such Pricing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 with the Commission in</w:t>
      </w:r>
    </w:p>
    <w:p>
      <w:pPr>
        <w:spacing w:after="0" w:line="238" w:lineRule="auto"/>
        <w:rPr>
          <w:sz w:val="20"/>
          <w:szCs w:val="20"/>
          <w:color w:val="auto"/>
        </w:rPr>
      </w:pPr>
      <w:r>
        <w:rPr>
          <w:rFonts w:ascii="Courier New" w:cs="Courier New" w:eastAsia="Courier New" w:hAnsi="Courier New"/>
          <w:sz w:val="18"/>
          <w:szCs w:val="18"/>
          <w:color w:val="auto"/>
        </w:rPr>
        <w:t>accordance with the applicable paragraph</w:t>
      </w:r>
    </w:p>
    <w:p>
      <w:pPr>
        <w:spacing w:after="0"/>
        <w:rPr>
          <w:sz w:val="20"/>
          <w:szCs w:val="20"/>
          <w:color w:val="auto"/>
        </w:rPr>
      </w:pPr>
      <w:r>
        <w:rPr>
          <w:rFonts w:ascii="Courier New" w:cs="Courier New" w:eastAsia="Courier New" w:hAnsi="Courier New"/>
          <w:sz w:val="18"/>
          <w:szCs w:val="18"/>
          <w:color w:val="auto"/>
        </w:rPr>
        <w:t>of Rule 424(b) under the Act and (ii)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as soon as possible and in any event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later than the date on which such</w:t>
      </w:r>
    </w:p>
    <w:p>
      <w:pPr>
        <w:spacing w:after="0" w:line="238" w:lineRule="auto"/>
        <w:rPr>
          <w:sz w:val="20"/>
          <w:szCs w:val="20"/>
          <w:color w:val="auto"/>
        </w:rPr>
      </w:pPr>
      <w:r>
        <w:rPr>
          <w:rFonts w:ascii="Courier New" w:cs="Courier New" w:eastAsia="Courier New" w:hAnsi="Courier New"/>
          <w:sz w:val="18"/>
          <w:szCs w:val="18"/>
          <w:color w:val="auto"/>
        </w:rPr>
        <w:t>Pricing Supplement is filed with the</w:t>
      </w:r>
    </w:p>
    <w:p>
      <w:pPr>
        <w:spacing w:after="0"/>
        <w:rPr>
          <w:sz w:val="20"/>
          <w:szCs w:val="20"/>
          <w:color w:val="auto"/>
        </w:rPr>
      </w:pPr>
      <w:r>
        <w:rPr>
          <w:rFonts w:ascii="Courier New" w:cs="Courier New" w:eastAsia="Courier New" w:hAnsi="Courier New"/>
          <w:sz w:val="18"/>
          <w:szCs w:val="18"/>
          <w:color w:val="auto"/>
        </w:rPr>
        <w:t>Commission, deliver the number of copies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Pricing Supplement to the relevant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Agent as such Agent shall request.</w:t>
      </w:r>
    </w:p>
    <w:p>
      <w:pPr>
        <w:spacing w:after="0" w:line="200" w:lineRule="exact"/>
        <w:rPr>
          <w:sz w:val="20"/>
          <w:szCs w:val="20"/>
          <w:color w:val="auto"/>
        </w:rPr>
      </w:pPr>
    </w:p>
    <w:p>
      <w:pPr>
        <w:sectPr>
          <w:pgSz w:w="11900" w:h="16838" w:orient="portrait"/>
          <w:cols w:equalWidth="0" w:num="2">
            <w:col w:w="3080" w:space="720"/>
            <w:col w:w="6419"/>
          </w:cols>
          <w:pgMar w:left="240" w:top="520" w:right="1440" w:bottom="1440" w:gutter="0" w:footer="0" w:header="0"/>
          <w:type w:val="continuous"/>
        </w:sectPr>
      </w:pP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In each instance that a Pricing Supplement</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is prepared, the relevant Agent will affix</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Pricing Supplement to Prospectuses</w:t>
      </w:r>
    </w:p>
    <w:p>
      <w:pPr>
        <w:ind w:left="3800"/>
        <w:spacing w:after="0"/>
        <w:tabs>
          <w:tab w:leader="none" w:pos="6000" w:val="left"/>
        </w:tabs>
        <w:rPr>
          <w:sz w:val="20"/>
          <w:szCs w:val="20"/>
          <w:color w:val="auto"/>
        </w:rPr>
      </w:pPr>
      <w:r>
        <w:rPr>
          <w:rFonts w:ascii="Courier New" w:cs="Courier New" w:eastAsia="Courier New" w:hAnsi="Courier New"/>
          <w:sz w:val="18"/>
          <w:szCs w:val="18"/>
          <w:color w:val="auto"/>
        </w:rPr>
        <w:t>prior to their use.</w:t>
      </w:r>
      <w:r>
        <w:rPr>
          <w:sz w:val="20"/>
          <w:szCs w:val="20"/>
          <w:color w:val="auto"/>
        </w:rPr>
        <w:tab/>
      </w:r>
      <w:r>
        <w:rPr>
          <w:rFonts w:ascii="Courier New" w:cs="Courier New" w:eastAsia="Courier New" w:hAnsi="Courier New"/>
          <w:sz w:val="16"/>
          <w:szCs w:val="16"/>
          <w:color w:val="auto"/>
        </w:rPr>
        <w:t>Outdated Pricing</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Supplements, and the Prospectuses to which</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they are attached (other than those</w:t>
      </w:r>
    </w:p>
    <w:p>
      <w:pPr>
        <w:ind w:left="3800"/>
        <w:spacing w:after="0" w:line="238" w:lineRule="auto"/>
        <w:rPr>
          <w:sz w:val="20"/>
          <w:szCs w:val="20"/>
          <w:color w:val="auto"/>
        </w:rPr>
      </w:pPr>
      <w:r>
        <w:rPr>
          <w:rFonts w:ascii="Courier New" w:cs="Courier New" w:eastAsia="Courier New" w:hAnsi="Courier New"/>
          <w:sz w:val="18"/>
          <w:szCs w:val="18"/>
          <w:color w:val="auto"/>
        </w:rPr>
        <w:t>retained for files), will be destroyed.</w:t>
      </w:r>
    </w:p>
    <w:p>
      <w:pPr>
        <w:sectPr>
          <w:pgSz w:w="11900" w:h="16838" w:orient="portrait"/>
          <w:cols w:equalWidth="0" w:num="1">
            <w:col w:w="10219"/>
          </w:cols>
          <w:pgMar w:left="240" w:top="520"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receipt by the Company of immediately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funds in payment for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Note and the authentication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issuance of the Global Security</w:t>
      </w:r>
    </w:p>
    <w:p>
      <w:pPr>
        <w:sectPr>
          <w:pgSz w:w="11900" w:h="16838" w:orient="portrait"/>
          <w:cols w:equalWidth="0" w:num="2">
            <w:col w:w="3080" w:space="720"/>
            <w:col w:w="6419"/>
          </w:cols>
          <w:pgMar w:left="240" w:top="520" w:right="1440" w:bottom="1440" w:gutter="0" w:footer="0" w:header="0"/>
          <w:type w:val="continuous"/>
        </w:sectPr>
      </w:pPr>
    </w:p>
    <w:bookmarkStart w:id="61" w:name="page62"/>
    <w:bookmarkEnd w:id="61"/>
    <w:p>
      <w:pPr>
        <w:ind w:left="3800"/>
        <w:spacing w:after="0"/>
        <w:rPr>
          <w:sz w:val="20"/>
          <w:szCs w:val="20"/>
          <w:color w:val="auto"/>
        </w:rPr>
      </w:pPr>
      <w:r>
        <w:rPr>
          <w:rFonts w:ascii="Courier New" w:cs="Courier New" w:eastAsia="Courier New" w:hAnsi="Courier New"/>
          <w:sz w:val="18"/>
          <w:szCs w:val="18"/>
          <w:color w:val="auto"/>
        </w:rPr>
        <w:t>representing such Note shall constitute</w:t>
      </w:r>
    </w:p>
    <w:p>
      <w:pPr>
        <w:ind w:left="3800"/>
        <w:spacing w:after="0" w:line="238" w:lineRule="auto"/>
        <w:rPr>
          <w:sz w:val="20"/>
          <w:szCs w:val="20"/>
          <w:color w:val="auto"/>
        </w:rPr>
      </w:pPr>
      <w:r>
        <w:rPr>
          <w:rFonts w:ascii="Courier New" w:cs="Courier New" w:eastAsia="Courier New" w:hAnsi="Courier New"/>
          <w:sz w:val="18"/>
          <w:szCs w:val="18"/>
          <w:color w:val="auto"/>
        </w:rPr>
        <w:t>"settlement" with respect to such Note.</w:t>
      </w:r>
    </w:p>
    <w:p>
      <w:pPr>
        <w:ind w:left="3800"/>
        <w:spacing w:after="0"/>
        <w:rPr>
          <w:sz w:val="20"/>
          <w:szCs w:val="20"/>
          <w:color w:val="auto"/>
        </w:rPr>
      </w:pPr>
      <w:r>
        <w:rPr>
          <w:rFonts w:ascii="Courier New" w:cs="Courier New" w:eastAsia="Courier New" w:hAnsi="Courier New"/>
          <w:sz w:val="18"/>
          <w:szCs w:val="18"/>
          <w:color w:val="auto"/>
        </w:rPr>
        <w:t>All offers accepted by the Company will be</w:t>
      </w:r>
    </w:p>
    <w:p>
      <w:pPr>
        <w:ind w:left="3800"/>
        <w:spacing w:after="0" w:line="237" w:lineRule="auto"/>
        <w:rPr>
          <w:sz w:val="20"/>
          <w:szCs w:val="20"/>
          <w:color w:val="auto"/>
        </w:rPr>
      </w:pPr>
      <w:r>
        <w:rPr>
          <w:rFonts w:ascii="Courier New" w:cs="Courier New" w:eastAsia="Courier New" w:hAnsi="Courier New"/>
          <w:sz w:val="18"/>
          <w:szCs w:val="18"/>
          <w:color w:val="auto"/>
        </w:rPr>
        <w:t>settled on the fifth Business Day next</w:t>
      </w:r>
    </w:p>
    <w:p>
      <w:pPr>
        <w:ind w:left="3800"/>
        <w:spacing w:after="0" w:line="238" w:lineRule="auto"/>
        <w:rPr>
          <w:sz w:val="20"/>
          <w:szCs w:val="20"/>
          <w:color w:val="auto"/>
        </w:rPr>
      </w:pPr>
      <w:r>
        <w:rPr>
          <w:rFonts w:ascii="Courier New" w:cs="Courier New" w:eastAsia="Courier New" w:hAnsi="Courier New"/>
          <w:sz w:val="18"/>
          <w:szCs w:val="18"/>
          <w:color w:val="auto"/>
        </w:rPr>
        <w:t>succeeding the date of acceptance pursuant</w:t>
      </w:r>
    </w:p>
    <w:p>
      <w:pPr>
        <w:ind w:left="3800"/>
        <w:spacing w:after="0"/>
        <w:rPr>
          <w:sz w:val="20"/>
          <w:szCs w:val="20"/>
          <w:color w:val="auto"/>
        </w:rPr>
      </w:pPr>
      <w:r>
        <w:rPr>
          <w:rFonts w:ascii="Courier New" w:cs="Courier New" w:eastAsia="Courier New" w:hAnsi="Courier New"/>
          <w:sz w:val="18"/>
          <w:szCs w:val="18"/>
          <w:color w:val="auto"/>
        </w:rPr>
        <w:t>to the timetable for settlement set forth</w:t>
      </w:r>
    </w:p>
    <w:p>
      <w:pPr>
        <w:ind w:left="3800"/>
        <w:spacing w:after="0" w:line="237" w:lineRule="auto"/>
        <w:rPr>
          <w:sz w:val="20"/>
          <w:szCs w:val="20"/>
          <w:color w:val="auto"/>
        </w:rPr>
      </w:pPr>
      <w:r>
        <w:rPr>
          <w:rFonts w:ascii="Courier New" w:cs="Courier New" w:eastAsia="Courier New" w:hAnsi="Courier New"/>
          <w:sz w:val="18"/>
          <w:szCs w:val="18"/>
          <w:color w:val="auto"/>
        </w:rPr>
        <w:t>below, unless the Company and the</w:t>
      </w:r>
    </w:p>
    <w:p>
      <w:pPr>
        <w:ind w:left="3800"/>
        <w:spacing w:after="0"/>
        <w:rPr>
          <w:sz w:val="20"/>
          <w:szCs w:val="20"/>
          <w:color w:val="auto"/>
        </w:rPr>
      </w:pPr>
      <w:r>
        <w:rPr>
          <w:rFonts w:ascii="Courier New" w:cs="Courier New" w:eastAsia="Courier New" w:hAnsi="Courier New"/>
          <w:sz w:val="18"/>
          <w:szCs w:val="18"/>
          <w:color w:val="auto"/>
        </w:rPr>
        <w:t>purchaser agree to settlement on another</w:t>
      </w:r>
    </w:p>
    <w:p>
      <w:pPr>
        <w:ind w:left="3800"/>
        <w:spacing w:after="0" w:line="237" w:lineRule="auto"/>
        <w:rPr>
          <w:sz w:val="20"/>
          <w:szCs w:val="20"/>
          <w:color w:val="auto"/>
        </w:rPr>
      </w:pPr>
      <w:r>
        <w:rPr>
          <w:rFonts w:ascii="Courier New" w:cs="Courier New" w:eastAsia="Courier New" w:hAnsi="Courier New"/>
          <w:sz w:val="18"/>
          <w:szCs w:val="18"/>
          <w:color w:val="auto"/>
        </w:rPr>
        <w:t>day, which shall be no earlier than the</w:t>
      </w:r>
    </w:p>
    <w:p>
      <w:pPr>
        <w:ind w:left="3800"/>
        <w:spacing w:after="0"/>
        <w:rPr>
          <w:sz w:val="20"/>
          <w:szCs w:val="20"/>
          <w:color w:val="auto"/>
        </w:rPr>
      </w:pPr>
      <w:r>
        <w:rPr>
          <w:rFonts w:ascii="Courier New" w:cs="Courier New" w:eastAsia="Courier New" w:hAnsi="Courier New"/>
          <w:sz w:val="18"/>
          <w:szCs w:val="18"/>
          <w:color w:val="auto"/>
        </w:rPr>
        <w:t>next Business Day.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Settlement</w:t>
            </w:r>
          </w:p>
        </w:tc>
        <w:tc>
          <w:tcPr>
            <w:tcW w:w="3580" w:type="dxa"/>
            <w:vAlign w:val="bottom"/>
            <w:gridSpan w:val="3"/>
          </w:tcPr>
          <w:p>
            <w:pPr>
              <w:ind w:left="1320"/>
              <w:spacing w:after="0"/>
              <w:rPr>
                <w:sz w:val="20"/>
                <w:szCs w:val="20"/>
                <w:color w:val="auto"/>
              </w:rPr>
            </w:pPr>
            <w:r>
              <w:rPr>
                <w:rFonts w:ascii="Courier New" w:cs="Courier New" w:eastAsia="Courier New" w:hAnsi="Courier New"/>
                <w:sz w:val="18"/>
                <w:szCs w:val="18"/>
                <w:color w:val="auto"/>
                <w:w w:val="98"/>
              </w:rPr>
              <w:t>Settlement Procedures</w:t>
            </w:r>
          </w:p>
        </w:tc>
        <w:tc>
          <w:tcPr>
            <w:tcW w:w="18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with regard</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Procedures:</w:t>
            </w:r>
          </w:p>
        </w:tc>
        <w:tc>
          <w:tcPr>
            <w:tcW w:w="212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to each</w:t>
            </w:r>
          </w:p>
        </w:tc>
        <w:tc>
          <w:tcPr>
            <w:tcW w:w="2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Book-Entry Note sold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480" w:type="dxa"/>
            <w:vAlign w:val="bottom"/>
          </w:tcPr>
          <w:p>
            <w:pPr>
              <w:spacing w:after="0"/>
              <w:rPr>
                <w:sz w:val="17"/>
                <w:szCs w:val="17"/>
                <w:color w:val="auto"/>
              </w:rPr>
            </w:pPr>
          </w:p>
        </w:tc>
        <w:tc>
          <w:tcPr>
            <w:tcW w:w="212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Company</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to or through</w:t>
            </w:r>
          </w:p>
        </w:tc>
        <w:tc>
          <w:tcPr>
            <w:tcW w:w="1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an Agent (unless</w:t>
            </w:r>
          </w:p>
        </w:tc>
      </w:tr>
      <w:tr>
        <w:trPr>
          <w:trHeight w:val="203"/>
        </w:trPr>
        <w:tc>
          <w:tcPr>
            <w:tcW w:w="2480" w:type="dxa"/>
            <w:vAlign w:val="bottom"/>
          </w:tcPr>
          <w:p>
            <w:pPr>
              <w:spacing w:after="0"/>
              <w:rPr>
                <w:sz w:val="17"/>
                <w:szCs w:val="17"/>
                <w:color w:val="auto"/>
              </w:rPr>
            </w:pPr>
          </w:p>
        </w:tc>
        <w:tc>
          <w:tcPr>
            <w:tcW w:w="3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9"/>
              </w:rPr>
              <w:t>otherwise specified</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pursuant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a Terms</w:t>
            </w:r>
          </w:p>
        </w:tc>
      </w:tr>
      <w:tr>
        <w:trPr>
          <w:trHeight w:val="203"/>
        </w:trPr>
        <w:tc>
          <w:tcPr>
            <w:tcW w:w="2480" w:type="dxa"/>
            <w:vAlign w:val="bottom"/>
          </w:tcPr>
          <w:p>
            <w:pPr>
              <w:spacing w:after="0"/>
              <w:rPr>
                <w:sz w:val="17"/>
                <w:szCs w:val="17"/>
                <w:color w:val="auto"/>
              </w:rPr>
            </w:pPr>
          </w:p>
        </w:tc>
        <w:tc>
          <w:tcPr>
            <w:tcW w:w="3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9"/>
              </w:rPr>
              <w:t>Agreement) shall be</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as follows:</w:t>
            </w:r>
          </w:p>
        </w:tc>
        <w:tc>
          <w:tcPr>
            <w:tcW w:w="780" w:type="dxa"/>
            <w:vAlign w:val="bottom"/>
          </w:tcPr>
          <w:p>
            <w:pPr>
              <w:spacing w:after="0"/>
              <w:rPr>
                <w:sz w:val="17"/>
                <w:szCs w:val="17"/>
                <w:color w:val="auto"/>
              </w:rPr>
            </w:pPr>
          </w:p>
        </w:tc>
      </w:tr>
    </w:tbl>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The relevant Agent will advise</w:t>
      </w:r>
    </w:p>
    <w:p>
      <w:pPr>
        <w:ind w:left="4440"/>
        <w:spacing w:after="0" w:line="238" w:lineRule="auto"/>
        <w:rPr>
          <w:sz w:val="20"/>
          <w:szCs w:val="20"/>
          <w:color w:val="auto"/>
        </w:rPr>
      </w:pPr>
      <w:r>
        <w:rPr>
          <w:rFonts w:ascii="Courier New" w:cs="Courier New" w:eastAsia="Courier New" w:hAnsi="Courier New"/>
          <w:sz w:val="18"/>
          <w:szCs w:val="18"/>
          <w:color w:val="auto"/>
        </w:rPr>
        <w:t>the Company by telephone that such</w:t>
      </w:r>
    </w:p>
    <w:p>
      <w:pPr>
        <w:ind w:left="4440"/>
        <w:spacing w:after="0"/>
        <w:rPr>
          <w:sz w:val="20"/>
          <w:szCs w:val="20"/>
          <w:color w:val="auto"/>
        </w:rPr>
      </w:pPr>
      <w:r>
        <w:rPr>
          <w:rFonts w:ascii="Courier New" w:cs="Courier New" w:eastAsia="Courier New" w:hAnsi="Courier New"/>
          <w:sz w:val="18"/>
          <w:szCs w:val="18"/>
          <w:color w:val="auto"/>
        </w:rPr>
        <w:t>Note is a Book-Entry Note and of the</w:t>
      </w:r>
    </w:p>
    <w:p>
      <w:pPr>
        <w:ind w:left="4440"/>
        <w:spacing w:after="0" w:line="237" w:lineRule="auto"/>
        <w:rPr>
          <w:sz w:val="20"/>
          <w:szCs w:val="20"/>
          <w:color w:val="auto"/>
        </w:rPr>
      </w:pPr>
      <w:r>
        <w:rPr>
          <w:rFonts w:ascii="Courier New" w:cs="Courier New" w:eastAsia="Courier New" w:hAnsi="Courier New"/>
          <w:sz w:val="18"/>
          <w:szCs w:val="18"/>
          <w:color w:val="auto"/>
        </w:rPr>
        <w:t>following settlement information:</w:t>
      </w:r>
    </w:p>
    <w:p>
      <w:pPr>
        <w:spacing w:after="0" w:line="202" w:lineRule="exact"/>
        <w:rPr>
          <w:sz w:val="20"/>
          <w:szCs w:val="20"/>
          <w:color w:val="auto"/>
        </w:rPr>
      </w:pPr>
    </w:p>
    <w:p>
      <w:pPr>
        <w:ind w:left="5060"/>
        <w:spacing w:after="0"/>
        <w:tabs>
          <w:tab w:leader="none" w:pos="56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Principal amount.</w:t>
      </w:r>
    </w:p>
    <w:p>
      <w:pPr>
        <w:spacing w:after="0" w:line="201" w:lineRule="exact"/>
        <w:rPr>
          <w:sz w:val="20"/>
          <w:szCs w:val="20"/>
          <w:color w:val="auto"/>
        </w:rPr>
      </w:pPr>
    </w:p>
    <w:p>
      <w:pPr>
        <w:ind w:left="5060"/>
        <w:spacing w:after="0"/>
        <w:tabs>
          <w:tab w:leader="none" w:pos="5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Maturity Date.</w:t>
      </w:r>
    </w:p>
    <w:p>
      <w:pPr>
        <w:spacing w:after="0" w:line="201" w:lineRule="exact"/>
        <w:rPr>
          <w:sz w:val="20"/>
          <w:szCs w:val="20"/>
          <w:color w:val="auto"/>
        </w:rPr>
      </w:pPr>
    </w:p>
    <w:p>
      <w:pPr>
        <w:ind w:left="5060"/>
        <w:spacing w:after="0"/>
        <w:tabs>
          <w:tab w:leader="none" w:pos="568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In the case of a Fixed</w:t>
      </w:r>
    </w:p>
    <w:p>
      <w:pPr>
        <w:ind w:left="5060"/>
        <w:spacing w:after="0" w:line="238" w:lineRule="auto"/>
        <w:rPr>
          <w:sz w:val="20"/>
          <w:szCs w:val="20"/>
          <w:color w:val="auto"/>
        </w:rPr>
      </w:pPr>
      <w:r>
        <w:rPr>
          <w:rFonts w:ascii="Courier New" w:cs="Courier New" w:eastAsia="Courier New" w:hAnsi="Courier New"/>
          <w:sz w:val="18"/>
          <w:szCs w:val="18"/>
          <w:color w:val="auto"/>
        </w:rPr>
        <w:t>Rate Book-Entry Note, the</w:t>
      </w:r>
    </w:p>
    <w:p>
      <w:pPr>
        <w:ind w:left="5060"/>
        <w:spacing w:after="0"/>
        <w:rPr>
          <w:sz w:val="20"/>
          <w:szCs w:val="20"/>
          <w:color w:val="auto"/>
        </w:rPr>
      </w:pPr>
      <w:r>
        <w:rPr>
          <w:rFonts w:ascii="Courier New" w:cs="Courier New" w:eastAsia="Courier New" w:hAnsi="Courier New"/>
          <w:sz w:val="18"/>
          <w:szCs w:val="18"/>
          <w:color w:val="auto"/>
        </w:rPr>
        <w:t>Interest Rate, whether such</w:t>
      </w:r>
    </w:p>
    <w:p>
      <w:pPr>
        <w:ind w:left="5060"/>
        <w:spacing w:after="0" w:line="237" w:lineRule="auto"/>
        <w:rPr>
          <w:sz w:val="20"/>
          <w:szCs w:val="20"/>
          <w:color w:val="auto"/>
        </w:rPr>
      </w:pPr>
      <w:r>
        <w:rPr>
          <w:rFonts w:ascii="Courier New" w:cs="Courier New" w:eastAsia="Courier New" w:hAnsi="Courier New"/>
          <w:sz w:val="18"/>
          <w:szCs w:val="18"/>
          <w:color w:val="auto"/>
        </w:rPr>
        <w:t>Note will pay interest</w:t>
      </w:r>
    </w:p>
    <w:p>
      <w:pPr>
        <w:ind w:left="5060"/>
        <w:spacing w:after="0" w:line="238" w:lineRule="auto"/>
        <w:rPr>
          <w:sz w:val="20"/>
          <w:szCs w:val="20"/>
          <w:color w:val="auto"/>
        </w:rPr>
      </w:pPr>
      <w:r>
        <w:rPr>
          <w:rFonts w:ascii="Courier New" w:cs="Courier New" w:eastAsia="Courier New" w:hAnsi="Courier New"/>
          <w:sz w:val="18"/>
          <w:szCs w:val="18"/>
          <w:color w:val="auto"/>
        </w:rPr>
        <w:t>annually or semiannually and</w:t>
      </w:r>
    </w:p>
    <w:p>
      <w:pPr>
        <w:ind w:left="5060"/>
        <w:spacing w:after="0"/>
        <w:rPr>
          <w:sz w:val="20"/>
          <w:szCs w:val="20"/>
          <w:color w:val="auto"/>
        </w:rPr>
      </w:pPr>
      <w:r>
        <w:rPr>
          <w:rFonts w:ascii="Courier New" w:cs="Courier New" w:eastAsia="Courier New" w:hAnsi="Courier New"/>
          <w:sz w:val="18"/>
          <w:szCs w:val="18"/>
          <w:color w:val="auto"/>
        </w:rPr>
        <w:t>whether such Note is an</w:t>
      </w:r>
    </w:p>
    <w:p>
      <w:pPr>
        <w:ind w:left="5060"/>
        <w:spacing w:after="0" w:line="237" w:lineRule="auto"/>
        <w:rPr>
          <w:sz w:val="20"/>
          <w:szCs w:val="20"/>
          <w:color w:val="auto"/>
        </w:rPr>
      </w:pPr>
      <w:r>
        <w:rPr>
          <w:rFonts w:ascii="Courier New" w:cs="Courier New" w:eastAsia="Courier New" w:hAnsi="Courier New"/>
          <w:sz w:val="18"/>
          <w:szCs w:val="18"/>
          <w:color w:val="auto"/>
        </w:rPr>
        <w:t>Amortizing Note, and, if so,</w:t>
      </w:r>
    </w:p>
    <w:p>
      <w:pPr>
        <w:ind w:left="5060"/>
        <w:spacing w:after="0"/>
        <w:rPr>
          <w:sz w:val="20"/>
          <w:szCs w:val="20"/>
          <w:color w:val="auto"/>
        </w:rPr>
      </w:pPr>
      <w:r>
        <w:rPr>
          <w:rFonts w:ascii="Courier New" w:cs="Courier New" w:eastAsia="Courier New" w:hAnsi="Courier New"/>
          <w:sz w:val="18"/>
          <w:szCs w:val="18"/>
          <w:color w:val="auto"/>
        </w:rPr>
        <w:t>the amortization schedule, or,</w:t>
      </w:r>
    </w:p>
    <w:p>
      <w:pPr>
        <w:ind w:left="5060"/>
        <w:spacing w:after="0" w:line="237" w:lineRule="auto"/>
        <w:rPr>
          <w:sz w:val="20"/>
          <w:szCs w:val="20"/>
          <w:color w:val="auto"/>
        </w:rPr>
      </w:pPr>
      <w:r>
        <w:rPr>
          <w:rFonts w:ascii="Courier New" w:cs="Courier New" w:eastAsia="Courier New" w:hAnsi="Courier New"/>
          <w:sz w:val="18"/>
          <w:szCs w:val="18"/>
          <w:color w:val="auto"/>
        </w:rPr>
        <w:t>in the case of a Floating Rate</w:t>
      </w:r>
    </w:p>
    <w:p>
      <w:pPr>
        <w:ind w:left="5060"/>
        <w:spacing w:after="0"/>
        <w:rPr>
          <w:sz w:val="20"/>
          <w:szCs w:val="20"/>
          <w:color w:val="auto"/>
        </w:rPr>
      </w:pPr>
      <w:r>
        <w:rPr>
          <w:rFonts w:ascii="Courier New" w:cs="Courier New" w:eastAsia="Courier New" w:hAnsi="Courier New"/>
          <w:sz w:val="18"/>
          <w:szCs w:val="18"/>
          <w:color w:val="auto"/>
        </w:rPr>
        <w:t>Book-Entry Note, the Initial</w:t>
      </w:r>
    </w:p>
    <w:p>
      <w:pPr>
        <w:ind w:left="5060"/>
        <w:spacing w:after="0" w:line="237" w:lineRule="auto"/>
        <w:rPr>
          <w:sz w:val="20"/>
          <w:szCs w:val="20"/>
          <w:color w:val="auto"/>
        </w:rPr>
      </w:pPr>
      <w:r>
        <w:rPr>
          <w:rFonts w:ascii="Courier New" w:cs="Courier New" w:eastAsia="Courier New" w:hAnsi="Courier New"/>
          <w:sz w:val="18"/>
          <w:szCs w:val="18"/>
          <w:color w:val="auto"/>
        </w:rPr>
        <w:t>Interest Rate (if known at</w:t>
      </w:r>
    </w:p>
    <w:p>
      <w:pPr>
        <w:ind w:left="5060"/>
        <w:spacing w:after="0" w:line="238" w:lineRule="auto"/>
        <w:rPr>
          <w:sz w:val="20"/>
          <w:szCs w:val="20"/>
          <w:color w:val="auto"/>
        </w:rPr>
      </w:pPr>
      <w:r>
        <w:rPr>
          <w:rFonts w:ascii="Courier New" w:cs="Courier New" w:eastAsia="Courier New" w:hAnsi="Courier New"/>
          <w:sz w:val="18"/>
          <w:szCs w:val="18"/>
          <w:color w:val="auto"/>
        </w:rPr>
        <w:t>such time), Interest Payment</w:t>
      </w:r>
    </w:p>
    <w:p>
      <w:pPr>
        <w:ind w:left="5060"/>
        <w:spacing w:after="0"/>
        <w:rPr>
          <w:sz w:val="20"/>
          <w:szCs w:val="20"/>
          <w:color w:val="auto"/>
        </w:rPr>
      </w:pPr>
      <w:r>
        <w:rPr>
          <w:rFonts w:ascii="Courier New" w:cs="Courier New" w:eastAsia="Courier New" w:hAnsi="Courier New"/>
          <w:sz w:val="18"/>
          <w:szCs w:val="18"/>
          <w:color w:val="auto"/>
        </w:rPr>
        <w:t>Date(s), Interest Payment</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Period, Calculation Agent, Base</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Rate, Index Maturity, Interest</w:t>
      </w:r>
    </w:p>
    <w:p>
      <w:pPr>
        <w:ind w:left="5060"/>
        <w:spacing w:after="0" w:line="238" w:lineRule="auto"/>
        <w:rPr>
          <w:sz w:val="20"/>
          <w:szCs w:val="20"/>
          <w:color w:val="auto"/>
        </w:rPr>
      </w:pPr>
      <w:r>
        <w:rPr>
          <w:rFonts w:ascii="Courier New" w:cs="Courier New" w:eastAsia="Courier New" w:hAnsi="Courier New"/>
          <w:sz w:val="18"/>
          <w:szCs w:val="18"/>
          <w:color w:val="auto"/>
        </w:rPr>
        <w:t>Reset Period, Initial Interest</w:t>
      </w:r>
    </w:p>
    <w:p>
      <w:pPr>
        <w:ind w:left="5060"/>
        <w:spacing w:after="0"/>
        <w:rPr>
          <w:sz w:val="20"/>
          <w:szCs w:val="20"/>
          <w:color w:val="auto"/>
        </w:rPr>
      </w:pPr>
      <w:r>
        <w:rPr>
          <w:rFonts w:ascii="Courier New" w:cs="Courier New" w:eastAsia="Courier New" w:hAnsi="Courier New"/>
          <w:sz w:val="18"/>
          <w:szCs w:val="18"/>
          <w:color w:val="auto"/>
        </w:rPr>
        <w:t>Reset Date, Interest Reset</w:t>
      </w:r>
    </w:p>
    <w:p>
      <w:pPr>
        <w:ind w:left="5060"/>
        <w:spacing w:after="0" w:line="237" w:lineRule="auto"/>
        <w:rPr>
          <w:sz w:val="20"/>
          <w:szCs w:val="20"/>
          <w:color w:val="auto"/>
        </w:rPr>
      </w:pPr>
      <w:r>
        <w:rPr>
          <w:rFonts w:ascii="Courier New" w:cs="Courier New" w:eastAsia="Courier New" w:hAnsi="Courier New"/>
          <w:sz w:val="18"/>
          <w:szCs w:val="18"/>
          <w:color w:val="auto"/>
        </w:rPr>
        <w:t>Dates, Spread or Spread</w:t>
      </w:r>
    </w:p>
    <w:p>
      <w:pPr>
        <w:ind w:left="5060"/>
        <w:spacing w:after="0" w:line="238" w:lineRule="auto"/>
        <w:rPr>
          <w:sz w:val="20"/>
          <w:szCs w:val="20"/>
          <w:color w:val="auto"/>
        </w:rPr>
      </w:pPr>
      <w:r>
        <w:rPr>
          <w:rFonts w:ascii="Courier New" w:cs="Courier New" w:eastAsia="Courier New" w:hAnsi="Courier New"/>
          <w:sz w:val="18"/>
          <w:szCs w:val="18"/>
          <w:color w:val="auto"/>
        </w:rPr>
        <w:t>Multiplier (if any), Minimum</w:t>
      </w:r>
    </w:p>
    <w:p>
      <w:pPr>
        <w:ind w:left="5060"/>
        <w:spacing w:after="0"/>
        <w:rPr>
          <w:sz w:val="20"/>
          <w:szCs w:val="20"/>
          <w:color w:val="auto"/>
        </w:rPr>
      </w:pPr>
      <w:r>
        <w:rPr>
          <w:rFonts w:ascii="Courier New" w:cs="Courier New" w:eastAsia="Courier New" w:hAnsi="Courier New"/>
          <w:sz w:val="18"/>
          <w:szCs w:val="18"/>
          <w:color w:val="auto"/>
        </w:rPr>
        <w:t>Interest Rate (if any),</w:t>
      </w:r>
    </w:p>
    <w:p>
      <w:pPr>
        <w:ind w:left="5060"/>
        <w:spacing w:after="0" w:line="237" w:lineRule="auto"/>
        <w:rPr>
          <w:sz w:val="20"/>
          <w:szCs w:val="20"/>
          <w:color w:val="auto"/>
        </w:rPr>
      </w:pPr>
      <w:r>
        <w:rPr>
          <w:rFonts w:ascii="Courier New" w:cs="Courier New" w:eastAsia="Courier New" w:hAnsi="Courier New"/>
          <w:sz w:val="18"/>
          <w:szCs w:val="18"/>
          <w:color w:val="auto"/>
        </w:rPr>
        <w:t>Maximum Interest Rate (if any)</w:t>
      </w:r>
    </w:p>
    <w:p>
      <w:pPr>
        <w:ind w:left="5060"/>
        <w:spacing w:after="0"/>
        <w:rPr>
          <w:sz w:val="20"/>
          <w:szCs w:val="20"/>
          <w:color w:val="auto"/>
        </w:rPr>
      </w:pPr>
      <w:r>
        <w:rPr>
          <w:rFonts w:ascii="Courier New" w:cs="Courier New" w:eastAsia="Courier New" w:hAnsi="Courier New"/>
          <w:sz w:val="18"/>
          <w:szCs w:val="18"/>
          <w:color w:val="auto"/>
        </w:rPr>
        <w:t>and the Alternate Rate Event</w:t>
      </w:r>
    </w:p>
    <w:p>
      <w:pPr>
        <w:ind w:left="5060"/>
        <w:spacing w:after="0" w:line="237" w:lineRule="auto"/>
        <w:rPr>
          <w:sz w:val="20"/>
          <w:szCs w:val="20"/>
          <w:color w:val="auto"/>
        </w:rPr>
      </w:pPr>
      <w:r>
        <w:rPr>
          <w:rFonts w:ascii="Courier New" w:cs="Courier New" w:eastAsia="Courier New" w:hAnsi="Courier New"/>
          <w:sz w:val="18"/>
          <w:szCs w:val="18"/>
          <w:color w:val="auto"/>
        </w:rPr>
        <w:t>Spread (if any).</w:t>
      </w:r>
    </w:p>
    <w:p>
      <w:pPr>
        <w:spacing w:after="0" w:line="202" w:lineRule="exact"/>
        <w:rPr>
          <w:sz w:val="20"/>
          <w:szCs w:val="20"/>
          <w:color w:val="auto"/>
        </w:rPr>
      </w:pPr>
    </w:p>
    <w:p>
      <w:pPr>
        <w:ind w:left="5060"/>
        <w:spacing w:after="0"/>
        <w:tabs>
          <w:tab w:leader="none" w:pos="56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Redemption or repayment</w:t>
      </w:r>
    </w:p>
    <w:p>
      <w:pPr>
        <w:ind w:left="5060"/>
        <w:spacing w:after="0" w:line="238" w:lineRule="auto"/>
        <w:rPr>
          <w:sz w:val="20"/>
          <w:szCs w:val="20"/>
          <w:color w:val="auto"/>
        </w:rPr>
      </w:pPr>
      <w:r>
        <w:rPr>
          <w:rFonts w:ascii="Courier New" w:cs="Courier New" w:eastAsia="Courier New" w:hAnsi="Courier New"/>
          <w:sz w:val="18"/>
          <w:szCs w:val="18"/>
          <w:color w:val="auto"/>
        </w:rPr>
        <w:t>provisions (if any).</w:t>
      </w:r>
    </w:p>
    <w:p>
      <w:pPr>
        <w:spacing w:after="0" w:line="202" w:lineRule="exact"/>
        <w:rPr>
          <w:sz w:val="20"/>
          <w:szCs w:val="20"/>
          <w:color w:val="auto"/>
        </w:rPr>
      </w:pPr>
    </w:p>
    <w:p>
      <w:pPr>
        <w:ind w:left="5060"/>
        <w:spacing w:after="0"/>
        <w:tabs>
          <w:tab w:leader="none" w:pos="56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Settlement date and time</w:t>
      </w:r>
    </w:p>
    <w:p>
      <w:pPr>
        <w:ind w:left="5060"/>
        <w:spacing w:after="0" w:line="238" w:lineRule="auto"/>
        <w:rPr>
          <w:sz w:val="20"/>
          <w:szCs w:val="20"/>
          <w:color w:val="auto"/>
        </w:rPr>
      </w:pPr>
      <w:r>
        <w:rPr>
          <w:rFonts w:ascii="Courier New" w:cs="Courier New" w:eastAsia="Courier New" w:hAnsi="Courier New"/>
          <w:sz w:val="18"/>
          <w:szCs w:val="18"/>
          <w:color w:val="auto"/>
        </w:rPr>
        <w:t>(Original Issue Date).</w:t>
      </w:r>
    </w:p>
    <w:p>
      <w:pPr>
        <w:spacing w:after="0" w:line="202" w:lineRule="exact"/>
        <w:rPr>
          <w:sz w:val="20"/>
          <w:szCs w:val="20"/>
          <w:color w:val="auto"/>
        </w:rPr>
      </w:pPr>
    </w:p>
    <w:p>
      <w:pPr>
        <w:ind w:left="5060"/>
        <w:spacing w:after="0"/>
        <w:tabs>
          <w:tab w:leader="none" w:pos="56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Interest Accrual Date.</w:t>
      </w:r>
    </w:p>
    <w:p>
      <w:pPr>
        <w:spacing w:after="0" w:line="201" w:lineRule="exact"/>
        <w:rPr>
          <w:sz w:val="20"/>
          <w:szCs w:val="20"/>
          <w:color w:val="auto"/>
        </w:rPr>
      </w:pPr>
    </w:p>
    <w:p>
      <w:pPr>
        <w:ind w:left="5060"/>
        <w:spacing w:after="0"/>
        <w:tabs>
          <w:tab w:leader="none" w:pos="56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Price.</w:t>
      </w:r>
    </w:p>
    <w:p>
      <w:pPr>
        <w:sectPr>
          <w:pgSz w:w="11900" w:h="16838" w:orient="portrait"/>
          <w:cols w:equalWidth="0" w:num="1">
            <w:col w:w="10219"/>
          </w:cols>
          <w:pgMar w:left="240" w:top="514" w:right="1440" w:bottom="1440" w:gutter="0" w:footer="0" w:header="0"/>
        </w:sectPr>
      </w:pPr>
    </w:p>
    <w:bookmarkStart w:id="62" w:name="page63"/>
    <w:bookmarkEnd w:id="62"/>
    <w:p>
      <w:pPr>
        <w:ind w:left="3860" w:right="1999" w:firstLine="4"/>
        <w:spacing w:after="0" w:line="279" w:lineRule="auto"/>
        <w:tabs>
          <w:tab w:leader="none" w:pos="4492"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Agent's commission (if any) determined as provided in the Distribution Agreement.</w:t>
      </w:r>
    </w:p>
    <w:p>
      <w:pPr>
        <w:spacing w:after="0" w:line="380" w:lineRule="exact"/>
        <w:rPr>
          <w:rFonts w:ascii="Courier New" w:cs="Courier New" w:eastAsia="Courier New" w:hAnsi="Courier New"/>
          <w:sz w:val="16"/>
          <w:szCs w:val="16"/>
          <w:color w:val="auto"/>
        </w:rPr>
      </w:pPr>
    </w:p>
    <w:p>
      <w:pPr>
        <w:ind w:left="3860" w:right="1999" w:firstLine="4"/>
        <w:spacing w:after="0" w:line="271" w:lineRule="auto"/>
        <w:tabs>
          <w:tab w:leader="none" w:pos="4492"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Note is an Original Issue Discount Note (an "OID Note"), and if it is an OID Note, the total amount of OID, the yield to maturity, the initial accrual period OID and the applicability of Modified Payment upon Acceleration (and, if so, the Issue Price).</w:t>
      </w: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3860" w:right="1999" w:firstLine="4"/>
        <w:spacing w:after="0" w:line="238" w:lineRule="auto"/>
        <w:tabs>
          <w:tab w:leader="none" w:pos="4492"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Note is a PERLS Note, and if it is a PERLS Note, the Denominated Currency, the Indexed Currency or Currencies, the Payment Currency, the Exchange Rate Agent, the Reference Dealers, the Face Amount, the Fixed Amount of each Indexed Currency, the Aggregate Fixed Amount of each Indexed Currency and the Authorized Denominations (if other than U.S. dollars).</w:t>
      </w:r>
    </w:p>
    <w:p>
      <w:pPr>
        <w:spacing w:after="0" w:line="207" w:lineRule="exact"/>
        <w:rPr>
          <w:rFonts w:ascii="Courier New" w:cs="Courier New" w:eastAsia="Courier New" w:hAnsi="Courier New"/>
          <w:sz w:val="18"/>
          <w:szCs w:val="18"/>
          <w:color w:val="auto"/>
        </w:rPr>
      </w:pPr>
    </w:p>
    <w:p>
      <w:pPr>
        <w:ind w:left="3860" w:right="1999" w:firstLine="4"/>
        <w:spacing w:after="0" w:line="237" w:lineRule="auto"/>
        <w:tabs>
          <w:tab w:leader="none" w:pos="4492"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Note is a Renewable Note, and if it is a Renewable Note, the Initial Maturity Date and the Final Maturity Date.</w:t>
      </w:r>
    </w:p>
    <w:p>
      <w:pPr>
        <w:spacing w:after="0" w:line="208" w:lineRule="exact"/>
        <w:rPr>
          <w:rFonts w:ascii="Courier New" w:cs="Courier New" w:eastAsia="Courier New" w:hAnsi="Courier New"/>
          <w:sz w:val="18"/>
          <w:szCs w:val="18"/>
          <w:color w:val="auto"/>
        </w:rPr>
      </w:pPr>
    </w:p>
    <w:p>
      <w:pPr>
        <w:ind w:left="3860" w:right="2099" w:firstLine="4"/>
        <w:spacing w:after="0" w:line="273" w:lineRule="auto"/>
        <w:tabs>
          <w:tab w:leader="none" w:pos="4492"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Company has the option to extend the Original Maturity Date of the Note, and, if so, the Final Maturity Date of such Note.</w:t>
      </w:r>
    </w:p>
    <w:p>
      <w:pPr>
        <w:spacing w:after="0" w:line="184" w:lineRule="exact"/>
        <w:rPr>
          <w:rFonts w:ascii="Courier New" w:cs="Courier New" w:eastAsia="Courier New" w:hAnsi="Courier New"/>
          <w:sz w:val="16"/>
          <w:szCs w:val="16"/>
          <w:color w:val="auto"/>
        </w:rPr>
      </w:pPr>
    </w:p>
    <w:p>
      <w:pPr>
        <w:ind w:left="3860" w:right="2099" w:firstLine="4"/>
        <w:spacing w:after="0" w:line="237" w:lineRule="auto"/>
        <w:tabs>
          <w:tab w:leader="none" w:pos="4492"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Company has the option to reset the Interest Rate, the Spread or the Spread Multiplier of the Note.</w:t>
      </w:r>
    </w:p>
    <w:p>
      <w:pPr>
        <w:spacing w:after="0" w:line="203" w:lineRule="exact"/>
        <w:rPr>
          <w:rFonts w:ascii="Courier New" w:cs="Courier New" w:eastAsia="Courier New" w:hAnsi="Courier New"/>
          <w:sz w:val="18"/>
          <w:szCs w:val="18"/>
          <w:color w:val="auto"/>
        </w:rPr>
      </w:pPr>
    </w:p>
    <w:p>
      <w:pPr>
        <w:ind w:left="4500" w:hanging="636"/>
        <w:spacing w:after="0"/>
        <w:tabs>
          <w:tab w:leader="none" w:pos="450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applicable</w:t>
      </w:r>
    </w:p>
    <w:p>
      <w:pPr>
        <w:ind w:left="3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terms.</w:t>
      </w:r>
    </w:p>
    <w:p>
      <w:pPr>
        <w:spacing w:after="0" w:line="207" w:lineRule="exact"/>
        <w:rPr>
          <w:rFonts w:ascii="Courier New" w:cs="Courier New" w:eastAsia="Courier New" w:hAnsi="Courier New"/>
          <w:sz w:val="18"/>
          <w:szCs w:val="18"/>
          <w:color w:val="auto"/>
        </w:rPr>
      </w:pPr>
    </w:p>
    <w:p>
      <w:pPr>
        <w:ind w:left="3240" w:right="1999" w:hanging="8"/>
        <w:spacing w:after="0" w:line="271" w:lineRule="auto"/>
        <w:tabs>
          <w:tab w:leader="none" w:pos="376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advise Chemical by telecopier or electronic transmission (confirmed in writing at any time on the same date) of the information set forth in Settlement Procedure "A" above. Chemical will then assign a CUSIP number to the</w:t>
      </w:r>
    </w:p>
    <w:p>
      <w:pPr>
        <w:sectPr>
          <w:pgSz w:w="11900" w:h="16838" w:orient="portrait"/>
          <w:cols w:equalWidth="0" w:num="1">
            <w:col w:w="9019"/>
          </w:cols>
          <w:pgMar w:left="1440" w:top="520" w:right="1440" w:bottom="1440" w:gutter="0" w:footer="0" w:header="0"/>
        </w:sectPr>
      </w:pPr>
    </w:p>
    <w:bookmarkStart w:id="63" w:name="page64"/>
    <w:bookmarkEnd w:id="63"/>
    <w:p>
      <w:pPr>
        <w:ind w:left="3240"/>
        <w:spacing w:after="0"/>
        <w:rPr>
          <w:sz w:val="20"/>
          <w:szCs w:val="20"/>
          <w:color w:val="auto"/>
        </w:rPr>
      </w:pPr>
      <w:r>
        <w:rPr>
          <w:rFonts w:ascii="Courier New" w:cs="Courier New" w:eastAsia="Courier New" w:hAnsi="Courier New"/>
          <w:sz w:val="18"/>
          <w:szCs w:val="18"/>
          <w:color w:val="auto"/>
        </w:rPr>
        <w:t>Global Security representing such</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Note and will notify the Company and</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the relevant Agent of such CUSIP</w:t>
      </w:r>
    </w:p>
    <w:p>
      <w:pPr>
        <w:ind w:left="3240"/>
        <w:spacing w:after="0" w:line="238" w:lineRule="auto"/>
        <w:rPr>
          <w:sz w:val="20"/>
          <w:szCs w:val="20"/>
          <w:color w:val="auto"/>
        </w:rPr>
      </w:pPr>
      <w:r>
        <w:rPr>
          <w:rFonts w:ascii="Courier New" w:cs="Courier New" w:eastAsia="Courier New" w:hAnsi="Courier New"/>
          <w:sz w:val="18"/>
          <w:szCs w:val="18"/>
          <w:color w:val="auto"/>
        </w:rPr>
        <w:t>number by telecopier as soon as</w:t>
      </w:r>
    </w:p>
    <w:p>
      <w:pPr>
        <w:ind w:left="3240"/>
        <w:spacing w:after="0"/>
        <w:rPr>
          <w:sz w:val="20"/>
          <w:szCs w:val="20"/>
          <w:color w:val="auto"/>
        </w:rPr>
      </w:pPr>
      <w:r>
        <w:rPr>
          <w:rFonts w:ascii="Courier New" w:cs="Courier New" w:eastAsia="Courier New" w:hAnsi="Courier New"/>
          <w:sz w:val="18"/>
          <w:szCs w:val="18"/>
          <w:color w:val="auto"/>
        </w:rPr>
        <w:t>practicable.</w:t>
      </w:r>
    </w:p>
    <w:p>
      <w:pPr>
        <w:spacing w:after="0" w:line="206" w:lineRule="exact"/>
        <w:rPr>
          <w:sz w:val="20"/>
          <w:szCs w:val="20"/>
          <w:color w:val="auto"/>
        </w:rPr>
      </w:pPr>
    </w:p>
    <w:p>
      <w:pPr>
        <w:ind w:left="3240" w:right="2199" w:hanging="8"/>
        <w:spacing w:after="0" w:line="237" w:lineRule="auto"/>
        <w:tabs>
          <w:tab w:leader="none" w:pos="376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Chemical will enter a pending deposit message through DTC's Participant Terminal System, providing the following settlement information to DTC, the relevant Agent and Standard &amp; Poor's Corporation:</w:t>
      </w:r>
    </w:p>
    <w:p>
      <w:pPr>
        <w:spacing w:after="0" w:line="211" w:lineRule="exact"/>
        <w:rPr>
          <w:rFonts w:ascii="Courier New" w:cs="Courier New" w:eastAsia="Courier New" w:hAnsi="Courier New"/>
          <w:sz w:val="18"/>
          <w:szCs w:val="18"/>
          <w:color w:val="auto"/>
        </w:rPr>
      </w:pPr>
    </w:p>
    <w:p>
      <w:pPr>
        <w:ind w:left="3860" w:right="2099" w:firstLine="4"/>
        <w:spacing w:after="0" w:line="236" w:lineRule="auto"/>
        <w:tabs>
          <w:tab w:leader="none" w:pos="449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Settlement Procedure "A".</w:t>
      </w:r>
    </w:p>
    <w:p>
      <w:pPr>
        <w:spacing w:after="0" w:line="208" w:lineRule="exact"/>
        <w:rPr>
          <w:rFonts w:ascii="Courier New" w:cs="Courier New" w:eastAsia="Courier New" w:hAnsi="Courier New"/>
          <w:sz w:val="18"/>
          <w:szCs w:val="18"/>
          <w:color w:val="auto"/>
        </w:rPr>
      </w:pPr>
    </w:p>
    <w:p>
      <w:pPr>
        <w:ind w:left="3860" w:right="1999" w:firstLine="4"/>
        <w:spacing w:after="0" w:line="269" w:lineRule="auto"/>
        <w:tabs>
          <w:tab w:leader="none" w:pos="4492"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Interest Payment Date for such Note, the number of days by which such date succeeds the related DTC Record Date (which in the case of Floating Rate Notes which reset daily or weekly, shall be the date five calendar days immediately preceding the applicable Interest Payment Date and, in the case of all other Notes, shall be the Record Date as defined in the Note) and, if known, the amount of interest payable on such Initial Interest Payment Date.</w:t>
      </w:r>
    </w:p>
    <w:p>
      <w:pPr>
        <w:spacing w:after="0" w:line="395" w:lineRule="exact"/>
        <w:rPr>
          <w:rFonts w:ascii="Courier New" w:cs="Courier New" w:eastAsia="Courier New" w:hAnsi="Courier New"/>
          <w:sz w:val="16"/>
          <w:szCs w:val="16"/>
          <w:color w:val="auto"/>
        </w:rPr>
      </w:pPr>
    </w:p>
    <w:p>
      <w:pPr>
        <w:ind w:left="3860" w:right="2099" w:firstLine="4"/>
        <w:spacing w:after="0" w:line="236" w:lineRule="auto"/>
        <w:tabs>
          <w:tab w:leader="none" w:pos="449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 of the Global Security representing such Note.</w:t>
      </w:r>
    </w:p>
    <w:p>
      <w:pPr>
        <w:spacing w:after="0" w:line="208" w:lineRule="exact"/>
        <w:rPr>
          <w:rFonts w:ascii="Courier New" w:cs="Courier New" w:eastAsia="Courier New" w:hAnsi="Courier New"/>
          <w:sz w:val="18"/>
          <w:szCs w:val="18"/>
          <w:color w:val="auto"/>
        </w:rPr>
      </w:pPr>
    </w:p>
    <w:p>
      <w:pPr>
        <w:ind w:left="3860" w:right="2099" w:firstLine="4"/>
        <w:spacing w:after="0" w:line="275" w:lineRule="auto"/>
        <w:tabs>
          <w:tab w:leader="none" w:pos="4492"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Global Security will represent any other Book-Entry Note (to the extent known at such time).</w:t>
      </w:r>
    </w:p>
    <w:p>
      <w:pPr>
        <w:spacing w:after="0" w:line="182" w:lineRule="exact"/>
        <w:rPr>
          <w:rFonts w:ascii="Courier New" w:cs="Courier New" w:eastAsia="Courier New" w:hAnsi="Courier New"/>
          <w:sz w:val="16"/>
          <w:szCs w:val="16"/>
          <w:color w:val="auto"/>
        </w:rPr>
      </w:pPr>
    </w:p>
    <w:p>
      <w:pPr>
        <w:ind w:left="3860" w:right="2099" w:firstLine="4"/>
        <w:spacing w:after="0" w:line="273" w:lineRule="auto"/>
        <w:tabs>
          <w:tab w:leader="none" w:pos="4492"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Note is an Amortizing Note (by an appropriate notation in the comments field of DTC's Participant Terminal System).</w:t>
      </w:r>
    </w:p>
    <w:p>
      <w:pPr>
        <w:spacing w:after="0" w:line="184" w:lineRule="exact"/>
        <w:rPr>
          <w:rFonts w:ascii="Courier New" w:cs="Courier New" w:eastAsia="Courier New" w:hAnsi="Courier New"/>
          <w:sz w:val="16"/>
          <w:szCs w:val="16"/>
          <w:color w:val="auto"/>
        </w:rPr>
      </w:pPr>
    </w:p>
    <w:p>
      <w:pPr>
        <w:ind w:left="3860" w:right="1999" w:firstLine="4"/>
        <w:spacing w:after="0" w:line="237" w:lineRule="auto"/>
        <w:tabs>
          <w:tab w:leader="none" w:pos="449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participant accounts to be maintained by DTC on behalf of the relevant Agent and Chemical.</w:t>
      </w:r>
    </w:p>
    <w:p>
      <w:pPr>
        <w:spacing w:after="0" w:line="208" w:lineRule="exact"/>
        <w:rPr>
          <w:rFonts w:ascii="Courier New" w:cs="Courier New" w:eastAsia="Courier New" w:hAnsi="Courier New"/>
          <w:sz w:val="18"/>
          <w:szCs w:val="18"/>
          <w:color w:val="auto"/>
        </w:rPr>
      </w:pPr>
    </w:p>
    <w:p>
      <w:pPr>
        <w:ind w:left="3240" w:right="1999" w:hanging="8"/>
        <w:spacing w:after="0" w:line="279" w:lineRule="auto"/>
        <w:tabs>
          <w:tab w:leader="none" w:pos="376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Chemical will complete, authenticate and hold in custody the Global Security representing such</w:t>
      </w:r>
    </w:p>
    <w:p>
      <w:pPr>
        <w:sectPr>
          <w:pgSz w:w="11900" w:h="16838" w:orient="portrait"/>
          <w:cols w:equalWidth="0" w:num="1">
            <w:col w:w="9019"/>
          </w:cols>
          <w:pgMar w:left="1440" w:top="514" w:right="1440" w:bottom="1440" w:gutter="0" w:footer="0" w:header="0"/>
        </w:sectPr>
      </w:pPr>
    </w:p>
    <w:bookmarkStart w:id="64" w:name="page65"/>
    <w:bookmarkEnd w:id="64"/>
    <w:p>
      <w:pPr>
        <w:ind w:left="3240"/>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jc w:val="both"/>
        <w:ind w:left="3240" w:right="2319" w:hanging="8"/>
        <w:spacing w:after="0" w:line="236" w:lineRule="auto"/>
        <w:tabs>
          <w:tab w:leader="none" w:pos="376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will credit such Note to Chemical's participant account at DTC.</w:t>
      </w:r>
    </w:p>
    <w:p>
      <w:pPr>
        <w:spacing w:after="0" w:line="208" w:lineRule="exact"/>
        <w:rPr>
          <w:rFonts w:ascii="Courier New" w:cs="Courier New" w:eastAsia="Courier New" w:hAnsi="Courier New"/>
          <w:sz w:val="18"/>
          <w:szCs w:val="18"/>
          <w:color w:val="auto"/>
        </w:rPr>
      </w:pPr>
    </w:p>
    <w:p>
      <w:pPr>
        <w:ind w:left="3240" w:right="1999" w:hanging="8"/>
        <w:spacing w:after="0" w:line="238" w:lineRule="auto"/>
        <w:tabs>
          <w:tab w:leader="none" w:pos="376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Chemical will enter an SDFS deliver order through DTC's Participant Terminal System instructing DTC to (i) debit such Book-Entry Note from Chemical's participant account and credit such Book-Entry Note to the relevant Agent's participant account and (ii) debit such Agent's settlement account and credit Chemical's settlement account for an amount equal to the price of such Book-Entry Note less such Agent's commission (if any). The entry of such a deliver order shall constitute a representation and warranty by Chemical to DTC that (a) the Global Security representing such Book-Entry Note has been issued and authenticated and (b) Chemical is holding such Global Security pursuant to the MTN Certificate Agreement.</w:t>
      </w:r>
    </w:p>
    <w:p>
      <w:pPr>
        <w:spacing w:after="0" w:line="211" w:lineRule="exact"/>
        <w:rPr>
          <w:rFonts w:ascii="Courier New" w:cs="Courier New" w:eastAsia="Courier New" w:hAnsi="Courier New"/>
          <w:sz w:val="18"/>
          <w:szCs w:val="18"/>
          <w:color w:val="auto"/>
        </w:rPr>
      </w:pPr>
    </w:p>
    <w:p>
      <w:pPr>
        <w:ind w:left="3240" w:right="1879" w:hanging="8"/>
        <w:spacing w:after="0" w:line="238" w:lineRule="auto"/>
        <w:tabs>
          <w:tab w:leader="none" w:pos="376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relevant Agent is the end purchaser of such Note, such Agent will enter an SDFS deliver order through DTC's Participant Terminal System instructing DTC (i) to debit such Book-Entry Note from such Agent's participant account and credit such Book-Entry Note to the participant accounts of the Participants with respect to such Book-Entry Note and (ii) to debit the settlement accounts of such Participants and credit the settlement account of such Agent for an amount equal to the price of such Book-Entry Note.</w:t>
      </w:r>
    </w:p>
    <w:p>
      <w:pPr>
        <w:spacing w:after="0" w:line="202" w:lineRule="exact"/>
        <w:rPr>
          <w:rFonts w:ascii="Courier New" w:cs="Courier New" w:eastAsia="Courier New" w:hAnsi="Courier New"/>
          <w:sz w:val="18"/>
          <w:szCs w:val="18"/>
          <w:color w:val="auto"/>
        </w:rPr>
      </w:pPr>
    </w:p>
    <w:p>
      <w:pPr>
        <w:ind w:left="3760" w:hanging="528"/>
        <w:spacing w:after="0"/>
        <w:tabs>
          <w:tab w:leader="none" w:pos="37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of funds in</w:t>
      </w:r>
    </w:p>
    <w:p>
      <w:pPr>
        <w:ind w:left="3240"/>
        <w:spacing w:after="0" w:line="238" w:lineRule="auto"/>
        <w:rPr>
          <w:sz w:val="20"/>
          <w:szCs w:val="20"/>
          <w:color w:val="auto"/>
        </w:rPr>
      </w:pPr>
      <w:r>
        <w:rPr>
          <w:rFonts w:ascii="Courier New" w:cs="Courier New" w:eastAsia="Courier New" w:hAnsi="Courier New"/>
          <w:sz w:val="18"/>
          <w:szCs w:val="18"/>
          <w:color w:val="auto"/>
        </w:rPr>
        <w:t>accordance with SDFS deliver orders</w:t>
      </w:r>
    </w:p>
    <w:p>
      <w:pPr>
        <w:ind w:left="3240"/>
        <w:spacing w:after="0"/>
        <w:rPr>
          <w:sz w:val="20"/>
          <w:szCs w:val="20"/>
          <w:color w:val="auto"/>
        </w:rPr>
      </w:pPr>
      <w:r>
        <w:rPr>
          <w:rFonts w:ascii="Courier New" w:cs="Courier New" w:eastAsia="Courier New" w:hAnsi="Courier New"/>
          <w:sz w:val="18"/>
          <w:szCs w:val="18"/>
          <w:color w:val="auto"/>
        </w:rPr>
        <w:t>described in Settlement Procedures</w:t>
      </w:r>
    </w:p>
    <w:p>
      <w:pPr>
        <w:ind w:left="3240"/>
        <w:spacing w:after="0" w:line="237" w:lineRule="auto"/>
        <w:rPr>
          <w:sz w:val="20"/>
          <w:szCs w:val="20"/>
          <w:color w:val="auto"/>
        </w:rPr>
      </w:pPr>
      <w:r>
        <w:rPr>
          <w:rFonts w:ascii="Courier New" w:cs="Courier New" w:eastAsia="Courier New" w:hAnsi="Courier New"/>
          <w:sz w:val="18"/>
          <w:szCs w:val="18"/>
          <w:color w:val="auto"/>
        </w:rPr>
        <w:t>"F" and "G" will be settled in</w:t>
      </w:r>
    </w:p>
    <w:p>
      <w:pPr>
        <w:ind w:left="3240"/>
        <w:spacing w:after="0" w:line="238" w:lineRule="auto"/>
        <w:rPr>
          <w:sz w:val="20"/>
          <w:szCs w:val="20"/>
          <w:color w:val="auto"/>
        </w:rPr>
      </w:pPr>
      <w:r>
        <w:rPr>
          <w:rFonts w:ascii="Courier New" w:cs="Courier New" w:eastAsia="Courier New" w:hAnsi="Courier New"/>
          <w:sz w:val="18"/>
          <w:szCs w:val="18"/>
          <w:color w:val="auto"/>
        </w:rPr>
        <w:t>accordance with SDFS operating</w:t>
      </w:r>
    </w:p>
    <w:p>
      <w:pPr>
        <w:ind w:left="3240"/>
        <w:spacing w:after="0"/>
        <w:rPr>
          <w:sz w:val="20"/>
          <w:szCs w:val="20"/>
          <w:color w:val="auto"/>
        </w:rPr>
      </w:pPr>
      <w:r>
        <w:rPr>
          <w:rFonts w:ascii="Courier New" w:cs="Courier New" w:eastAsia="Courier New" w:hAnsi="Courier New"/>
          <w:sz w:val="18"/>
          <w:szCs w:val="18"/>
          <w:color w:val="auto"/>
        </w:rPr>
        <w:t>procedures in effect on the</w:t>
      </w:r>
    </w:p>
    <w:p>
      <w:pPr>
        <w:ind w:left="3240"/>
        <w:spacing w:after="0" w:line="237" w:lineRule="auto"/>
        <w:rPr>
          <w:sz w:val="20"/>
          <w:szCs w:val="20"/>
          <w:color w:val="auto"/>
        </w:rPr>
      </w:pPr>
      <w:r>
        <w:rPr>
          <w:rFonts w:ascii="Courier New" w:cs="Courier New" w:eastAsia="Courier New" w:hAnsi="Courier New"/>
          <w:sz w:val="18"/>
          <w:szCs w:val="18"/>
          <w:color w:val="auto"/>
        </w:rPr>
        <w:t>settlement date.</w:t>
      </w:r>
    </w:p>
    <w:p>
      <w:pPr>
        <w:spacing w:after="0" w:line="207" w:lineRule="exact"/>
        <w:rPr>
          <w:sz w:val="20"/>
          <w:szCs w:val="20"/>
          <w:color w:val="auto"/>
        </w:rPr>
      </w:pPr>
    </w:p>
    <w:p>
      <w:pPr>
        <w:ind w:left="3240" w:right="1999" w:hanging="8"/>
        <w:spacing w:after="0" w:line="273" w:lineRule="auto"/>
        <w:tabs>
          <w:tab w:leader="none" w:pos="376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Chemical will credit to the account of the Company maintained at [NAME OF ISSUER'S BANK], New York, New York, in immediately available funds the amount transferred to</w:t>
      </w:r>
    </w:p>
    <w:p>
      <w:pPr>
        <w:sectPr>
          <w:pgSz w:w="11900" w:h="16838" w:orient="portrait"/>
          <w:cols w:equalWidth="0" w:num="1">
            <w:col w:w="9019"/>
          </w:cols>
          <w:pgMar w:left="1440" w:top="514" w:right="1440" w:bottom="1440" w:gutter="0" w:footer="0" w:header="0"/>
        </w:sectPr>
      </w:pPr>
    </w:p>
    <w:bookmarkStart w:id="65" w:name="page66"/>
    <w:bookmarkEnd w:id="65"/>
    <w:p>
      <w:pPr>
        <w:ind w:left="4440"/>
        <w:spacing w:after="0"/>
        <w:rPr>
          <w:sz w:val="20"/>
          <w:szCs w:val="20"/>
          <w:color w:val="auto"/>
        </w:rPr>
      </w:pPr>
      <w:r>
        <w:rPr>
          <w:rFonts w:ascii="Courier New" w:cs="Courier New" w:eastAsia="Courier New" w:hAnsi="Courier New"/>
          <w:sz w:val="18"/>
          <w:szCs w:val="18"/>
          <w:color w:val="auto"/>
        </w:rPr>
        <w:t>Chemical in accordance with</w:t>
      </w:r>
    </w:p>
    <w:p>
      <w:pPr>
        <w:ind w:left="4440"/>
        <w:spacing w:after="0" w:line="238" w:lineRule="auto"/>
        <w:rPr>
          <w:sz w:val="20"/>
          <w:szCs w:val="20"/>
          <w:color w:val="auto"/>
        </w:rPr>
      </w:pPr>
      <w:r>
        <w:rPr>
          <w:rFonts w:ascii="Courier New" w:cs="Courier New" w:eastAsia="Courier New" w:hAnsi="Courier New"/>
          <w:sz w:val="18"/>
          <w:szCs w:val="18"/>
          <w:color w:val="auto"/>
        </w:rPr>
        <w:t>Settlement Procedure "F".</w:t>
      </w:r>
    </w:p>
    <w:p>
      <w:pPr>
        <w:spacing w:after="0" w:line="202"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Unless the relevant Agent is</w:t>
      </w:r>
    </w:p>
    <w:p>
      <w:pPr>
        <w:ind w:left="4440"/>
        <w:spacing w:after="0" w:line="238" w:lineRule="auto"/>
        <w:rPr>
          <w:sz w:val="20"/>
          <w:szCs w:val="20"/>
          <w:color w:val="auto"/>
        </w:rPr>
      </w:pPr>
      <w:r>
        <w:rPr>
          <w:rFonts w:ascii="Courier New" w:cs="Courier New" w:eastAsia="Courier New" w:hAnsi="Courier New"/>
          <w:sz w:val="18"/>
          <w:szCs w:val="18"/>
          <w:color w:val="auto"/>
        </w:rPr>
        <w:t>the end purchaser of such Book-Entry</w:t>
      </w:r>
    </w:p>
    <w:p>
      <w:pPr>
        <w:ind w:left="4440"/>
        <w:spacing w:after="0"/>
        <w:rPr>
          <w:sz w:val="20"/>
          <w:szCs w:val="20"/>
          <w:color w:val="auto"/>
        </w:rPr>
      </w:pPr>
      <w:r>
        <w:rPr>
          <w:rFonts w:ascii="Courier New" w:cs="Courier New" w:eastAsia="Courier New" w:hAnsi="Courier New"/>
          <w:sz w:val="18"/>
          <w:szCs w:val="18"/>
          <w:color w:val="auto"/>
        </w:rPr>
        <w:t>Note, such Agent will confirm the</w:t>
      </w:r>
    </w:p>
    <w:p>
      <w:pPr>
        <w:ind w:left="4440"/>
        <w:spacing w:after="0" w:line="237" w:lineRule="auto"/>
        <w:rPr>
          <w:sz w:val="20"/>
          <w:szCs w:val="20"/>
          <w:color w:val="auto"/>
        </w:rPr>
      </w:pPr>
      <w:r>
        <w:rPr>
          <w:rFonts w:ascii="Courier New" w:cs="Courier New" w:eastAsia="Courier New" w:hAnsi="Courier New"/>
          <w:sz w:val="18"/>
          <w:szCs w:val="18"/>
          <w:color w:val="auto"/>
        </w:rPr>
        <w:t>purchase of such Book-Entry Note to</w:t>
      </w:r>
    </w:p>
    <w:p>
      <w:pPr>
        <w:ind w:left="4440"/>
        <w:spacing w:after="0" w:line="238" w:lineRule="auto"/>
        <w:rPr>
          <w:sz w:val="20"/>
          <w:szCs w:val="20"/>
          <w:color w:val="auto"/>
        </w:rPr>
      </w:pPr>
      <w:r>
        <w:rPr>
          <w:rFonts w:ascii="Courier New" w:cs="Courier New" w:eastAsia="Courier New" w:hAnsi="Courier New"/>
          <w:sz w:val="18"/>
          <w:szCs w:val="18"/>
          <w:color w:val="auto"/>
        </w:rPr>
        <w:t>the purchaser either by transmitting</w:t>
      </w:r>
    </w:p>
    <w:p>
      <w:pPr>
        <w:ind w:left="4440"/>
        <w:spacing w:after="0"/>
        <w:rPr>
          <w:sz w:val="20"/>
          <w:szCs w:val="20"/>
          <w:color w:val="auto"/>
        </w:rPr>
      </w:pPr>
      <w:r>
        <w:rPr>
          <w:rFonts w:ascii="Courier New" w:cs="Courier New" w:eastAsia="Courier New" w:hAnsi="Courier New"/>
          <w:sz w:val="18"/>
          <w:szCs w:val="18"/>
          <w:color w:val="auto"/>
        </w:rPr>
        <w:t>to the Participants with respect to</w:t>
      </w:r>
    </w:p>
    <w:p>
      <w:pPr>
        <w:ind w:left="4440"/>
        <w:spacing w:after="0" w:line="237" w:lineRule="auto"/>
        <w:rPr>
          <w:sz w:val="20"/>
          <w:szCs w:val="20"/>
          <w:color w:val="auto"/>
        </w:rPr>
      </w:pPr>
      <w:r>
        <w:rPr>
          <w:rFonts w:ascii="Courier New" w:cs="Courier New" w:eastAsia="Courier New" w:hAnsi="Courier New"/>
          <w:sz w:val="18"/>
          <w:szCs w:val="18"/>
          <w:color w:val="auto"/>
        </w:rPr>
        <w:t>such Book-Entry Note a confirmation</w:t>
      </w:r>
    </w:p>
    <w:p>
      <w:pPr>
        <w:ind w:left="4440"/>
        <w:spacing w:after="0"/>
        <w:rPr>
          <w:sz w:val="20"/>
          <w:szCs w:val="20"/>
          <w:color w:val="auto"/>
        </w:rPr>
      </w:pPr>
      <w:r>
        <w:rPr>
          <w:rFonts w:ascii="Courier New" w:cs="Courier New" w:eastAsia="Courier New" w:hAnsi="Courier New"/>
          <w:sz w:val="18"/>
          <w:szCs w:val="18"/>
          <w:color w:val="auto"/>
        </w:rPr>
        <w:t>order or orders through DTC's</w:t>
      </w:r>
    </w:p>
    <w:p>
      <w:pPr>
        <w:ind w:left="4440"/>
        <w:spacing w:after="0" w:line="237" w:lineRule="auto"/>
        <w:rPr>
          <w:sz w:val="20"/>
          <w:szCs w:val="20"/>
          <w:color w:val="auto"/>
        </w:rPr>
      </w:pPr>
      <w:r>
        <w:rPr>
          <w:rFonts w:ascii="Courier New" w:cs="Courier New" w:eastAsia="Courier New" w:hAnsi="Courier New"/>
          <w:sz w:val="18"/>
          <w:szCs w:val="18"/>
          <w:color w:val="auto"/>
        </w:rPr>
        <w:t>institutional delivery system or by</w:t>
      </w:r>
    </w:p>
    <w:p>
      <w:pPr>
        <w:ind w:left="4440"/>
        <w:spacing w:after="0"/>
        <w:rPr>
          <w:sz w:val="20"/>
          <w:szCs w:val="20"/>
          <w:color w:val="auto"/>
        </w:rPr>
      </w:pPr>
      <w:r>
        <w:rPr>
          <w:rFonts w:ascii="Courier New" w:cs="Courier New" w:eastAsia="Courier New" w:hAnsi="Courier New"/>
          <w:sz w:val="18"/>
          <w:szCs w:val="18"/>
          <w:color w:val="auto"/>
        </w:rPr>
        <w:t>mailing a written confirmation to</w:t>
      </w:r>
    </w:p>
    <w:p>
      <w:pPr>
        <w:ind w:left="4440"/>
        <w:spacing w:after="0" w:line="237" w:lineRule="auto"/>
        <w:rPr>
          <w:sz w:val="20"/>
          <w:szCs w:val="20"/>
          <w:color w:val="auto"/>
        </w:rPr>
      </w:pPr>
      <w:r>
        <w:rPr>
          <w:rFonts w:ascii="Courier New" w:cs="Courier New" w:eastAsia="Courier New" w:hAnsi="Courier New"/>
          <w:sz w:val="18"/>
          <w:szCs w:val="18"/>
          <w:color w:val="auto"/>
        </w:rPr>
        <w:t>such purchaser.</w:t>
      </w:r>
    </w:p>
    <w:p>
      <w:pPr>
        <w:spacing w:after="0" w:line="202"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Monthly, Chemical will send to</w:t>
      </w:r>
    </w:p>
    <w:p>
      <w:pPr>
        <w:ind w:left="4440"/>
        <w:spacing w:after="0" w:line="238" w:lineRule="auto"/>
        <w:rPr>
          <w:sz w:val="20"/>
          <w:szCs w:val="20"/>
          <w:color w:val="auto"/>
        </w:rPr>
      </w:pPr>
      <w:r>
        <w:rPr>
          <w:rFonts w:ascii="Courier New" w:cs="Courier New" w:eastAsia="Courier New" w:hAnsi="Courier New"/>
          <w:sz w:val="18"/>
          <w:szCs w:val="18"/>
          <w:color w:val="auto"/>
        </w:rPr>
        <w:t>the Company a statement setting</w:t>
      </w:r>
    </w:p>
    <w:p>
      <w:pPr>
        <w:ind w:left="4440"/>
        <w:spacing w:after="0"/>
        <w:rPr>
          <w:sz w:val="20"/>
          <w:szCs w:val="20"/>
          <w:color w:val="auto"/>
        </w:rPr>
      </w:pPr>
      <w:r>
        <w:rPr>
          <w:rFonts w:ascii="Courier New" w:cs="Courier New" w:eastAsia="Courier New" w:hAnsi="Courier New"/>
          <w:sz w:val="18"/>
          <w:szCs w:val="18"/>
          <w:color w:val="auto"/>
        </w:rPr>
        <w:t>forth the principal amount of Notes</w:t>
      </w:r>
    </w:p>
    <w:p>
      <w:pPr>
        <w:spacing w:after="0" w:line="3"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outstanding as of that date under the</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Indenture and setting forth a brief</w:t>
      </w:r>
    </w:p>
    <w:p>
      <w:pPr>
        <w:ind w:left="4440"/>
        <w:spacing w:after="0" w:line="238" w:lineRule="auto"/>
        <w:rPr>
          <w:sz w:val="20"/>
          <w:szCs w:val="20"/>
          <w:color w:val="auto"/>
        </w:rPr>
      </w:pPr>
      <w:r>
        <w:rPr>
          <w:rFonts w:ascii="Courier New" w:cs="Courier New" w:eastAsia="Courier New" w:hAnsi="Courier New"/>
          <w:sz w:val="18"/>
          <w:szCs w:val="18"/>
          <w:color w:val="auto"/>
        </w:rPr>
        <w:t>description of any sales of which</w:t>
      </w:r>
    </w:p>
    <w:p>
      <w:pPr>
        <w:ind w:left="4440"/>
        <w:spacing w:after="0"/>
        <w:rPr>
          <w:sz w:val="20"/>
          <w:szCs w:val="20"/>
          <w:color w:val="auto"/>
        </w:rPr>
      </w:pPr>
      <w:r>
        <w:rPr>
          <w:rFonts w:ascii="Courier New" w:cs="Courier New" w:eastAsia="Courier New" w:hAnsi="Courier New"/>
          <w:sz w:val="18"/>
          <w:szCs w:val="18"/>
          <w:color w:val="auto"/>
        </w:rPr>
        <w:t>the Company has advised Chemical</w:t>
      </w:r>
    </w:p>
    <w:p>
      <w:pPr>
        <w:ind w:left="4440"/>
        <w:spacing w:after="0" w:line="237" w:lineRule="auto"/>
        <w:rPr>
          <w:sz w:val="20"/>
          <w:szCs w:val="20"/>
          <w:color w:val="auto"/>
        </w:rPr>
      </w:pPr>
      <w:r>
        <w:rPr>
          <w:rFonts w:ascii="Courier New" w:cs="Courier New" w:eastAsia="Courier New" w:hAnsi="Courier New"/>
          <w:sz w:val="18"/>
          <w:szCs w:val="18"/>
          <w:color w:val="auto"/>
        </w:rPr>
        <w:t>that have not yet been settled.</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Timetable: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sales by the Company of Book-</w:t>
      </w:r>
    </w:p>
    <w:p>
      <w:pPr>
        <w:spacing w:after="0" w:line="238" w:lineRule="auto"/>
        <w:rPr>
          <w:sz w:val="20"/>
          <w:szCs w:val="20"/>
          <w:color w:val="auto"/>
        </w:rPr>
      </w:pPr>
      <w:r>
        <w:rPr>
          <w:rFonts w:ascii="Courier New" w:cs="Courier New" w:eastAsia="Courier New" w:hAnsi="Courier New"/>
          <w:sz w:val="18"/>
          <w:szCs w:val="18"/>
          <w:color w:val="auto"/>
        </w:rPr>
        <w:t>Entry Notes to or through an Agent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otherwise specified pursuant to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Agreement) for settlement on the</w:t>
      </w:r>
    </w:p>
    <w:p>
      <w:pPr>
        <w:spacing w:after="0" w:line="238" w:lineRule="auto"/>
        <w:rPr>
          <w:sz w:val="20"/>
          <w:szCs w:val="20"/>
          <w:color w:val="auto"/>
        </w:rPr>
      </w:pPr>
      <w:r>
        <w:rPr>
          <w:rFonts w:ascii="Courier New" w:cs="Courier New" w:eastAsia="Courier New" w:hAnsi="Courier New"/>
          <w:sz w:val="18"/>
          <w:szCs w:val="18"/>
          <w:color w:val="auto"/>
        </w:rPr>
        <w:t>first Business Day after the sale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Procedures "A" through "J" set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forth above shall be completed as soon 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possible but not later than the respective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times in New York City set forth below:</w:t>
      </w:r>
    </w:p>
    <w:p>
      <w:pPr>
        <w:spacing w:after="0" w:line="200" w:lineRule="exact"/>
        <w:rPr>
          <w:sz w:val="20"/>
          <w:szCs w:val="20"/>
          <w:color w:val="auto"/>
        </w:rPr>
      </w:pPr>
    </w:p>
    <w:p>
      <w:pPr>
        <w:sectPr>
          <w:pgSz w:w="11900" w:h="16838" w:orient="portrait"/>
          <w:cols w:equalWidth="0" w:num="2">
            <w:col w:w="3080" w:space="720"/>
            <w:col w:w="6419"/>
          </w:cols>
          <w:pgMar w:left="240" w:top="514" w:right="1440" w:bottom="1440" w:gutter="0" w:footer="0" w:header="0"/>
          <w:type w:val="continuous"/>
        </w:sectPr>
      </w:pP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Settlement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Procedure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180" w:space="720"/>
            <w:col w:w="4319"/>
          </w:cols>
          <w:pgMar w:left="240" w:top="514" w:right="1440" w:bottom="1440" w:gutter="0" w:footer="0" w:header="0"/>
          <w:type w:val="continuous"/>
        </w:sectPr>
      </w:pPr>
    </w:p>
    <w:p>
      <w:pPr>
        <w:spacing w:after="0" w:line="18" w:lineRule="exact"/>
        <w:rPr>
          <w:sz w:val="20"/>
          <w:szCs w:val="20"/>
          <w:color w:val="auto"/>
        </w:rPr>
      </w:pPr>
    </w:p>
    <w:p>
      <w:pPr>
        <w:ind w:left="5060" w:hanging="1260"/>
        <w:spacing w:after="0"/>
        <w:tabs>
          <w:tab w:leader="none" w:pos="50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11:00 A.M. on sale date</w:t>
      </w:r>
    </w:p>
    <w:p>
      <w:pPr>
        <w:ind w:left="5060" w:hanging="1260"/>
        <w:spacing w:after="0" w:line="238" w:lineRule="auto"/>
        <w:tabs>
          <w:tab w:leader="none" w:pos="50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12:00 Noon on sale date</w:t>
      </w:r>
    </w:p>
    <w:p>
      <w:pPr>
        <w:ind w:left="5160" w:hanging="1360"/>
        <w:spacing w:after="0"/>
        <w:tabs>
          <w:tab w:leader="none" w:pos="51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 P.M. on sale date</w:t>
      </w:r>
    </w:p>
    <w:p>
      <w:pPr>
        <w:spacing w:after="0" w:line="3" w:lineRule="exact"/>
        <w:rPr>
          <w:sz w:val="20"/>
          <w:szCs w:val="20"/>
          <w:color w:val="auto"/>
        </w:rPr>
      </w:pPr>
    </w:p>
    <w:p>
      <w:pPr>
        <w:ind w:left="5380" w:right="2619" w:hanging="1580"/>
        <w:spacing w:after="0" w:line="235" w:lineRule="auto"/>
        <w:tabs>
          <w:tab w:leader="none" w:pos="516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9:00 A.M. on settlement date</w:t>
      </w:r>
    </w:p>
    <w:p>
      <w:pPr>
        <w:spacing w:after="0" w:line="6" w:lineRule="exact"/>
        <w:rPr>
          <w:sz w:val="20"/>
          <w:szCs w:val="20"/>
          <w:color w:val="auto"/>
        </w:rPr>
      </w:pPr>
    </w:p>
    <w:p>
      <w:pPr>
        <w:ind w:left="5380" w:right="2619" w:hanging="1580"/>
        <w:spacing w:after="0" w:line="235" w:lineRule="auto"/>
        <w:tabs>
          <w:tab w:leader="none" w:pos="5064"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 A.M. on settlement date</w:t>
      </w:r>
    </w:p>
    <w:p>
      <w:pPr>
        <w:ind w:left="3800"/>
        <w:spacing w:after="0"/>
        <w:tabs>
          <w:tab w:leader="none" w:pos="5140" w:val="left"/>
        </w:tabs>
        <w:rPr>
          <w:sz w:val="20"/>
          <w:szCs w:val="20"/>
          <w:color w:val="auto"/>
        </w:rPr>
      </w:pPr>
      <w:r>
        <w:rPr>
          <w:rFonts w:ascii="Courier New" w:cs="Courier New" w:eastAsia="Courier New" w:hAnsi="Courier New"/>
          <w:sz w:val="18"/>
          <w:szCs w:val="18"/>
          <w:color w:val="auto"/>
        </w:rPr>
        <w:t>F-G</w:t>
      </w:r>
      <w:r>
        <w:rPr>
          <w:sz w:val="20"/>
          <w:szCs w:val="20"/>
          <w:color w:val="auto"/>
        </w:rPr>
        <w:tab/>
      </w:r>
      <w:r>
        <w:rPr>
          <w:rFonts w:ascii="Courier New" w:cs="Courier New" w:eastAsia="Courier New" w:hAnsi="Courier New"/>
          <w:sz w:val="16"/>
          <w:szCs w:val="16"/>
          <w:color w:val="auto"/>
        </w:rPr>
        <w:t>2:00 P.M. on settlement</w:t>
      </w:r>
    </w:p>
    <w:p>
      <w:pPr>
        <w:ind w:left="5380"/>
        <w:spacing w:after="0" w:line="238" w:lineRule="auto"/>
        <w:rPr>
          <w:sz w:val="20"/>
          <w:szCs w:val="20"/>
          <w:color w:val="auto"/>
        </w:rPr>
      </w:pPr>
      <w:r>
        <w:rPr>
          <w:rFonts w:ascii="Courier New" w:cs="Courier New" w:eastAsia="Courier New" w:hAnsi="Courier New"/>
          <w:sz w:val="18"/>
          <w:szCs w:val="18"/>
          <w:color w:val="auto"/>
        </w:rPr>
        <w:t>date</w:t>
      </w:r>
    </w:p>
    <w:p>
      <w:pPr>
        <w:ind w:left="5160" w:hanging="1360"/>
        <w:spacing w:after="0"/>
        <w:tabs>
          <w:tab w:leader="none" w:pos="51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4:45 P.M. on settlement</w:t>
      </w:r>
    </w:p>
    <w:p>
      <w:pPr>
        <w:ind w:left="5380"/>
        <w:spacing w:after="0" w:line="237" w:lineRule="auto"/>
        <w:rPr>
          <w:sz w:val="20"/>
          <w:szCs w:val="20"/>
          <w:color w:val="auto"/>
        </w:rPr>
      </w:pPr>
      <w:r>
        <w:rPr>
          <w:rFonts w:ascii="Courier New" w:cs="Courier New" w:eastAsia="Courier New" w:hAnsi="Courier New"/>
          <w:sz w:val="18"/>
          <w:szCs w:val="18"/>
          <w:color w:val="auto"/>
        </w:rPr>
        <w:t>date</w:t>
      </w:r>
    </w:p>
    <w:p>
      <w:pPr>
        <w:ind w:left="3800"/>
        <w:spacing w:after="0"/>
        <w:tabs>
          <w:tab w:leader="none" w:pos="5140" w:val="left"/>
        </w:tabs>
        <w:rPr>
          <w:sz w:val="20"/>
          <w:szCs w:val="20"/>
          <w:color w:val="auto"/>
        </w:rPr>
      </w:pPr>
      <w:r>
        <w:rPr>
          <w:rFonts w:ascii="Courier New" w:cs="Courier New" w:eastAsia="Courier New" w:hAnsi="Courier New"/>
          <w:sz w:val="18"/>
          <w:szCs w:val="18"/>
          <w:color w:val="auto"/>
        </w:rPr>
        <w:t>I-J</w:t>
      </w:r>
      <w:r>
        <w:rPr>
          <w:sz w:val="20"/>
          <w:szCs w:val="20"/>
          <w:color w:val="auto"/>
        </w:rPr>
        <w:tab/>
      </w:r>
      <w:r>
        <w:rPr>
          <w:rFonts w:ascii="Courier New" w:cs="Courier New" w:eastAsia="Courier New" w:hAnsi="Courier New"/>
          <w:sz w:val="16"/>
          <w:szCs w:val="16"/>
          <w:color w:val="auto"/>
        </w:rPr>
        <w:t>5:00 P.M. on settlement</w:t>
      </w:r>
    </w:p>
    <w:p>
      <w:pPr>
        <w:ind w:left="538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If a sale is to be settled more than a</w:t>
      </w:r>
    </w:p>
    <w:p>
      <w:pPr>
        <w:ind w:left="3800"/>
        <w:spacing w:after="0" w:line="238" w:lineRule="auto"/>
        <w:rPr>
          <w:sz w:val="20"/>
          <w:szCs w:val="20"/>
          <w:color w:val="auto"/>
        </w:rPr>
      </w:pPr>
      <w:r>
        <w:rPr>
          <w:rFonts w:ascii="Courier New" w:cs="Courier New" w:eastAsia="Courier New" w:hAnsi="Courier New"/>
          <w:sz w:val="18"/>
          <w:szCs w:val="18"/>
          <w:color w:val="auto"/>
        </w:rPr>
        <w:t>Business Day after the sale date,</w:t>
      </w:r>
    </w:p>
    <w:p>
      <w:pPr>
        <w:ind w:left="3800"/>
        <w:spacing w:after="0"/>
        <w:rPr>
          <w:sz w:val="20"/>
          <w:szCs w:val="20"/>
          <w:color w:val="auto"/>
        </w:rPr>
      </w:pPr>
      <w:r>
        <w:rPr>
          <w:rFonts w:ascii="Courier New" w:cs="Courier New" w:eastAsia="Courier New" w:hAnsi="Courier New"/>
          <w:sz w:val="18"/>
          <w:szCs w:val="18"/>
          <w:color w:val="auto"/>
        </w:rPr>
        <w:t>Settlement Procedures "A", "B" and "C"</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shall be completed as soon as practicable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but no later than 11:00 A.M., 12:00 Noon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and 2:00 P.M., respectively, on the first</w:t>
      </w:r>
    </w:p>
    <w:p>
      <w:pPr>
        <w:spacing w:after="0" w:line="16" w:lineRule="exact"/>
        <w:rPr>
          <w:sz w:val="20"/>
          <w:szCs w:val="20"/>
          <w:color w:val="auto"/>
        </w:rPr>
      </w:pPr>
    </w:p>
    <w:p>
      <w:pPr>
        <w:ind w:left="3800"/>
        <w:spacing w:after="0"/>
        <w:tabs>
          <w:tab w:leader="none" w:pos="7460" w:val="left"/>
        </w:tabs>
        <w:rPr>
          <w:sz w:val="20"/>
          <w:szCs w:val="20"/>
          <w:color w:val="auto"/>
        </w:rPr>
      </w:pPr>
      <w:r>
        <w:rPr>
          <w:rFonts w:ascii="Courier New" w:cs="Courier New" w:eastAsia="Courier New" w:hAnsi="Courier New"/>
          <w:sz w:val="18"/>
          <w:szCs w:val="18"/>
          <w:color w:val="auto"/>
        </w:rPr>
        <w:t>Business Day after the sale date.</w:t>
      </w:r>
      <w:r>
        <w:rPr>
          <w:sz w:val="20"/>
          <w:szCs w:val="20"/>
          <w:color w:val="auto"/>
        </w:rPr>
        <w:tab/>
      </w:r>
      <w:r>
        <w:rPr>
          <w:rFonts w:ascii="Courier New" w:cs="Courier New" w:eastAsia="Courier New" w:hAnsi="Courier New"/>
          <w:sz w:val="16"/>
          <w:szCs w:val="16"/>
          <w:color w:val="auto"/>
        </w:rPr>
        <w:t>If the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Initial Interest Rate for a Floating Rate</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Book-Entry Note has not been determined at</w:t>
      </w:r>
    </w:p>
    <w:p>
      <w:pPr>
        <w:sectPr>
          <w:pgSz w:w="11900" w:h="16838" w:orient="portrait"/>
          <w:cols w:equalWidth="0" w:num="1">
            <w:col w:w="10219"/>
          </w:cols>
          <w:pgMar w:left="240" w:top="514" w:right="1440" w:bottom="1440" w:gutter="0" w:footer="0" w:header="0"/>
          <w:type w:val="continuous"/>
        </w:sectPr>
      </w:pPr>
    </w:p>
    <w:bookmarkStart w:id="66" w:name="page67"/>
    <w:bookmarkEnd w:id="66"/>
    <w:p>
      <w:pPr>
        <w:ind w:left="3800"/>
        <w:spacing w:after="0"/>
        <w:rPr>
          <w:sz w:val="20"/>
          <w:szCs w:val="20"/>
          <w:color w:val="auto"/>
        </w:rPr>
      </w:pPr>
      <w:r>
        <w:rPr>
          <w:rFonts w:ascii="Courier New" w:cs="Courier New" w:eastAsia="Courier New" w:hAnsi="Courier New"/>
          <w:sz w:val="16"/>
          <w:szCs w:val="16"/>
          <w:color w:val="auto"/>
        </w:rPr>
        <w:t>the time that Settlement Procedure "A" is</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completed, Settlement Procedures "B" and</w:t>
      </w:r>
    </w:p>
    <w:p>
      <w:pPr>
        <w:ind w:left="3800"/>
        <w:spacing w:after="0" w:line="238" w:lineRule="auto"/>
        <w:rPr>
          <w:sz w:val="20"/>
          <w:szCs w:val="20"/>
          <w:color w:val="auto"/>
        </w:rPr>
      </w:pPr>
      <w:r>
        <w:rPr>
          <w:rFonts w:ascii="Courier New" w:cs="Courier New" w:eastAsia="Courier New" w:hAnsi="Courier New"/>
          <w:sz w:val="18"/>
          <w:szCs w:val="18"/>
          <w:color w:val="auto"/>
        </w:rPr>
        <w:t>"C" shall be completed as soon as such</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rate has been determined but no later than</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12:00 Noon and 2:00 P.M., respectively, on</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first Business Day before the</w:t>
      </w:r>
    </w:p>
    <w:p>
      <w:pPr>
        <w:ind w:left="3800"/>
        <w:spacing w:after="0"/>
        <w:tabs>
          <w:tab w:leader="none" w:pos="5680" w:val="left"/>
        </w:tabs>
        <w:rPr>
          <w:sz w:val="20"/>
          <w:szCs w:val="20"/>
          <w:color w:val="auto"/>
        </w:rPr>
      </w:pPr>
      <w:r>
        <w:rPr>
          <w:rFonts w:ascii="Courier New" w:cs="Courier New" w:eastAsia="Courier New" w:hAnsi="Courier New"/>
          <w:sz w:val="18"/>
          <w:szCs w:val="18"/>
          <w:color w:val="auto"/>
        </w:rPr>
        <w:t>settlement date.</w:t>
      </w:r>
      <w:r>
        <w:rPr>
          <w:sz w:val="20"/>
          <w:szCs w:val="20"/>
          <w:color w:val="auto"/>
        </w:rPr>
        <w:tab/>
      </w:r>
      <w:r>
        <w:rPr>
          <w:rFonts w:ascii="Courier New" w:cs="Courier New" w:eastAsia="Courier New" w:hAnsi="Courier New"/>
          <w:sz w:val="16"/>
          <w:szCs w:val="16"/>
          <w:color w:val="auto"/>
        </w:rPr>
        <w:t>Settlement Procedure "H"</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is subject to extension in accordance with</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any extension of Fedwire closing deadlines</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 in the other events specified in the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SDFS operating procedures in effect on the</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settlement date.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If settlement of a Book-Entry Note is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rescheduled or cancelled, Chemical, after</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receiving notice from the Company or the</w:t>
      </w:r>
    </w:p>
    <w:p>
      <w:pPr>
        <w:ind w:left="3800"/>
        <w:spacing w:after="0" w:line="238" w:lineRule="auto"/>
        <w:rPr>
          <w:sz w:val="20"/>
          <w:szCs w:val="20"/>
          <w:color w:val="auto"/>
        </w:rPr>
      </w:pPr>
      <w:r>
        <w:rPr>
          <w:rFonts w:ascii="Courier New" w:cs="Courier New" w:eastAsia="Courier New" w:hAnsi="Courier New"/>
          <w:sz w:val="18"/>
          <w:szCs w:val="18"/>
          <w:color w:val="auto"/>
        </w:rPr>
        <w:t>relevant Agent, will deliver to DTC,</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through DTC's Participant Terminal System,</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 cancellation message to such effect by</w:t>
      </w:r>
    </w:p>
    <w:p>
      <w:pPr>
        <w:ind w:left="3800"/>
        <w:spacing w:after="0" w:line="238" w:lineRule="auto"/>
        <w:rPr>
          <w:sz w:val="20"/>
          <w:szCs w:val="20"/>
          <w:color w:val="auto"/>
        </w:rPr>
      </w:pPr>
      <w:r>
        <w:rPr>
          <w:rFonts w:ascii="Courier New" w:cs="Courier New" w:eastAsia="Courier New" w:hAnsi="Courier New"/>
          <w:sz w:val="18"/>
          <w:szCs w:val="18"/>
          <w:color w:val="auto"/>
        </w:rPr>
        <w:t>no later than 2:00 P.M. on the Business</w:t>
      </w:r>
    </w:p>
    <w:p>
      <w:pPr>
        <w:ind w:left="3800"/>
        <w:spacing w:after="0"/>
        <w:rPr>
          <w:sz w:val="20"/>
          <w:szCs w:val="20"/>
          <w:color w:val="auto"/>
        </w:rPr>
      </w:pPr>
      <w:r>
        <w:rPr>
          <w:rFonts w:ascii="Courier New" w:cs="Courier New" w:eastAsia="Courier New" w:hAnsi="Courier New"/>
          <w:sz w:val="18"/>
          <w:szCs w:val="18"/>
          <w:color w:val="auto"/>
        </w:rPr>
        <w:t>Day immediately preceding the scheduled</w:t>
      </w:r>
    </w:p>
    <w:p>
      <w:pPr>
        <w:ind w:left="3800"/>
        <w:spacing w:after="0" w:line="237" w:lineRule="auto"/>
        <w:rPr>
          <w:sz w:val="20"/>
          <w:szCs w:val="20"/>
          <w:color w:val="auto"/>
        </w:rPr>
      </w:pPr>
      <w:r>
        <w:rPr>
          <w:rFonts w:ascii="Courier New" w:cs="Courier New" w:eastAsia="Courier New" w:hAnsi="Courier New"/>
          <w:sz w:val="18"/>
          <w:szCs w:val="18"/>
          <w:color w:val="auto"/>
        </w:rPr>
        <w:t>settlement date.</w:t>
      </w:r>
    </w:p>
    <w:p>
      <w:pPr>
        <w:sectPr>
          <w:pgSz w:w="11900" w:h="16838" w:orient="portrait"/>
          <w:cols w:equalWidth="0" w:num="1">
            <w:col w:w="10219"/>
          </w:cols>
          <w:pgMar w:left="240" w:top="520"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Failure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Settle: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Chemical fails to enter an</w:t>
      </w:r>
    </w:p>
    <w:p>
      <w:pPr>
        <w:spacing w:after="0" w:line="238" w:lineRule="auto"/>
        <w:rPr>
          <w:sz w:val="20"/>
          <w:szCs w:val="20"/>
          <w:color w:val="auto"/>
        </w:rPr>
      </w:pPr>
      <w:r>
        <w:rPr>
          <w:rFonts w:ascii="Courier New" w:cs="Courier New" w:eastAsia="Courier New" w:hAnsi="Courier New"/>
          <w:sz w:val="18"/>
          <w:szCs w:val="18"/>
          <w:color w:val="auto"/>
        </w:rPr>
        <w:t>SDFS deliver order with respect to a</w:t>
      </w:r>
    </w:p>
    <w:p>
      <w:pPr>
        <w:spacing w:after="0"/>
        <w:rPr>
          <w:sz w:val="20"/>
          <w:szCs w:val="20"/>
          <w:color w:val="auto"/>
        </w:rPr>
      </w:pPr>
      <w:r>
        <w:rPr>
          <w:rFonts w:ascii="Courier New" w:cs="Courier New" w:eastAsia="Courier New" w:hAnsi="Courier New"/>
          <w:sz w:val="18"/>
          <w:szCs w:val="18"/>
          <w:color w:val="auto"/>
        </w:rPr>
        <w:t>Book-Entry Note pursuant to Settlement</w:t>
      </w:r>
    </w:p>
    <w:p>
      <w:pPr>
        <w:spacing w:after="0" w:line="237" w:lineRule="auto"/>
        <w:rPr>
          <w:sz w:val="20"/>
          <w:szCs w:val="20"/>
          <w:color w:val="auto"/>
        </w:rPr>
      </w:pPr>
      <w:r>
        <w:rPr>
          <w:rFonts w:ascii="Courier New" w:cs="Courier New" w:eastAsia="Courier New" w:hAnsi="Courier New"/>
          <w:sz w:val="18"/>
          <w:szCs w:val="18"/>
          <w:color w:val="auto"/>
        </w:rPr>
        <w:t>Procedure "F", Chemical may deliver to</w:t>
      </w:r>
    </w:p>
    <w:p>
      <w:pPr>
        <w:spacing w:after="0" w:line="238" w:lineRule="auto"/>
        <w:rPr>
          <w:sz w:val="20"/>
          <w:szCs w:val="20"/>
          <w:color w:val="auto"/>
        </w:rPr>
      </w:pPr>
      <w:r>
        <w:rPr>
          <w:rFonts w:ascii="Courier New" w:cs="Courier New" w:eastAsia="Courier New" w:hAnsi="Courier New"/>
          <w:sz w:val="18"/>
          <w:szCs w:val="18"/>
          <w:color w:val="auto"/>
        </w:rPr>
        <w:t>DTC, through DTC's Participant Terminal</w:t>
      </w:r>
    </w:p>
    <w:p>
      <w:pPr>
        <w:spacing w:after="0"/>
        <w:rPr>
          <w:sz w:val="20"/>
          <w:szCs w:val="20"/>
          <w:color w:val="auto"/>
        </w:rPr>
      </w:pPr>
      <w:r>
        <w:rPr>
          <w:rFonts w:ascii="Courier New" w:cs="Courier New" w:eastAsia="Courier New" w:hAnsi="Courier New"/>
          <w:sz w:val="18"/>
          <w:szCs w:val="18"/>
          <w:color w:val="auto"/>
        </w:rPr>
        <w:t>System, as soon as practicable a</w:t>
      </w:r>
    </w:p>
    <w:p>
      <w:pPr>
        <w:spacing w:after="0" w:line="237" w:lineRule="auto"/>
        <w:rPr>
          <w:sz w:val="20"/>
          <w:szCs w:val="20"/>
          <w:color w:val="auto"/>
        </w:rPr>
      </w:pPr>
      <w:r>
        <w:rPr>
          <w:rFonts w:ascii="Courier New" w:cs="Courier New" w:eastAsia="Courier New" w:hAnsi="Courier New"/>
          <w:sz w:val="18"/>
          <w:szCs w:val="18"/>
          <w:color w:val="auto"/>
        </w:rPr>
        <w:t>withdrawal message instructing DTC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debit such Note to Chemical's participant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 provided that Chemical's</w:t>
      </w:r>
    </w:p>
    <w:p>
      <w:pPr>
        <w:spacing w:after="0" w:line="238" w:lineRule="auto"/>
        <w:rPr>
          <w:sz w:val="20"/>
          <w:szCs w:val="20"/>
          <w:color w:val="auto"/>
        </w:rPr>
      </w:pPr>
      <w:r>
        <w:rPr>
          <w:rFonts w:ascii="Courier New" w:cs="Courier New" w:eastAsia="Courier New" w:hAnsi="Courier New"/>
          <w:sz w:val="18"/>
          <w:szCs w:val="18"/>
          <w:color w:val="auto"/>
        </w:rPr>
        <w:t>participant account contains a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the Global Security representing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Note that is at least equal to the</w:t>
      </w:r>
    </w:p>
    <w:p>
      <w:pPr>
        <w:spacing w:after="0"/>
        <w:tabs>
          <w:tab w:leader="none" w:pos="3460" w:val="left"/>
        </w:tabs>
        <w:rPr>
          <w:sz w:val="20"/>
          <w:szCs w:val="20"/>
          <w:color w:val="auto"/>
        </w:rPr>
      </w:pPr>
      <w:r>
        <w:rPr>
          <w:rFonts w:ascii="Courier New" w:cs="Courier New" w:eastAsia="Courier New" w:hAnsi="Courier New"/>
          <w:sz w:val="18"/>
          <w:szCs w:val="18"/>
          <w:color w:val="auto"/>
        </w:rPr>
        <w:t>principal amount to be debited.</w:t>
      </w:r>
      <w:r>
        <w:rPr>
          <w:sz w:val="20"/>
          <w:szCs w:val="20"/>
          <w:color w:val="auto"/>
        </w:rPr>
        <w:tab/>
      </w:r>
      <w:r>
        <w:rPr>
          <w:rFonts w:ascii="Courier New" w:cs="Courier New" w:eastAsia="Courier New" w:hAnsi="Courier New"/>
          <w:sz w:val="16"/>
          <w:szCs w:val="16"/>
          <w:color w:val="auto"/>
        </w:rPr>
        <w:t>If a</w:t>
      </w:r>
    </w:p>
    <w:p>
      <w:pPr>
        <w:spacing w:after="0"/>
        <w:rPr>
          <w:sz w:val="20"/>
          <w:szCs w:val="20"/>
          <w:color w:val="auto"/>
        </w:rPr>
      </w:pPr>
      <w:r>
        <w:rPr>
          <w:rFonts w:ascii="Courier New" w:cs="Courier New" w:eastAsia="Courier New" w:hAnsi="Courier New"/>
          <w:sz w:val="18"/>
          <w:szCs w:val="18"/>
          <w:color w:val="auto"/>
        </w:rPr>
        <w:t>withdrawal message is processed with</w:t>
      </w:r>
    </w:p>
    <w:p>
      <w:pPr>
        <w:spacing w:after="0" w:line="237" w:lineRule="auto"/>
        <w:rPr>
          <w:sz w:val="20"/>
          <w:szCs w:val="20"/>
          <w:color w:val="auto"/>
        </w:rPr>
      </w:pPr>
      <w:r>
        <w:rPr>
          <w:rFonts w:ascii="Courier New" w:cs="Courier New" w:eastAsia="Courier New" w:hAnsi="Courier New"/>
          <w:sz w:val="18"/>
          <w:szCs w:val="18"/>
          <w:color w:val="auto"/>
        </w:rPr>
        <w:t>respect to all the Book-Entry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represented by a Global Security, Chemical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 mark such Global Security</w:t>
      </w:r>
    </w:p>
    <w:p>
      <w:pPr>
        <w:spacing w:after="0" w:line="238" w:lineRule="auto"/>
        <w:rPr>
          <w:sz w:val="20"/>
          <w:szCs w:val="20"/>
          <w:color w:val="auto"/>
        </w:rPr>
      </w:pPr>
      <w:r>
        <w:rPr>
          <w:rFonts w:ascii="Courier New" w:cs="Courier New" w:eastAsia="Courier New" w:hAnsi="Courier New"/>
          <w:sz w:val="18"/>
          <w:szCs w:val="18"/>
          <w:color w:val="auto"/>
        </w:rPr>
        <w:t>"cancelled," make appropriate entries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Chemical's records and send such cancelled</w:t>
      </w:r>
    </w:p>
    <w:p>
      <w:pPr>
        <w:spacing w:after="0" w:line="16"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Global Security to the Company.</w:t>
      </w:r>
      <w:r>
        <w:rPr>
          <w:sz w:val="20"/>
          <w:szCs w:val="20"/>
          <w:color w:val="auto"/>
        </w:rPr>
        <w:tab/>
      </w:r>
      <w:r>
        <w:rPr>
          <w:rFonts w:ascii="Courier New" w:cs="Courier New" w:eastAsia="Courier New" w:hAnsi="Courier New"/>
          <w:sz w:val="16"/>
          <w:szCs w:val="16"/>
          <w:color w:val="auto"/>
        </w:rPr>
        <w:t>The CUSIP</w:t>
      </w:r>
    </w:p>
    <w:p>
      <w:pPr>
        <w:spacing w:after="0" w:line="238" w:lineRule="auto"/>
        <w:rPr>
          <w:sz w:val="20"/>
          <w:szCs w:val="20"/>
          <w:color w:val="auto"/>
        </w:rPr>
      </w:pPr>
      <w:r>
        <w:rPr>
          <w:rFonts w:ascii="Courier New" w:cs="Courier New" w:eastAsia="Courier New" w:hAnsi="Courier New"/>
          <w:sz w:val="18"/>
          <w:szCs w:val="18"/>
          <w:color w:val="auto"/>
        </w:rPr>
        <w:t>number assigned to such Global Security</w:t>
      </w:r>
    </w:p>
    <w:p>
      <w:pPr>
        <w:spacing w:after="0"/>
        <w:rPr>
          <w:sz w:val="20"/>
          <w:szCs w:val="20"/>
          <w:color w:val="auto"/>
        </w:rPr>
      </w:pPr>
      <w:r>
        <w:rPr>
          <w:rFonts w:ascii="Courier New" w:cs="Courier New" w:eastAsia="Courier New" w:hAnsi="Courier New"/>
          <w:sz w:val="18"/>
          <w:szCs w:val="18"/>
          <w:color w:val="auto"/>
        </w:rPr>
        <w:t>shall, in accordance with the procedures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CUSIP Service Bureau of Standard &amp;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Poor's Corporation, be cancelled and not</w:t>
      </w:r>
    </w:p>
    <w:p>
      <w:pPr>
        <w:spacing w:after="0"/>
        <w:tabs>
          <w:tab w:leader="none" w:pos="2620" w:val="left"/>
        </w:tabs>
        <w:rPr>
          <w:sz w:val="20"/>
          <w:szCs w:val="20"/>
          <w:color w:val="auto"/>
        </w:rPr>
      </w:pPr>
      <w:r>
        <w:rPr>
          <w:rFonts w:ascii="Courier New" w:cs="Courier New" w:eastAsia="Courier New" w:hAnsi="Courier New"/>
          <w:sz w:val="18"/>
          <w:szCs w:val="18"/>
          <w:color w:val="auto"/>
        </w:rPr>
        <w:t>immediately reassigned.</w:t>
      </w:r>
      <w:r>
        <w:rPr>
          <w:sz w:val="20"/>
          <w:szCs w:val="20"/>
          <w:color w:val="auto"/>
        </w:rPr>
        <w:tab/>
      </w:r>
      <w:r>
        <w:rPr>
          <w:rFonts w:ascii="Courier New" w:cs="Courier New" w:eastAsia="Courier New" w:hAnsi="Courier New"/>
          <w:sz w:val="16"/>
          <w:szCs w:val="16"/>
          <w:color w:val="auto"/>
        </w:rPr>
        <w:t>If a withdrawal</w:t>
      </w:r>
    </w:p>
    <w:p>
      <w:pPr>
        <w:spacing w:after="0"/>
        <w:rPr>
          <w:sz w:val="20"/>
          <w:szCs w:val="20"/>
          <w:color w:val="auto"/>
        </w:rPr>
      </w:pPr>
      <w:r>
        <w:rPr>
          <w:rFonts w:ascii="Courier New" w:cs="Courier New" w:eastAsia="Courier New" w:hAnsi="Courier New"/>
          <w:sz w:val="18"/>
          <w:szCs w:val="18"/>
          <w:color w:val="auto"/>
        </w:rPr>
        <w:t>message is processed with respect to one</w:t>
      </w:r>
    </w:p>
    <w:p>
      <w:pPr>
        <w:spacing w:after="0" w:line="237" w:lineRule="auto"/>
        <w:rPr>
          <w:sz w:val="20"/>
          <w:szCs w:val="20"/>
          <w:color w:val="auto"/>
        </w:rPr>
      </w:pPr>
      <w:r>
        <w:rPr>
          <w:rFonts w:ascii="Courier New" w:cs="Courier New" w:eastAsia="Courier New" w:hAnsi="Courier New"/>
          <w:sz w:val="18"/>
          <w:szCs w:val="18"/>
          <w:color w:val="auto"/>
        </w:rPr>
        <w:t>or more, but not all, of the Book-Entry</w:t>
      </w:r>
    </w:p>
    <w:p>
      <w:pPr>
        <w:spacing w:after="0" w:line="238" w:lineRule="auto"/>
        <w:rPr>
          <w:sz w:val="20"/>
          <w:szCs w:val="20"/>
          <w:color w:val="auto"/>
        </w:rPr>
      </w:pPr>
      <w:r>
        <w:rPr>
          <w:rFonts w:ascii="Courier New" w:cs="Courier New" w:eastAsia="Courier New" w:hAnsi="Courier New"/>
          <w:sz w:val="18"/>
          <w:szCs w:val="18"/>
          <w:color w:val="auto"/>
        </w:rPr>
        <w:t>Notes represented by a Global Security,</w:t>
      </w:r>
    </w:p>
    <w:p>
      <w:pPr>
        <w:spacing w:after="0"/>
        <w:rPr>
          <w:sz w:val="20"/>
          <w:szCs w:val="20"/>
          <w:color w:val="auto"/>
        </w:rPr>
      </w:pPr>
      <w:r>
        <w:rPr>
          <w:rFonts w:ascii="Courier New" w:cs="Courier New" w:eastAsia="Courier New" w:hAnsi="Courier New"/>
          <w:sz w:val="18"/>
          <w:szCs w:val="18"/>
          <w:color w:val="auto"/>
        </w:rPr>
        <w:t>Chemical will exchange such Global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for two Global Securities, one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shall represent such Book-Entry Note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Notes and shall be cancelled</w:t>
      </w:r>
    </w:p>
    <w:p>
      <w:pPr>
        <w:spacing w:after="0" w:line="238" w:lineRule="auto"/>
        <w:rPr>
          <w:sz w:val="20"/>
          <w:szCs w:val="20"/>
          <w:color w:val="auto"/>
        </w:rPr>
      </w:pPr>
      <w:r>
        <w:rPr>
          <w:rFonts w:ascii="Courier New" w:cs="Courier New" w:eastAsia="Courier New" w:hAnsi="Courier New"/>
          <w:sz w:val="18"/>
          <w:szCs w:val="18"/>
          <w:color w:val="auto"/>
        </w:rPr>
        <w:t>immediately after issuance and the other</w:t>
      </w:r>
    </w:p>
    <w:p>
      <w:pPr>
        <w:spacing w:after="0"/>
        <w:rPr>
          <w:sz w:val="20"/>
          <w:szCs w:val="20"/>
          <w:color w:val="auto"/>
        </w:rPr>
      </w:pPr>
      <w:r>
        <w:rPr>
          <w:rFonts w:ascii="Courier New" w:cs="Courier New" w:eastAsia="Courier New" w:hAnsi="Courier New"/>
          <w:sz w:val="18"/>
          <w:szCs w:val="18"/>
          <w:color w:val="auto"/>
        </w:rPr>
        <w:t>of which shall represent the remaining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Notes previously represented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surrendered Global Security and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bear the CUSIP number of the surrendered</w:t>
      </w:r>
    </w:p>
    <w:p>
      <w:pPr>
        <w:sectPr>
          <w:pgSz w:w="11900" w:h="16838" w:orient="portrait"/>
          <w:cols w:equalWidth="0" w:num="2">
            <w:col w:w="3080" w:space="720"/>
            <w:col w:w="6419"/>
          </w:cols>
          <w:pgMar w:left="240" w:top="520" w:right="1440" w:bottom="1440" w:gutter="0" w:footer="0" w:header="0"/>
          <w:type w:val="continuous"/>
        </w:sectPr>
      </w:pPr>
    </w:p>
    <w:bookmarkStart w:id="67" w:name="page68"/>
    <w:bookmarkEnd w:id="67"/>
    <w:p>
      <w:pPr>
        <w:ind w:left="3800"/>
        <w:spacing w:after="0"/>
        <w:rPr>
          <w:sz w:val="20"/>
          <w:szCs w:val="20"/>
          <w:color w:val="auto"/>
        </w:rPr>
      </w:pPr>
      <w:r>
        <w:rPr>
          <w:rFonts w:ascii="Courier New" w:cs="Courier New" w:eastAsia="Courier New" w:hAnsi="Courier New"/>
          <w:sz w:val="18"/>
          <w:szCs w:val="18"/>
          <w:color w:val="auto"/>
        </w:rPr>
        <w:t>Global Security.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If the purchase price for any Book-Entry</w:t>
      </w:r>
    </w:p>
    <w:p>
      <w:pPr>
        <w:ind w:left="3800"/>
        <w:spacing w:after="0" w:line="238" w:lineRule="auto"/>
        <w:rPr>
          <w:sz w:val="20"/>
          <w:szCs w:val="20"/>
          <w:color w:val="auto"/>
        </w:rPr>
      </w:pPr>
      <w:r>
        <w:rPr>
          <w:rFonts w:ascii="Courier New" w:cs="Courier New" w:eastAsia="Courier New" w:hAnsi="Courier New"/>
          <w:sz w:val="18"/>
          <w:szCs w:val="18"/>
          <w:color w:val="auto"/>
        </w:rPr>
        <w:t>Note is not timely paid to the</w:t>
      </w:r>
    </w:p>
    <w:p>
      <w:pPr>
        <w:ind w:left="3800"/>
        <w:spacing w:after="0"/>
        <w:rPr>
          <w:sz w:val="20"/>
          <w:szCs w:val="20"/>
          <w:color w:val="auto"/>
        </w:rPr>
      </w:pPr>
      <w:r>
        <w:rPr>
          <w:rFonts w:ascii="Courier New" w:cs="Courier New" w:eastAsia="Courier New" w:hAnsi="Courier New"/>
          <w:sz w:val="18"/>
          <w:szCs w:val="18"/>
          <w:color w:val="auto"/>
        </w:rPr>
        <w:t>Participants with respect to such Note by</w:t>
      </w:r>
    </w:p>
    <w:p>
      <w:pPr>
        <w:ind w:left="3800"/>
        <w:spacing w:after="0" w:line="237" w:lineRule="auto"/>
        <w:rPr>
          <w:sz w:val="20"/>
          <w:szCs w:val="20"/>
          <w:color w:val="auto"/>
        </w:rPr>
      </w:pPr>
      <w:r>
        <w:rPr>
          <w:rFonts w:ascii="Courier New" w:cs="Courier New" w:eastAsia="Courier New" w:hAnsi="Courier New"/>
          <w:sz w:val="18"/>
          <w:szCs w:val="18"/>
          <w:color w:val="auto"/>
        </w:rPr>
        <w:t>the beneficial purchaser thereof (or a</w:t>
      </w:r>
    </w:p>
    <w:p>
      <w:pPr>
        <w:ind w:left="3800"/>
        <w:spacing w:after="0" w:line="238" w:lineRule="auto"/>
        <w:rPr>
          <w:sz w:val="20"/>
          <w:szCs w:val="20"/>
          <w:color w:val="auto"/>
        </w:rPr>
      </w:pPr>
      <w:r>
        <w:rPr>
          <w:rFonts w:ascii="Courier New" w:cs="Courier New" w:eastAsia="Courier New" w:hAnsi="Courier New"/>
          <w:sz w:val="18"/>
          <w:szCs w:val="18"/>
          <w:color w:val="auto"/>
        </w:rPr>
        <w:t>person, including an indirect participant</w:t>
      </w:r>
    </w:p>
    <w:p>
      <w:pPr>
        <w:ind w:left="3800"/>
        <w:spacing w:after="0"/>
        <w:rPr>
          <w:sz w:val="20"/>
          <w:szCs w:val="20"/>
          <w:color w:val="auto"/>
        </w:rPr>
      </w:pPr>
      <w:r>
        <w:rPr>
          <w:rFonts w:ascii="Courier New" w:cs="Courier New" w:eastAsia="Courier New" w:hAnsi="Courier New"/>
          <w:sz w:val="18"/>
          <w:szCs w:val="18"/>
          <w:color w:val="auto"/>
        </w:rPr>
        <w:t>in DTC, acting on behalf of such</w:t>
      </w:r>
    </w:p>
    <w:p>
      <w:pPr>
        <w:ind w:left="3800"/>
        <w:spacing w:after="0" w:line="237" w:lineRule="auto"/>
        <w:rPr>
          <w:sz w:val="20"/>
          <w:szCs w:val="20"/>
          <w:color w:val="auto"/>
        </w:rPr>
      </w:pPr>
      <w:r>
        <w:rPr>
          <w:rFonts w:ascii="Courier New" w:cs="Courier New" w:eastAsia="Courier New" w:hAnsi="Courier New"/>
          <w:sz w:val="18"/>
          <w:szCs w:val="18"/>
          <w:color w:val="auto"/>
        </w:rPr>
        <w:t>purchaser), such Participants and, in</w:t>
      </w:r>
    </w:p>
    <w:p>
      <w:pPr>
        <w:ind w:left="3800"/>
        <w:spacing w:after="0"/>
        <w:rPr>
          <w:sz w:val="20"/>
          <w:szCs w:val="20"/>
          <w:color w:val="auto"/>
        </w:rPr>
      </w:pPr>
      <w:r>
        <w:rPr>
          <w:rFonts w:ascii="Courier New" w:cs="Courier New" w:eastAsia="Courier New" w:hAnsi="Courier New"/>
          <w:sz w:val="18"/>
          <w:szCs w:val="18"/>
          <w:color w:val="auto"/>
        </w:rPr>
        <w:t>turn, the relevant Agent may enter SDFS</w:t>
      </w:r>
    </w:p>
    <w:p>
      <w:pPr>
        <w:ind w:left="3800"/>
        <w:spacing w:after="0" w:line="237" w:lineRule="auto"/>
        <w:rPr>
          <w:sz w:val="20"/>
          <w:szCs w:val="20"/>
          <w:color w:val="auto"/>
        </w:rPr>
      </w:pPr>
      <w:r>
        <w:rPr>
          <w:rFonts w:ascii="Courier New" w:cs="Courier New" w:eastAsia="Courier New" w:hAnsi="Courier New"/>
          <w:sz w:val="18"/>
          <w:szCs w:val="18"/>
          <w:color w:val="auto"/>
        </w:rPr>
        <w:t>deliver orders through DTC's Participant</w:t>
      </w:r>
    </w:p>
    <w:p>
      <w:pPr>
        <w:ind w:left="3800"/>
        <w:spacing w:after="0"/>
        <w:rPr>
          <w:sz w:val="20"/>
          <w:szCs w:val="20"/>
          <w:color w:val="auto"/>
        </w:rPr>
      </w:pPr>
      <w:r>
        <w:rPr>
          <w:rFonts w:ascii="Courier New" w:cs="Courier New" w:eastAsia="Courier New" w:hAnsi="Courier New"/>
          <w:sz w:val="18"/>
          <w:szCs w:val="18"/>
          <w:color w:val="auto"/>
        </w:rPr>
        <w:t>Terminal System reversing the orders</w:t>
      </w:r>
    </w:p>
    <w:p>
      <w:pPr>
        <w:ind w:left="3800"/>
        <w:spacing w:after="0" w:line="237" w:lineRule="auto"/>
        <w:rPr>
          <w:sz w:val="20"/>
          <w:szCs w:val="20"/>
          <w:color w:val="auto"/>
        </w:rPr>
      </w:pPr>
      <w:r>
        <w:rPr>
          <w:rFonts w:ascii="Courier New" w:cs="Courier New" w:eastAsia="Courier New" w:hAnsi="Courier New"/>
          <w:sz w:val="18"/>
          <w:szCs w:val="18"/>
          <w:color w:val="auto"/>
        </w:rPr>
        <w:t>entered pursuant to Settlement Procedures</w:t>
      </w:r>
    </w:p>
    <w:p>
      <w:pPr>
        <w:ind w:left="3800"/>
        <w:spacing w:after="0"/>
        <w:tabs>
          <w:tab w:leader="none" w:pos="6720" w:val="left"/>
        </w:tabs>
        <w:rPr>
          <w:sz w:val="20"/>
          <w:szCs w:val="20"/>
          <w:color w:val="auto"/>
        </w:rPr>
      </w:pPr>
      <w:r>
        <w:rPr>
          <w:rFonts w:ascii="Courier New" w:cs="Courier New" w:eastAsia="Courier New" w:hAnsi="Courier New"/>
          <w:sz w:val="18"/>
          <w:szCs w:val="18"/>
          <w:color w:val="auto"/>
        </w:rPr>
        <w:t>"F" and "G", respectively.</w:t>
      </w:r>
      <w:r>
        <w:rPr>
          <w:sz w:val="20"/>
          <w:szCs w:val="20"/>
          <w:color w:val="auto"/>
        </w:rPr>
        <w:tab/>
      </w:r>
      <w:r>
        <w:rPr>
          <w:rFonts w:ascii="Courier New" w:cs="Courier New" w:eastAsia="Courier New" w:hAnsi="Courier New"/>
          <w:sz w:val="16"/>
          <w:szCs w:val="16"/>
          <w:color w:val="auto"/>
        </w:rPr>
        <w:t>Thereafter,</w:t>
      </w:r>
    </w:p>
    <w:p>
      <w:pPr>
        <w:ind w:left="3800"/>
        <w:spacing w:after="0"/>
        <w:rPr>
          <w:sz w:val="20"/>
          <w:szCs w:val="20"/>
          <w:color w:val="auto"/>
        </w:rPr>
      </w:pPr>
      <w:r>
        <w:rPr>
          <w:rFonts w:ascii="Courier New" w:cs="Courier New" w:eastAsia="Courier New" w:hAnsi="Courier New"/>
          <w:sz w:val="18"/>
          <w:szCs w:val="18"/>
          <w:color w:val="auto"/>
        </w:rPr>
        <w:t>Chemical will deliver the withdrawal</w:t>
      </w:r>
    </w:p>
    <w:p>
      <w:pPr>
        <w:ind w:left="3800"/>
        <w:spacing w:after="0" w:line="237" w:lineRule="auto"/>
        <w:rPr>
          <w:sz w:val="20"/>
          <w:szCs w:val="20"/>
          <w:color w:val="auto"/>
        </w:rPr>
      </w:pPr>
      <w:r>
        <w:rPr>
          <w:rFonts w:ascii="Courier New" w:cs="Courier New" w:eastAsia="Courier New" w:hAnsi="Courier New"/>
          <w:sz w:val="18"/>
          <w:szCs w:val="18"/>
          <w:color w:val="auto"/>
        </w:rPr>
        <w:t>message and take the related actions</w:t>
      </w:r>
    </w:p>
    <w:p>
      <w:pPr>
        <w:ind w:left="3800"/>
        <w:spacing w:after="0"/>
        <w:rPr>
          <w:sz w:val="20"/>
          <w:szCs w:val="20"/>
          <w:color w:val="auto"/>
        </w:rPr>
      </w:pPr>
      <w:r>
        <w:rPr>
          <w:rFonts w:ascii="Courier New" w:cs="Courier New" w:eastAsia="Courier New" w:hAnsi="Courier New"/>
          <w:sz w:val="18"/>
          <w:szCs w:val="18"/>
          <w:color w:val="auto"/>
        </w:rPr>
        <w:t>described in the preceding paragraph.</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Notwithstanding the foregoing, upon any</w:t>
      </w:r>
    </w:p>
    <w:p>
      <w:pPr>
        <w:ind w:left="3800"/>
        <w:spacing w:after="0" w:line="238" w:lineRule="auto"/>
        <w:rPr>
          <w:sz w:val="20"/>
          <w:szCs w:val="20"/>
          <w:color w:val="auto"/>
        </w:rPr>
      </w:pPr>
      <w:r>
        <w:rPr>
          <w:rFonts w:ascii="Courier New" w:cs="Courier New" w:eastAsia="Courier New" w:hAnsi="Courier New"/>
          <w:sz w:val="18"/>
          <w:szCs w:val="18"/>
          <w:color w:val="auto"/>
        </w:rPr>
        <w:t>failure to settle with respect to a</w:t>
      </w:r>
    </w:p>
    <w:p>
      <w:pPr>
        <w:ind w:left="3800"/>
        <w:spacing w:after="0"/>
        <w:rPr>
          <w:sz w:val="20"/>
          <w:szCs w:val="20"/>
          <w:color w:val="auto"/>
        </w:rPr>
      </w:pPr>
      <w:r>
        <w:rPr>
          <w:rFonts w:ascii="Courier New" w:cs="Courier New" w:eastAsia="Courier New" w:hAnsi="Courier New"/>
          <w:sz w:val="18"/>
          <w:szCs w:val="18"/>
          <w:color w:val="auto"/>
        </w:rPr>
        <w:t>Book-Entry Note, DTC may take any actions</w:t>
      </w:r>
    </w:p>
    <w:p>
      <w:pPr>
        <w:ind w:left="3800"/>
        <w:spacing w:after="0" w:line="237" w:lineRule="auto"/>
        <w:rPr>
          <w:sz w:val="20"/>
          <w:szCs w:val="20"/>
          <w:color w:val="auto"/>
        </w:rPr>
      </w:pPr>
      <w:r>
        <w:rPr>
          <w:rFonts w:ascii="Courier New" w:cs="Courier New" w:eastAsia="Courier New" w:hAnsi="Courier New"/>
          <w:sz w:val="18"/>
          <w:szCs w:val="18"/>
          <w:color w:val="auto"/>
        </w:rPr>
        <w:t>in accordance with its SDFS operating</w:t>
      </w:r>
    </w:p>
    <w:p>
      <w:pPr>
        <w:ind w:left="3800"/>
        <w:spacing w:after="0" w:line="238" w:lineRule="auto"/>
        <w:rPr>
          <w:sz w:val="20"/>
          <w:szCs w:val="20"/>
          <w:color w:val="auto"/>
        </w:rPr>
      </w:pPr>
      <w:r>
        <w:rPr>
          <w:rFonts w:ascii="Courier New" w:cs="Courier New" w:eastAsia="Courier New" w:hAnsi="Courier New"/>
          <w:sz w:val="18"/>
          <w:szCs w:val="18"/>
          <w:color w:val="auto"/>
        </w:rPr>
        <w:t>procedures then in effect.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In the event of a failure to settle with</w:t>
      </w:r>
    </w:p>
    <w:p>
      <w:pPr>
        <w:ind w:left="3800"/>
        <w:spacing w:after="0" w:line="238" w:lineRule="auto"/>
        <w:rPr>
          <w:sz w:val="20"/>
          <w:szCs w:val="20"/>
          <w:color w:val="auto"/>
        </w:rPr>
      </w:pPr>
      <w:r>
        <w:rPr>
          <w:rFonts w:ascii="Courier New" w:cs="Courier New" w:eastAsia="Courier New" w:hAnsi="Courier New"/>
          <w:sz w:val="18"/>
          <w:szCs w:val="18"/>
          <w:color w:val="auto"/>
        </w:rPr>
        <w:t>respect to one or more, but not all, of</w:t>
      </w:r>
    </w:p>
    <w:p>
      <w:pPr>
        <w:ind w:left="3800"/>
        <w:spacing w:after="0"/>
        <w:rPr>
          <w:sz w:val="20"/>
          <w:szCs w:val="20"/>
          <w:color w:val="auto"/>
        </w:rPr>
      </w:pPr>
      <w:r>
        <w:rPr>
          <w:rFonts w:ascii="Courier New" w:cs="Courier New" w:eastAsia="Courier New" w:hAnsi="Courier New"/>
          <w:sz w:val="18"/>
          <w:szCs w:val="18"/>
          <w:color w:val="auto"/>
        </w:rPr>
        <w:t>the Book-Entry Notes to have been</w:t>
      </w:r>
    </w:p>
    <w:p>
      <w:pPr>
        <w:ind w:left="3800"/>
        <w:spacing w:after="0" w:line="237" w:lineRule="auto"/>
        <w:rPr>
          <w:sz w:val="20"/>
          <w:szCs w:val="20"/>
          <w:color w:val="auto"/>
        </w:rPr>
      </w:pPr>
      <w:r>
        <w:rPr>
          <w:rFonts w:ascii="Courier New" w:cs="Courier New" w:eastAsia="Courier New" w:hAnsi="Courier New"/>
          <w:sz w:val="18"/>
          <w:szCs w:val="18"/>
          <w:color w:val="auto"/>
        </w:rPr>
        <w:t>represented by a Global Security, Chemical</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will provide, in accordance with Settlement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Procedures "D" and "F", for the</w:t>
      </w:r>
    </w:p>
    <w:p>
      <w:pPr>
        <w:ind w:left="3800"/>
        <w:spacing w:after="0" w:line="238" w:lineRule="auto"/>
        <w:rPr>
          <w:sz w:val="20"/>
          <w:szCs w:val="20"/>
          <w:color w:val="auto"/>
        </w:rPr>
      </w:pPr>
      <w:r>
        <w:rPr>
          <w:rFonts w:ascii="Courier New" w:cs="Courier New" w:eastAsia="Courier New" w:hAnsi="Courier New"/>
          <w:sz w:val="18"/>
          <w:szCs w:val="18"/>
          <w:color w:val="auto"/>
        </w:rPr>
        <w:t>authentication and issuance of a Global</w:t>
      </w:r>
    </w:p>
    <w:p>
      <w:pPr>
        <w:ind w:left="3800"/>
        <w:spacing w:after="0"/>
        <w:rPr>
          <w:sz w:val="20"/>
          <w:szCs w:val="20"/>
          <w:color w:val="auto"/>
        </w:rPr>
      </w:pPr>
      <w:r>
        <w:rPr>
          <w:rFonts w:ascii="Courier New" w:cs="Courier New" w:eastAsia="Courier New" w:hAnsi="Courier New"/>
          <w:sz w:val="18"/>
          <w:szCs w:val="18"/>
          <w:color w:val="auto"/>
        </w:rPr>
        <w:t>Security representing the Book-Entry Notes</w:t>
      </w:r>
    </w:p>
    <w:p>
      <w:pPr>
        <w:ind w:left="3800"/>
        <w:spacing w:after="0" w:line="237" w:lineRule="auto"/>
        <w:rPr>
          <w:sz w:val="20"/>
          <w:szCs w:val="20"/>
          <w:color w:val="auto"/>
        </w:rPr>
      </w:pPr>
      <w:r>
        <w:rPr>
          <w:rFonts w:ascii="Courier New" w:cs="Courier New" w:eastAsia="Courier New" w:hAnsi="Courier New"/>
          <w:sz w:val="18"/>
          <w:szCs w:val="18"/>
          <w:color w:val="auto"/>
        </w:rPr>
        <w:t>to be represented by such Global Security</w:t>
      </w:r>
    </w:p>
    <w:p>
      <w:pPr>
        <w:ind w:left="3800"/>
        <w:spacing w:after="0" w:line="238" w:lineRule="auto"/>
        <w:rPr>
          <w:sz w:val="20"/>
          <w:szCs w:val="20"/>
          <w:color w:val="auto"/>
        </w:rPr>
      </w:pPr>
      <w:r>
        <w:rPr>
          <w:rFonts w:ascii="Courier New" w:cs="Courier New" w:eastAsia="Courier New" w:hAnsi="Courier New"/>
          <w:sz w:val="18"/>
          <w:szCs w:val="18"/>
          <w:color w:val="auto"/>
        </w:rPr>
        <w:t>and will make appropriate entries in its</w:t>
      </w:r>
    </w:p>
    <w:p>
      <w:pPr>
        <w:ind w:left="3800"/>
        <w:spacing w:after="0"/>
        <w:rPr>
          <w:sz w:val="20"/>
          <w:szCs w:val="20"/>
          <w:color w:val="auto"/>
        </w:rPr>
      </w:pPr>
      <w:r>
        <w:rPr>
          <w:rFonts w:ascii="Courier New" w:cs="Courier New" w:eastAsia="Courier New" w:hAnsi="Courier New"/>
          <w:sz w:val="18"/>
          <w:szCs w:val="18"/>
          <w:color w:val="auto"/>
        </w:rPr>
        <w:t>records.</w:t>
      </w:r>
    </w:p>
    <w:p>
      <w:pPr>
        <w:spacing w:after="0" w:line="200" w:lineRule="exact"/>
        <w:rPr>
          <w:sz w:val="20"/>
          <w:szCs w:val="20"/>
          <w:color w:val="auto"/>
        </w:rPr>
      </w:pPr>
    </w:p>
    <w:p>
      <w:pPr>
        <w:spacing w:after="0" w:line="203"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ADMINISTRATIVE PROCEDURES FOR CERTIFICATED NOTES</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Chemical will serve as Registrar in connection with the Certificated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Issuance:</w:t>
      </w:r>
      <w:r>
        <w:rPr>
          <w:sz w:val="20"/>
          <w:szCs w:val="20"/>
          <w:color w:val="auto"/>
        </w:rPr>
        <w:tab/>
      </w:r>
      <w:r>
        <w:rPr>
          <w:rFonts w:ascii="Courier New" w:cs="Courier New" w:eastAsia="Courier New" w:hAnsi="Courier New"/>
          <w:sz w:val="18"/>
          <w:szCs w:val="18"/>
          <w:color w:val="auto"/>
        </w:rPr>
        <w:t>Each Certificated Note will be dated and</w:t>
      </w:r>
    </w:p>
    <w:p>
      <w:pPr>
        <w:ind w:left="3800"/>
        <w:spacing w:after="0" w:line="238" w:lineRule="auto"/>
        <w:rPr>
          <w:sz w:val="20"/>
          <w:szCs w:val="20"/>
          <w:color w:val="auto"/>
        </w:rPr>
      </w:pPr>
      <w:r>
        <w:rPr>
          <w:rFonts w:ascii="Courier New" w:cs="Courier New" w:eastAsia="Courier New" w:hAnsi="Courier New"/>
          <w:sz w:val="18"/>
          <w:szCs w:val="18"/>
          <w:color w:val="auto"/>
        </w:rPr>
        <w:t>issued as of the date of its</w:t>
      </w:r>
    </w:p>
    <w:p>
      <w:pPr>
        <w:ind w:left="3800"/>
        <w:spacing w:after="0"/>
        <w:tabs>
          <w:tab w:leader="none" w:pos="6840" w:val="left"/>
        </w:tabs>
        <w:rPr>
          <w:sz w:val="20"/>
          <w:szCs w:val="20"/>
          <w:color w:val="auto"/>
        </w:rPr>
      </w:pPr>
      <w:r>
        <w:rPr>
          <w:rFonts w:ascii="Courier New" w:cs="Courier New" w:eastAsia="Courier New" w:hAnsi="Courier New"/>
          <w:sz w:val="18"/>
          <w:szCs w:val="18"/>
          <w:color w:val="auto"/>
        </w:rPr>
        <w:t>authentication by Chemical.</w:t>
      </w:r>
      <w:r>
        <w:rPr>
          <w:sz w:val="20"/>
          <w:szCs w:val="20"/>
          <w:color w:val="auto"/>
        </w:rPr>
        <w:tab/>
      </w:r>
      <w:r>
        <w:rPr>
          <w:rFonts w:ascii="Courier New" w:cs="Courier New" w:eastAsia="Courier New" w:hAnsi="Courier New"/>
          <w:sz w:val="16"/>
          <w:szCs w:val="16"/>
          <w:color w:val="auto"/>
        </w:rPr>
        <w:t>Each</w:t>
      </w:r>
    </w:p>
    <w:p>
      <w:pPr>
        <w:ind w:left="3800"/>
        <w:spacing w:after="0" w:line="237" w:lineRule="auto"/>
        <w:rPr>
          <w:sz w:val="20"/>
          <w:szCs w:val="20"/>
          <w:color w:val="auto"/>
        </w:rPr>
      </w:pPr>
      <w:r>
        <w:rPr>
          <w:rFonts w:ascii="Courier New" w:cs="Courier New" w:eastAsia="Courier New" w:hAnsi="Courier New"/>
          <w:sz w:val="18"/>
          <w:szCs w:val="18"/>
          <w:color w:val="auto"/>
        </w:rPr>
        <w:t>Certificated Note will bear an Original</w:t>
      </w:r>
    </w:p>
    <w:p>
      <w:pPr>
        <w:ind w:left="3800"/>
        <w:spacing w:after="0" w:line="238" w:lineRule="auto"/>
        <w:rPr>
          <w:sz w:val="20"/>
          <w:szCs w:val="20"/>
          <w:color w:val="auto"/>
        </w:rPr>
      </w:pPr>
      <w:r>
        <w:rPr>
          <w:rFonts w:ascii="Courier New" w:cs="Courier New" w:eastAsia="Courier New" w:hAnsi="Courier New"/>
          <w:sz w:val="18"/>
          <w:szCs w:val="18"/>
          <w:color w:val="auto"/>
        </w:rPr>
        <w:t>Issue Date, which will be (i) with respect</w:t>
      </w:r>
    </w:p>
    <w:p>
      <w:pPr>
        <w:ind w:left="3800"/>
        <w:spacing w:after="0"/>
        <w:rPr>
          <w:sz w:val="20"/>
          <w:szCs w:val="20"/>
          <w:color w:val="auto"/>
        </w:rPr>
      </w:pPr>
      <w:r>
        <w:rPr>
          <w:rFonts w:ascii="Courier New" w:cs="Courier New" w:eastAsia="Courier New" w:hAnsi="Courier New"/>
          <w:sz w:val="18"/>
          <w:szCs w:val="18"/>
          <w:color w:val="auto"/>
        </w:rPr>
        <w:t>to an original Certificated Note (or any</w:t>
      </w:r>
    </w:p>
    <w:p>
      <w:pPr>
        <w:ind w:left="3800"/>
        <w:spacing w:after="0" w:line="237" w:lineRule="auto"/>
        <w:rPr>
          <w:sz w:val="20"/>
          <w:szCs w:val="20"/>
          <w:color w:val="auto"/>
        </w:rPr>
      </w:pPr>
      <w:r>
        <w:rPr>
          <w:rFonts w:ascii="Courier New" w:cs="Courier New" w:eastAsia="Courier New" w:hAnsi="Courier New"/>
          <w:sz w:val="18"/>
          <w:szCs w:val="18"/>
          <w:color w:val="auto"/>
        </w:rPr>
        <w:t>portion thereof), its original issuance</w:t>
      </w:r>
    </w:p>
    <w:p>
      <w:pPr>
        <w:ind w:left="3800"/>
        <w:spacing w:after="0"/>
        <w:rPr>
          <w:sz w:val="20"/>
          <w:szCs w:val="20"/>
          <w:color w:val="auto"/>
        </w:rPr>
      </w:pPr>
      <w:r>
        <w:rPr>
          <w:rFonts w:ascii="Courier New" w:cs="Courier New" w:eastAsia="Courier New" w:hAnsi="Courier New"/>
          <w:sz w:val="18"/>
          <w:szCs w:val="18"/>
          <w:color w:val="auto"/>
        </w:rPr>
        <w:t>date (which will be the settlement date)</w:t>
      </w:r>
    </w:p>
    <w:p>
      <w:pPr>
        <w:ind w:left="3800"/>
        <w:spacing w:after="0" w:line="237" w:lineRule="auto"/>
        <w:rPr>
          <w:sz w:val="20"/>
          <w:szCs w:val="20"/>
          <w:color w:val="auto"/>
        </w:rPr>
      </w:pPr>
      <w:r>
        <w:rPr>
          <w:rFonts w:ascii="Courier New" w:cs="Courier New" w:eastAsia="Courier New" w:hAnsi="Courier New"/>
          <w:sz w:val="18"/>
          <w:szCs w:val="18"/>
          <w:color w:val="auto"/>
        </w:rPr>
        <w:t>and (ii) with respect to any Certificated</w:t>
      </w:r>
    </w:p>
    <w:p>
      <w:pPr>
        <w:ind w:left="3800"/>
        <w:spacing w:after="0"/>
        <w:rPr>
          <w:sz w:val="20"/>
          <w:szCs w:val="20"/>
          <w:color w:val="auto"/>
        </w:rPr>
      </w:pPr>
      <w:r>
        <w:rPr>
          <w:rFonts w:ascii="Courier New" w:cs="Courier New" w:eastAsia="Courier New" w:hAnsi="Courier New"/>
          <w:sz w:val="18"/>
          <w:szCs w:val="18"/>
          <w:color w:val="auto"/>
        </w:rPr>
        <w:t>Note (or portion thereof) issued</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subsequently upon transfer or exchange of a</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Certificated Note or in lieu of a</w:t>
      </w:r>
    </w:p>
    <w:p>
      <w:pPr>
        <w:ind w:left="3800"/>
        <w:spacing w:after="0" w:line="238" w:lineRule="auto"/>
        <w:rPr>
          <w:sz w:val="20"/>
          <w:szCs w:val="20"/>
          <w:color w:val="auto"/>
        </w:rPr>
      </w:pPr>
      <w:r>
        <w:rPr>
          <w:rFonts w:ascii="Courier New" w:cs="Courier New" w:eastAsia="Courier New" w:hAnsi="Courier New"/>
          <w:sz w:val="18"/>
          <w:szCs w:val="18"/>
          <w:color w:val="auto"/>
        </w:rPr>
        <w:t>destroyed, lost or stolen Certificated</w:t>
      </w:r>
    </w:p>
    <w:p>
      <w:pPr>
        <w:ind w:left="3800"/>
        <w:spacing w:after="0"/>
        <w:rPr>
          <w:sz w:val="20"/>
          <w:szCs w:val="20"/>
          <w:color w:val="auto"/>
        </w:rPr>
      </w:pPr>
      <w:r>
        <w:rPr>
          <w:rFonts w:ascii="Courier New" w:cs="Courier New" w:eastAsia="Courier New" w:hAnsi="Courier New"/>
          <w:sz w:val="18"/>
          <w:szCs w:val="18"/>
          <w:color w:val="auto"/>
        </w:rPr>
        <w:t>Note, the original issuance date of the</w:t>
      </w:r>
    </w:p>
    <w:p>
      <w:pPr>
        <w:ind w:left="3800"/>
        <w:spacing w:after="0" w:line="237" w:lineRule="auto"/>
        <w:rPr>
          <w:sz w:val="20"/>
          <w:szCs w:val="20"/>
          <w:color w:val="auto"/>
        </w:rPr>
      </w:pPr>
      <w:r>
        <w:rPr>
          <w:rFonts w:ascii="Courier New" w:cs="Courier New" w:eastAsia="Courier New" w:hAnsi="Courier New"/>
          <w:sz w:val="18"/>
          <w:szCs w:val="18"/>
          <w:color w:val="auto"/>
        </w:rPr>
        <w:t>predecessor Certificated Note, regardless</w:t>
      </w:r>
    </w:p>
    <w:p>
      <w:pPr>
        <w:ind w:left="3800"/>
        <w:spacing w:after="0" w:line="238" w:lineRule="auto"/>
        <w:rPr>
          <w:sz w:val="20"/>
          <w:szCs w:val="20"/>
          <w:color w:val="auto"/>
        </w:rPr>
      </w:pPr>
      <w:r>
        <w:rPr>
          <w:rFonts w:ascii="Courier New" w:cs="Courier New" w:eastAsia="Courier New" w:hAnsi="Courier New"/>
          <w:sz w:val="18"/>
          <w:szCs w:val="18"/>
          <w:color w:val="auto"/>
        </w:rPr>
        <w:t>of the date of authentication of such</w:t>
      </w:r>
    </w:p>
    <w:p>
      <w:pPr>
        <w:ind w:left="3800"/>
        <w:spacing w:after="0"/>
        <w:rPr>
          <w:sz w:val="20"/>
          <w:szCs w:val="20"/>
          <w:color w:val="auto"/>
        </w:rPr>
      </w:pPr>
      <w:r>
        <w:rPr>
          <w:rFonts w:ascii="Courier New" w:cs="Courier New" w:eastAsia="Courier New" w:hAnsi="Courier New"/>
          <w:sz w:val="18"/>
          <w:szCs w:val="18"/>
          <w:color w:val="auto"/>
        </w:rPr>
        <w:t>subsequently issued Certificated Note.</w:t>
      </w:r>
    </w:p>
    <w:p>
      <w:pPr>
        <w:sectPr>
          <w:pgSz w:w="11900" w:h="16838" w:orient="portrait"/>
          <w:cols w:equalWidth="0" w:num="1">
            <w:col w:w="10219"/>
          </w:cols>
          <w:pgMar w:left="240" w:top="514"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Preparation</w:t>
            </w:r>
          </w:p>
        </w:tc>
        <w:tc>
          <w:tcPr>
            <w:tcW w:w="5860" w:type="dxa"/>
            <w:vAlign w:val="bottom"/>
            <w:gridSpan w:val="2"/>
          </w:tcPr>
          <w:p>
            <w:pPr>
              <w:ind w:left="1320"/>
              <w:spacing w:after="0"/>
              <w:rPr>
                <w:sz w:val="20"/>
                <w:szCs w:val="20"/>
                <w:color w:val="auto"/>
              </w:rPr>
            </w:pPr>
            <w:r>
              <w:rPr>
                <w:rFonts w:ascii="Courier New" w:cs="Courier New" w:eastAsia="Courier New" w:hAnsi="Courier New"/>
                <w:sz w:val="18"/>
                <w:szCs w:val="18"/>
                <w:color w:val="auto"/>
              </w:rPr>
              <w:t>If any offer to purchase a Certi-</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of Pricing</w:t>
            </w: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ficated Note is accepted by or on</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w:t>
            </w: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behalf of the Company, the Company will</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prepare a Pricing Supplement reflecting</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the terms of such Note.  The Company (i)</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will arrange to file 10 copies of such</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Pricing Supplement with the Commission in</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accordance with the applicable paragraph of</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Rule 424(b) under the Act and (ii) will,</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as soon as possible and in any event not</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later than the date on which such Pricing</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Supplement is filed with the Commission,</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deliver the number of copies of such</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Pricing Supplement to the relevant Agent as</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such Agent shall request.</w:t>
            </w:r>
          </w:p>
        </w:tc>
      </w:tr>
      <w:tr>
        <w:trPr>
          <w:trHeight w:val="405"/>
        </w:trPr>
        <w:tc>
          <w:tcPr>
            <w:tcW w:w="2480" w:type="dxa"/>
            <w:vAlign w:val="bottom"/>
          </w:tcPr>
          <w:p>
            <w:pPr>
              <w:spacing w:after="0"/>
              <w:rPr>
                <w:sz w:val="24"/>
                <w:szCs w:val="24"/>
                <w:color w:val="auto"/>
              </w:rPr>
            </w:pPr>
          </w:p>
        </w:tc>
        <w:tc>
          <w:tcPr>
            <w:tcW w:w="586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9"/>
              </w:rPr>
              <w:t>In each instance that a Pricing Supplement</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9"/>
              </w:rPr>
              <w:t>is prepared, the relevant Agent will affix</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the Pricing Supplement to Prospectuses</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prior to their use.  Outdated Pricing</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9"/>
              </w:rPr>
              <w:t>Supplements, and the Prospectuses to which</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they are attached (other than those</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retained for files), will be destroyed.</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Settlement:</w:t>
            </w:r>
          </w:p>
        </w:tc>
        <w:tc>
          <w:tcPr>
            <w:tcW w:w="5860" w:type="dxa"/>
            <w:vAlign w:val="bottom"/>
            <w:gridSpan w:val="2"/>
          </w:tcPr>
          <w:p>
            <w:pPr>
              <w:ind w:left="1320"/>
              <w:spacing w:after="0"/>
              <w:rPr>
                <w:sz w:val="20"/>
                <w:szCs w:val="20"/>
                <w:color w:val="auto"/>
              </w:rPr>
            </w:pPr>
            <w:r>
              <w:rPr>
                <w:rFonts w:ascii="Courier New" w:cs="Courier New" w:eastAsia="Courier New" w:hAnsi="Courier New"/>
                <w:sz w:val="18"/>
                <w:szCs w:val="18"/>
                <w:color w:val="auto"/>
              </w:rPr>
              <w:t>The receipt by the Company of immediately</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available funds in exchange for an</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authenticated Certificated Note delivered</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to the relevant Agent and such Agent's</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delivery of such Note against receipt of</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immediately available funds shall</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constitute "settlement" with respect to</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such Note.  All offers accepted by the</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Company will be settled on the fifth</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Business Day next succeeding the date of</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acceptance pursuant to the timetable for</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settlement set forth below, unless the</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Company and the purchaser agree to</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settlement on another date, which date</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9"/>
              </w:rPr>
              <w:t>shall be no earlier than the next Business</w:t>
            </w:r>
          </w:p>
        </w:tc>
      </w:tr>
      <w:tr>
        <w:trPr>
          <w:trHeight w:val="203"/>
        </w:trPr>
        <w:tc>
          <w:tcPr>
            <w:tcW w:w="2480" w:type="dxa"/>
            <w:vAlign w:val="bottom"/>
          </w:tcPr>
          <w:p>
            <w:pPr>
              <w:spacing w:after="0"/>
              <w:rPr>
                <w:sz w:val="17"/>
                <w:szCs w:val="17"/>
                <w:color w:val="auto"/>
              </w:rPr>
            </w:pPr>
          </w:p>
        </w:tc>
        <w:tc>
          <w:tcPr>
            <w:tcW w:w="23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Day.</w:t>
            </w:r>
          </w:p>
        </w:tc>
        <w:tc>
          <w:tcPr>
            <w:tcW w:w="348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Settlement</w:t>
            </w:r>
          </w:p>
        </w:tc>
        <w:tc>
          <w:tcPr>
            <w:tcW w:w="5860" w:type="dxa"/>
            <w:vAlign w:val="bottom"/>
            <w:gridSpan w:val="2"/>
          </w:tcPr>
          <w:p>
            <w:pPr>
              <w:ind w:left="1320"/>
              <w:spacing w:after="0"/>
              <w:rPr>
                <w:sz w:val="20"/>
                <w:szCs w:val="20"/>
                <w:color w:val="auto"/>
              </w:rPr>
            </w:pPr>
            <w:r>
              <w:rPr>
                <w:rFonts w:ascii="Courier New" w:cs="Courier New" w:eastAsia="Courier New" w:hAnsi="Courier New"/>
                <w:sz w:val="18"/>
                <w:szCs w:val="18"/>
                <w:color w:val="auto"/>
              </w:rPr>
              <w:t>Settlement Procedures with regard to</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Procedures:</w:t>
            </w: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9"/>
              </w:rPr>
              <w:t>each Certificated Note sold by the Company</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to or through an Agent (unless otherwise</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specified pursuant to a Terms Agreement)</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shall be as follows:</w:t>
            </w:r>
          </w:p>
        </w:tc>
      </w:tr>
      <w:tr>
        <w:trPr>
          <w:trHeight w:val="405"/>
        </w:trPr>
        <w:tc>
          <w:tcPr>
            <w:tcW w:w="2480" w:type="dxa"/>
            <w:vAlign w:val="bottom"/>
          </w:tcPr>
          <w:p>
            <w:pPr>
              <w:spacing w:after="0"/>
              <w:rPr>
                <w:sz w:val="24"/>
                <w:szCs w:val="24"/>
                <w:color w:val="auto"/>
              </w:rPr>
            </w:pPr>
          </w:p>
        </w:tc>
        <w:tc>
          <w:tcPr>
            <w:tcW w:w="5860" w:type="dxa"/>
            <w:vAlign w:val="bottom"/>
            <w:gridSpan w:val="2"/>
          </w:tcPr>
          <w:p>
            <w:pPr>
              <w:ind w:left="1320"/>
              <w:spacing w:after="0"/>
              <w:rPr>
                <w:sz w:val="20"/>
                <w:szCs w:val="20"/>
                <w:color w:val="auto"/>
              </w:rPr>
            </w:pPr>
            <w:r>
              <w:rPr>
                <w:rFonts w:ascii="Courier New" w:cs="Courier New" w:eastAsia="Courier New" w:hAnsi="Courier New"/>
                <w:sz w:val="18"/>
                <w:szCs w:val="18"/>
                <w:color w:val="auto"/>
              </w:rPr>
              <w:t>A.   The relevant Agent will advise the</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Company by telephone that such Note is a</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Certificated Note and of the following</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settlement information:</w:t>
            </w:r>
          </w:p>
        </w:tc>
      </w:tr>
      <w:tr>
        <w:trPr>
          <w:trHeight w:val="405"/>
        </w:trPr>
        <w:tc>
          <w:tcPr>
            <w:tcW w:w="2480" w:type="dxa"/>
            <w:vAlign w:val="bottom"/>
          </w:tcPr>
          <w:p>
            <w:pPr>
              <w:spacing w:after="0"/>
              <w:rPr>
                <w:sz w:val="24"/>
                <w:szCs w:val="24"/>
                <w:color w:val="auto"/>
              </w:rPr>
            </w:pPr>
          </w:p>
        </w:tc>
        <w:tc>
          <w:tcPr>
            <w:tcW w:w="2380" w:type="dxa"/>
            <w:vAlign w:val="bottom"/>
          </w:tcPr>
          <w:p>
            <w:pPr>
              <w:ind w:left="1960"/>
              <w:spacing w:after="0"/>
              <w:rPr>
                <w:sz w:val="20"/>
                <w:szCs w:val="20"/>
                <w:color w:val="auto"/>
              </w:rPr>
            </w:pPr>
            <w:r>
              <w:rPr>
                <w:rFonts w:ascii="Courier New" w:cs="Courier New" w:eastAsia="Courier New" w:hAnsi="Courier New"/>
                <w:sz w:val="18"/>
                <w:szCs w:val="18"/>
                <w:color w:val="auto"/>
              </w:rPr>
              <w:t>1.</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Name in which such Note is to</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960"/>
              <w:spacing w:after="0" w:line="203" w:lineRule="exact"/>
              <w:rPr>
                <w:sz w:val="20"/>
                <w:szCs w:val="20"/>
                <w:color w:val="auto"/>
              </w:rPr>
            </w:pPr>
            <w:r>
              <w:rPr>
                <w:rFonts w:ascii="Courier New" w:cs="Courier New" w:eastAsia="Courier New" w:hAnsi="Courier New"/>
                <w:sz w:val="18"/>
                <w:szCs w:val="18"/>
                <w:color w:val="auto"/>
              </w:rPr>
              <w:t>be registered ("Registered Owner").</w:t>
            </w:r>
          </w:p>
        </w:tc>
      </w:tr>
      <w:tr>
        <w:trPr>
          <w:trHeight w:val="405"/>
        </w:trPr>
        <w:tc>
          <w:tcPr>
            <w:tcW w:w="2480" w:type="dxa"/>
            <w:vAlign w:val="bottom"/>
          </w:tcPr>
          <w:p>
            <w:pPr>
              <w:spacing w:after="0"/>
              <w:rPr>
                <w:sz w:val="24"/>
                <w:szCs w:val="24"/>
                <w:color w:val="auto"/>
              </w:rPr>
            </w:pPr>
          </w:p>
        </w:tc>
        <w:tc>
          <w:tcPr>
            <w:tcW w:w="2380" w:type="dxa"/>
            <w:vAlign w:val="bottom"/>
          </w:tcPr>
          <w:p>
            <w:pPr>
              <w:ind w:left="1960"/>
              <w:spacing w:after="0"/>
              <w:rPr>
                <w:sz w:val="20"/>
                <w:szCs w:val="20"/>
                <w:color w:val="auto"/>
              </w:rPr>
            </w:pPr>
            <w:r>
              <w:rPr>
                <w:rFonts w:ascii="Courier New" w:cs="Courier New" w:eastAsia="Courier New" w:hAnsi="Courier New"/>
                <w:sz w:val="18"/>
                <w:szCs w:val="18"/>
                <w:color w:val="auto"/>
              </w:rPr>
              <w:t>2.</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Address of the Registered</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960"/>
              <w:spacing w:after="0" w:line="203" w:lineRule="exact"/>
              <w:rPr>
                <w:sz w:val="20"/>
                <w:szCs w:val="20"/>
                <w:color w:val="auto"/>
              </w:rPr>
            </w:pPr>
            <w:r>
              <w:rPr>
                <w:rFonts w:ascii="Courier New" w:cs="Courier New" w:eastAsia="Courier New" w:hAnsi="Courier New"/>
                <w:sz w:val="18"/>
                <w:szCs w:val="18"/>
                <w:color w:val="auto"/>
              </w:rPr>
              <w:t>Owner and address for payment of</w:t>
            </w:r>
          </w:p>
        </w:tc>
      </w:tr>
      <w:tr>
        <w:trPr>
          <w:trHeight w:val="203"/>
        </w:trPr>
        <w:tc>
          <w:tcPr>
            <w:tcW w:w="2480" w:type="dxa"/>
            <w:vAlign w:val="bottom"/>
          </w:tcPr>
          <w:p>
            <w:pPr>
              <w:spacing w:after="0"/>
              <w:rPr>
                <w:sz w:val="17"/>
                <w:szCs w:val="17"/>
                <w:color w:val="auto"/>
              </w:rPr>
            </w:pPr>
          </w:p>
        </w:tc>
        <w:tc>
          <w:tcPr>
            <w:tcW w:w="5860" w:type="dxa"/>
            <w:vAlign w:val="bottom"/>
            <w:gridSpan w:val="2"/>
          </w:tcPr>
          <w:p>
            <w:pPr>
              <w:ind w:left="1960"/>
              <w:spacing w:after="0" w:line="203" w:lineRule="exact"/>
              <w:rPr>
                <w:sz w:val="20"/>
                <w:szCs w:val="20"/>
                <w:color w:val="auto"/>
              </w:rPr>
            </w:pPr>
            <w:r>
              <w:rPr>
                <w:rFonts w:ascii="Courier New" w:cs="Courier New" w:eastAsia="Courier New" w:hAnsi="Courier New"/>
                <w:sz w:val="18"/>
                <w:szCs w:val="18"/>
                <w:color w:val="auto"/>
              </w:rPr>
              <w:t>principal and interest.</w:t>
            </w:r>
          </w:p>
        </w:tc>
      </w:tr>
      <w:tr>
        <w:trPr>
          <w:trHeight w:val="405"/>
        </w:trPr>
        <w:tc>
          <w:tcPr>
            <w:tcW w:w="2480" w:type="dxa"/>
            <w:vAlign w:val="bottom"/>
          </w:tcPr>
          <w:p>
            <w:pPr>
              <w:spacing w:after="0"/>
              <w:rPr>
                <w:sz w:val="24"/>
                <w:szCs w:val="24"/>
                <w:color w:val="auto"/>
              </w:rPr>
            </w:pPr>
          </w:p>
        </w:tc>
        <w:tc>
          <w:tcPr>
            <w:tcW w:w="2380" w:type="dxa"/>
            <w:vAlign w:val="bottom"/>
          </w:tcPr>
          <w:p>
            <w:pPr>
              <w:ind w:left="1960"/>
              <w:spacing w:after="0"/>
              <w:rPr>
                <w:sz w:val="20"/>
                <w:szCs w:val="20"/>
                <w:color w:val="auto"/>
              </w:rPr>
            </w:pPr>
            <w:r>
              <w:rPr>
                <w:rFonts w:ascii="Courier New" w:cs="Courier New" w:eastAsia="Courier New" w:hAnsi="Courier New"/>
                <w:sz w:val="18"/>
                <w:szCs w:val="18"/>
                <w:color w:val="auto"/>
              </w:rPr>
              <w:t>3.</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Taxpayer identification number</w:t>
            </w:r>
          </w:p>
        </w:tc>
      </w:tr>
    </w:tbl>
    <w:p>
      <w:pPr>
        <w:sectPr>
          <w:pgSz w:w="11900" w:h="16838" w:orient="portrait"/>
          <w:cols w:equalWidth="0" w:num="1">
            <w:col w:w="10219"/>
          </w:cols>
          <w:pgMar w:left="240" w:top="514" w:right="1440" w:bottom="1440" w:gutter="0" w:footer="0" w:header="0"/>
        </w:sectPr>
      </w:pPr>
    </w:p>
    <w:bookmarkStart w:id="69" w:name="page70"/>
    <w:bookmarkEnd w:id="69"/>
    <w:p>
      <w:pPr>
        <w:ind w:left="3240"/>
        <w:spacing w:after="0"/>
        <w:rPr>
          <w:sz w:val="20"/>
          <w:szCs w:val="20"/>
          <w:color w:val="auto"/>
        </w:rPr>
      </w:pPr>
      <w:r>
        <w:rPr>
          <w:rFonts w:ascii="Courier New" w:cs="Courier New" w:eastAsia="Courier New" w:hAnsi="Courier New"/>
          <w:sz w:val="18"/>
          <w:szCs w:val="18"/>
          <w:color w:val="auto"/>
        </w:rPr>
        <w:t>of the Registered Owner (if</w:t>
      </w:r>
    </w:p>
    <w:p>
      <w:pPr>
        <w:ind w:left="3240"/>
        <w:spacing w:after="0" w:line="238" w:lineRule="auto"/>
        <w:rPr>
          <w:sz w:val="20"/>
          <w:szCs w:val="20"/>
          <w:color w:val="auto"/>
        </w:rPr>
      </w:pPr>
      <w:r>
        <w:rPr>
          <w:rFonts w:ascii="Courier New" w:cs="Courier New" w:eastAsia="Courier New" w:hAnsi="Courier New"/>
          <w:sz w:val="18"/>
          <w:szCs w:val="18"/>
          <w:color w:val="auto"/>
        </w:rPr>
        <w:t>available).</w:t>
      </w:r>
    </w:p>
    <w:p>
      <w:pPr>
        <w:spacing w:after="0" w:line="202" w:lineRule="exact"/>
        <w:rPr>
          <w:sz w:val="20"/>
          <w:szCs w:val="20"/>
          <w:color w:val="auto"/>
        </w:rPr>
      </w:pPr>
    </w:p>
    <w:p>
      <w:pPr>
        <w:ind w:left="3860" w:hanging="628"/>
        <w:spacing w:after="0"/>
        <w:tabs>
          <w:tab w:leader="none" w:pos="38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amount.</w:t>
      </w:r>
    </w:p>
    <w:p>
      <w:pPr>
        <w:spacing w:after="0" w:line="201" w:lineRule="exact"/>
        <w:rPr>
          <w:rFonts w:ascii="Courier New" w:cs="Courier New" w:eastAsia="Courier New" w:hAnsi="Courier New"/>
          <w:sz w:val="18"/>
          <w:szCs w:val="18"/>
          <w:color w:val="auto"/>
        </w:rPr>
      </w:pPr>
    </w:p>
    <w:p>
      <w:pPr>
        <w:ind w:left="3860" w:hanging="628"/>
        <w:spacing w:after="0"/>
        <w:tabs>
          <w:tab w:leader="none" w:pos="38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Date.</w:t>
      </w:r>
    </w:p>
    <w:p>
      <w:pPr>
        <w:spacing w:after="0" w:line="206" w:lineRule="exact"/>
        <w:rPr>
          <w:rFonts w:ascii="Courier New" w:cs="Courier New" w:eastAsia="Courier New" w:hAnsi="Courier New"/>
          <w:sz w:val="18"/>
          <w:szCs w:val="18"/>
          <w:color w:val="auto"/>
        </w:rPr>
      </w:pPr>
    </w:p>
    <w:p>
      <w:pPr>
        <w:ind w:left="3240" w:right="1879" w:hanging="8"/>
        <w:spacing w:after="0" w:line="269" w:lineRule="auto"/>
        <w:tabs>
          <w:tab w:leader="none" w:pos="387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Fixed Rate Certificated Note, the Interest Rate, whether such Note will pay interest annually or semiannually and whether such Note is an Amortizing Note and, if so, the amortization schedule, or, in the case of a Floating Rate Certificated Note, the Initial Interest Rate (if known at such time), Interest Payment Date(s), Interest Payment Period, Calculation Agent, Base Rate, Index Maturity, Interest Reset Period, Initial Interest Reset Date, Interest Reset Dates, Spread or Spread Multiplier (if any), Minimum Interest Rate (if any), Maximum Interest Rate (if any) and the Alternate Rate Event Spread (if any).</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3240" w:right="2739" w:hanging="8"/>
        <w:spacing w:after="0" w:line="290" w:lineRule="auto"/>
        <w:tabs>
          <w:tab w:leader="none" w:pos="387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or repayment provisions (if any).</w:t>
      </w:r>
    </w:p>
    <w:p>
      <w:pPr>
        <w:spacing w:after="0" w:line="169" w:lineRule="exact"/>
        <w:rPr>
          <w:rFonts w:ascii="Courier New" w:cs="Courier New" w:eastAsia="Courier New" w:hAnsi="Courier New"/>
          <w:sz w:val="16"/>
          <w:szCs w:val="16"/>
          <w:color w:val="auto"/>
        </w:rPr>
      </w:pPr>
    </w:p>
    <w:p>
      <w:pPr>
        <w:ind w:left="3240" w:right="2619" w:hanging="8"/>
        <w:spacing w:after="0" w:line="235" w:lineRule="auto"/>
        <w:tabs>
          <w:tab w:leader="none" w:pos="387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Settlement date and time (Original Issue Date).</w:t>
      </w:r>
    </w:p>
    <w:p>
      <w:pPr>
        <w:spacing w:after="0" w:line="202" w:lineRule="exact"/>
        <w:rPr>
          <w:rFonts w:ascii="Courier New" w:cs="Courier New" w:eastAsia="Courier New" w:hAnsi="Courier New"/>
          <w:sz w:val="18"/>
          <w:szCs w:val="18"/>
          <w:color w:val="auto"/>
        </w:rPr>
      </w:pPr>
    </w:p>
    <w:p>
      <w:pPr>
        <w:ind w:left="3860" w:hanging="628"/>
        <w:spacing w:after="0"/>
        <w:tabs>
          <w:tab w:leader="none" w:pos="38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Accrual Date.</w:t>
      </w:r>
    </w:p>
    <w:p>
      <w:pPr>
        <w:spacing w:after="0" w:line="201" w:lineRule="exact"/>
        <w:rPr>
          <w:rFonts w:ascii="Courier New" w:cs="Courier New" w:eastAsia="Courier New" w:hAnsi="Courier New"/>
          <w:sz w:val="18"/>
          <w:szCs w:val="18"/>
          <w:color w:val="auto"/>
        </w:rPr>
      </w:pPr>
    </w:p>
    <w:p>
      <w:pPr>
        <w:ind w:left="3860" w:hanging="628"/>
        <w:spacing w:after="0"/>
        <w:tabs>
          <w:tab w:leader="none" w:pos="38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spacing w:after="0" w:line="206" w:lineRule="exact"/>
        <w:rPr>
          <w:rFonts w:ascii="Courier New" w:cs="Courier New" w:eastAsia="Courier New" w:hAnsi="Courier New"/>
          <w:sz w:val="18"/>
          <w:szCs w:val="18"/>
          <w:color w:val="auto"/>
        </w:rPr>
      </w:pPr>
    </w:p>
    <w:p>
      <w:pPr>
        <w:ind w:left="3240" w:right="2319" w:hanging="8"/>
        <w:spacing w:after="0" w:line="236" w:lineRule="auto"/>
        <w:tabs>
          <w:tab w:leader="none" w:pos="387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Agent's commission (if any) determined as provided in the Distribution Agreement.</w:t>
      </w:r>
    </w:p>
    <w:p>
      <w:pPr>
        <w:spacing w:after="0" w:line="203" w:lineRule="exact"/>
        <w:rPr>
          <w:rFonts w:ascii="Courier New" w:cs="Courier New" w:eastAsia="Courier New" w:hAnsi="Courier New"/>
          <w:sz w:val="18"/>
          <w:szCs w:val="18"/>
          <w:color w:val="auto"/>
        </w:rPr>
      </w:pPr>
    </w:p>
    <w:p>
      <w:pPr>
        <w:ind w:left="3860" w:hanging="628"/>
        <w:spacing w:after="0"/>
        <w:tabs>
          <w:tab w:leader="none" w:pos="38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Denominations.</w:t>
      </w:r>
    </w:p>
    <w:p>
      <w:pPr>
        <w:spacing w:after="0" w:line="201" w:lineRule="exact"/>
        <w:rPr>
          <w:rFonts w:ascii="Courier New" w:cs="Courier New" w:eastAsia="Courier New" w:hAnsi="Courier New"/>
          <w:sz w:val="18"/>
          <w:szCs w:val="18"/>
          <w:color w:val="auto"/>
        </w:rPr>
      </w:pPr>
    </w:p>
    <w:p>
      <w:pPr>
        <w:ind w:left="3860" w:hanging="628"/>
        <w:spacing w:after="0"/>
        <w:tabs>
          <w:tab w:leader="none" w:pos="38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Currency.</w:t>
      </w:r>
    </w:p>
    <w:p>
      <w:pPr>
        <w:spacing w:after="0" w:line="206" w:lineRule="exact"/>
        <w:rPr>
          <w:rFonts w:ascii="Courier New" w:cs="Courier New" w:eastAsia="Courier New" w:hAnsi="Courier New"/>
          <w:sz w:val="18"/>
          <w:szCs w:val="18"/>
          <w:color w:val="auto"/>
        </w:rPr>
      </w:pPr>
    </w:p>
    <w:p>
      <w:pPr>
        <w:ind w:left="3240" w:right="1879" w:hanging="8"/>
        <w:spacing w:after="0" w:line="237" w:lineRule="auto"/>
        <w:tabs>
          <w:tab w:leader="none" w:pos="387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Note is an OID Note, and if it is an OID Note, the total amount of OID, the yield to maturity, the initial accrual period OID and the applicability of Modified Payment upon Acceleration (and if so, the Issue Price).</w:t>
      </w:r>
    </w:p>
    <w:p>
      <w:pPr>
        <w:spacing w:after="0" w:line="211" w:lineRule="exact"/>
        <w:rPr>
          <w:rFonts w:ascii="Courier New" w:cs="Courier New" w:eastAsia="Courier New" w:hAnsi="Courier New"/>
          <w:sz w:val="18"/>
          <w:szCs w:val="18"/>
          <w:color w:val="auto"/>
        </w:rPr>
      </w:pPr>
    </w:p>
    <w:p>
      <w:pPr>
        <w:ind w:left="3240" w:right="1999" w:hanging="8"/>
        <w:spacing w:after="0" w:line="271" w:lineRule="auto"/>
        <w:tabs>
          <w:tab w:leader="none" w:pos="387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Note is a PERLS Note, and if it is a PERLS Note, the Denominated Currency, the Indexed Currency or Currencies, the Payment Currency, the Exchange Rate Agent, the Reference Dealers, the Face Amount, the Fixed Amount of each</w:t>
      </w:r>
    </w:p>
    <w:p>
      <w:pPr>
        <w:sectPr>
          <w:pgSz w:w="11900" w:h="16838" w:orient="portrait"/>
          <w:cols w:equalWidth="0" w:num="1">
            <w:col w:w="9019"/>
          </w:cols>
          <w:pgMar w:left="1440" w:top="514" w:right="1440" w:bottom="1440" w:gutter="0" w:footer="0" w:header="0"/>
        </w:sectPr>
      </w:pPr>
    </w:p>
    <w:bookmarkStart w:id="70" w:name="page71"/>
    <w:bookmarkEnd w:id="70"/>
    <w:p>
      <w:pPr>
        <w:ind w:left="3240"/>
        <w:spacing w:after="0"/>
        <w:rPr>
          <w:sz w:val="20"/>
          <w:szCs w:val="20"/>
          <w:color w:val="auto"/>
        </w:rPr>
      </w:pPr>
      <w:r>
        <w:rPr>
          <w:rFonts w:ascii="Courier New" w:cs="Courier New" w:eastAsia="Courier New" w:hAnsi="Courier New"/>
          <w:sz w:val="16"/>
          <w:szCs w:val="16"/>
          <w:color w:val="auto"/>
        </w:rPr>
        <w:t>Indexed Currency, the Aggregate Fixed</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Amount of each Indexed Currency and</w:t>
      </w:r>
    </w:p>
    <w:p>
      <w:pPr>
        <w:ind w:left="3240"/>
        <w:spacing w:after="0" w:line="238" w:lineRule="auto"/>
        <w:rPr>
          <w:sz w:val="20"/>
          <w:szCs w:val="20"/>
          <w:color w:val="auto"/>
        </w:rPr>
      </w:pPr>
      <w:r>
        <w:rPr>
          <w:rFonts w:ascii="Courier New" w:cs="Courier New" w:eastAsia="Courier New" w:hAnsi="Courier New"/>
          <w:sz w:val="18"/>
          <w:szCs w:val="18"/>
          <w:color w:val="auto"/>
        </w:rPr>
        <w:t>the Authorized Denominations (if</w:t>
      </w:r>
    </w:p>
    <w:p>
      <w:pPr>
        <w:ind w:left="3240"/>
        <w:spacing w:after="0"/>
        <w:rPr>
          <w:sz w:val="20"/>
          <w:szCs w:val="20"/>
          <w:color w:val="auto"/>
        </w:rPr>
      </w:pPr>
      <w:r>
        <w:rPr>
          <w:rFonts w:ascii="Courier New" w:cs="Courier New" w:eastAsia="Courier New" w:hAnsi="Courier New"/>
          <w:sz w:val="18"/>
          <w:szCs w:val="18"/>
          <w:color w:val="auto"/>
        </w:rPr>
        <w:t>other than U.S. dollars).</w:t>
      </w:r>
    </w:p>
    <w:p>
      <w:pPr>
        <w:spacing w:after="0" w:line="206" w:lineRule="exact"/>
        <w:rPr>
          <w:sz w:val="20"/>
          <w:szCs w:val="20"/>
          <w:color w:val="auto"/>
        </w:rPr>
      </w:pPr>
    </w:p>
    <w:p>
      <w:pPr>
        <w:ind w:left="3240" w:right="1999" w:hanging="8"/>
        <w:spacing w:after="0" w:line="275" w:lineRule="auto"/>
        <w:tabs>
          <w:tab w:leader="none" w:pos="3872"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Note is a Renewable Note, and if it is a Renewable Note, the Initial Maturity Date and the Final Maturity Date.</w:t>
      </w:r>
    </w:p>
    <w:p>
      <w:pPr>
        <w:spacing w:after="0" w:line="182" w:lineRule="exact"/>
        <w:rPr>
          <w:rFonts w:ascii="Courier New" w:cs="Courier New" w:eastAsia="Courier New" w:hAnsi="Courier New"/>
          <w:sz w:val="16"/>
          <w:szCs w:val="16"/>
          <w:color w:val="auto"/>
        </w:rPr>
      </w:pPr>
    </w:p>
    <w:p>
      <w:pPr>
        <w:ind w:left="3240" w:right="2099" w:hanging="8"/>
        <w:spacing w:after="0" w:line="237" w:lineRule="auto"/>
        <w:tabs>
          <w:tab w:leader="none" w:pos="3872"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Company has the option to extend the Original Maturity Date of the Note, and, if so, the Final Maturity Date of such Note.</w:t>
      </w:r>
    </w:p>
    <w:p>
      <w:pPr>
        <w:spacing w:after="0" w:line="208" w:lineRule="exact"/>
        <w:rPr>
          <w:rFonts w:ascii="Courier New" w:cs="Courier New" w:eastAsia="Courier New" w:hAnsi="Courier New"/>
          <w:sz w:val="18"/>
          <w:szCs w:val="18"/>
          <w:color w:val="auto"/>
        </w:rPr>
      </w:pPr>
    </w:p>
    <w:p>
      <w:pPr>
        <w:ind w:left="3240" w:right="2099" w:hanging="8"/>
        <w:spacing w:after="0" w:line="237" w:lineRule="auto"/>
        <w:tabs>
          <w:tab w:leader="none" w:pos="3872"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Company has the option to reset the Interest Rate, the Spread or the Spread Multiplier of the Note.</w:t>
      </w:r>
    </w:p>
    <w:p>
      <w:pPr>
        <w:spacing w:after="0" w:line="201" w:lineRule="exact"/>
        <w:rPr>
          <w:rFonts w:ascii="Courier New" w:cs="Courier New" w:eastAsia="Courier New" w:hAnsi="Courier New"/>
          <w:sz w:val="18"/>
          <w:szCs w:val="18"/>
          <w:color w:val="auto"/>
        </w:rPr>
      </w:pPr>
    </w:p>
    <w:p>
      <w:pPr>
        <w:ind w:left="3860" w:hanging="628"/>
        <w:spacing w:after="0"/>
        <w:tabs>
          <w:tab w:leader="none" w:pos="3860"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applicable terms.</w:t>
      </w:r>
    </w:p>
    <w:p>
      <w:pPr>
        <w:spacing w:after="0" w:line="206" w:lineRule="exact"/>
        <w:rPr>
          <w:rFonts w:ascii="Courier New" w:cs="Courier New" w:eastAsia="Courier New" w:hAnsi="Courier New"/>
          <w:sz w:val="18"/>
          <w:szCs w:val="18"/>
          <w:color w:val="auto"/>
        </w:rPr>
      </w:pPr>
    </w:p>
    <w:p>
      <w:pPr>
        <w:ind w:left="2600" w:right="1999"/>
        <w:spacing w:after="0" w:line="237" w:lineRule="auto"/>
        <w:tabs>
          <w:tab w:leader="none" w:pos="312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advise Chemical by telecopier or electronic transmission (confirmed in writing at any time on the same date) of the information set forth in Settlement Procedure "A" above.</w:t>
      </w:r>
    </w:p>
    <w:p>
      <w:pPr>
        <w:spacing w:after="0" w:line="208" w:lineRule="exact"/>
        <w:rPr>
          <w:rFonts w:ascii="Courier New" w:cs="Courier New" w:eastAsia="Courier New" w:hAnsi="Courier New"/>
          <w:sz w:val="18"/>
          <w:szCs w:val="18"/>
          <w:color w:val="auto"/>
        </w:rPr>
      </w:pPr>
    </w:p>
    <w:p>
      <w:pPr>
        <w:ind w:left="2600" w:right="1999"/>
        <w:spacing w:after="0" w:line="237" w:lineRule="auto"/>
        <w:tabs>
          <w:tab w:leader="none" w:pos="312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have delivered to Chemical a pre-printed four-ply packet for such Note, which packet will contain the following documents in forms that have been approved by the Company, the relevant Agent and the Trustee:</w:t>
      </w:r>
    </w:p>
    <w:p>
      <w:pPr>
        <w:spacing w:after="0" w:line="204" w:lineRule="exact"/>
        <w:rPr>
          <w:rFonts w:ascii="Courier New" w:cs="Courier New" w:eastAsia="Courier New" w:hAnsi="Courier New"/>
          <w:sz w:val="18"/>
          <w:szCs w:val="18"/>
          <w:color w:val="auto"/>
        </w:rPr>
      </w:pPr>
    </w:p>
    <w:p>
      <w:pPr>
        <w:ind w:left="3240" w:hanging="1272"/>
        <w:spacing w:after="0"/>
        <w:tabs>
          <w:tab w:leader="none" w:pos="32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with customer confirmation.</w:t>
      </w:r>
    </w:p>
    <w:p>
      <w:pPr>
        <w:spacing w:after="0" w:line="201" w:lineRule="exact"/>
        <w:rPr>
          <w:rFonts w:ascii="Courier New" w:cs="Courier New" w:eastAsia="Courier New" w:hAnsi="Courier New"/>
          <w:sz w:val="18"/>
          <w:szCs w:val="18"/>
          <w:color w:val="auto"/>
        </w:rPr>
      </w:pPr>
    </w:p>
    <w:p>
      <w:pPr>
        <w:ind w:left="3240" w:hanging="1272"/>
        <w:spacing w:after="0"/>
        <w:tabs>
          <w:tab w:leader="none" w:pos="32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Stub One - For Chemical.</w:t>
      </w:r>
    </w:p>
    <w:p>
      <w:pPr>
        <w:spacing w:after="0" w:line="201" w:lineRule="exact"/>
        <w:rPr>
          <w:rFonts w:ascii="Courier New" w:cs="Courier New" w:eastAsia="Courier New" w:hAnsi="Courier New"/>
          <w:sz w:val="18"/>
          <w:szCs w:val="18"/>
          <w:color w:val="auto"/>
        </w:rPr>
      </w:pPr>
    </w:p>
    <w:p>
      <w:pPr>
        <w:ind w:left="3240" w:hanging="1272"/>
        <w:spacing w:after="0"/>
        <w:tabs>
          <w:tab w:leader="none" w:pos="32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Stub Two - For the relevant Agent.</w:t>
      </w:r>
    </w:p>
    <w:p>
      <w:pPr>
        <w:spacing w:after="0" w:line="201" w:lineRule="exact"/>
        <w:rPr>
          <w:rFonts w:ascii="Courier New" w:cs="Courier New" w:eastAsia="Courier New" w:hAnsi="Courier New"/>
          <w:sz w:val="18"/>
          <w:szCs w:val="18"/>
          <w:color w:val="auto"/>
        </w:rPr>
      </w:pPr>
    </w:p>
    <w:p>
      <w:pPr>
        <w:ind w:left="3240" w:hanging="1272"/>
        <w:spacing w:after="0"/>
        <w:tabs>
          <w:tab w:leader="none" w:pos="32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Stub Three - For the Company.</w:t>
      </w:r>
    </w:p>
    <w:p>
      <w:pPr>
        <w:spacing w:after="0" w:line="207" w:lineRule="exact"/>
        <w:rPr>
          <w:sz w:val="20"/>
          <w:szCs w:val="20"/>
          <w:color w:val="auto"/>
        </w:rPr>
      </w:pPr>
    </w:p>
    <w:p>
      <w:pPr>
        <w:ind w:left="1960" w:right="1879" w:firstLine="8"/>
        <w:spacing w:after="0" w:line="269" w:lineRule="auto"/>
        <w:tabs>
          <w:tab w:leader="none" w:pos="248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Chemical will complete such Note and authenticate such Note and deliver it (with the confirmation) and Stubs One and Two to the relevant Agent, and such Agent will acknowledge receipt of the Note by stamping or otherwise marking Stub One and returning it to Chemical. Such delivery will be made only against such acknowledgment of receipt. The Agent shall thereupon give to the Company evidence that instructions have been given by such Agent for payment to the account of the Company at [NAME OF ISSUER'S BANK], New York, New York, or to such other account as the Company shall have specified to such Agent, in immediately available funds, of an amount equal to the price of such Note less such Agent's commission (if</w:t>
      </w:r>
    </w:p>
    <w:p>
      <w:pPr>
        <w:sectPr>
          <w:pgSz w:w="11900" w:h="16838" w:orient="portrait"/>
          <w:cols w:equalWidth="0" w:num="1">
            <w:col w:w="9019"/>
          </w:cols>
          <w:pgMar w:left="1440" w:top="520" w:right="1440" w:bottom="1440" w:gutter="0" w:footer="0" w:header="0"/>
        </w:sectPr>
      </w:pPr>
    </w:p>
    <w:bookmarkStart w:id="71" w:name="page72"/>
    <w:bookmarkEnd w:id="71"/>
    <w:p>
      <w:pPr>
        <w:ind w:left="3160"/>
        <w:spacing w:after="0"/>
        <w:tabs>
          <w:tab w:leader="none" w:pos="3880" w:val="left"/>
        </w:tabs>
        <w:rPr>
          <w:sz w:val="20"/>
          <w:szCs w:val="20"/>
          <w:color w:val="auto"/>
        </w:rPr>
      </w:pPr>
      <w:r>
        <w:rPr>
          <w:rFonts w:ascii="Courier New" w:cs="Courier New" w:eastAsia="Courier New" w:hAnsi="Courier New"/>
          <w:sz w:val="18"/>
          <w:szCs w:val="18"/>
          <w:color w:val="auto"/>
        </w:rPr>
        <w:t>any).</w:t>
      </w:r>
      <w:r>
        <w:rPr>
          <w:sz w:val="20"/>
          <w:szCs w:val="20"/>
          <w:color w:val="auto"/>
        </w:rPr>
        <w:tab/>
      </w:r>
      <w:r>
        <w:rPr>
          <w:rFonts w:ascii="Courier New" w:cs="Courier New" w:eastAsia="Courier New" w:hAnsi="Courier New"/>
          <w:sz w:val="16"/>
          <w:szCs w:val="16"/>
          <w:color w:val="auto"/>
        </w:rPr>
        <w:t>In the event that the instructions given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 such Agent for payment to the account of the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Company are revoked, the Company will as</w:t>
      </w:r>
    </w:p>
    <w:p>
      <w:pPr>
        <w:ind w:left="3160"/>
        <w:spacing w:after="0" w:line="238" w:lineRule="auto"/>
        <w:rPr>
          <w:sz w:val="20"/>
          <w:szCs w:val="20"/>
          <w:color w:val="auto"/>
        </w:rPr>
      </w:pPr>
      <w:r>
        <w:rPr>
          <w:rFonts w:ascii="Courier New" w:cs="Courier New" w:eastAsia="Courier New" w:hAnsi="Courier New"/>
          <w:sz w:val="18"/>
          <w:szCs w:val="18"/>
          <w:color w:val="auto"/>
        </w:rPr>
        <w:t>promptly as possible wire transfer to the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account of such Agent an amount of immediately</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available funds equal to the amount of such</w:t>
      </w:r>
    </w:p>
    <w:p>
      <w:pPr>
        <w:ind w:left="3160"/>
        <w:spacing w:after="0" w:line="238" w:lineRule="auto"/>
        <w:rPr>
          <w:sz w:val="20"/>
          <w:szCs w:val="20"/>
          <w:color w:val="auto"/>
        </w:rPr>
      </w:pPr>
      <w:r>
        <w:rPr>
          <w:rFonts w:ascii="Courier New" w:cs="Courier New" w:eastAsia="Courier New" w:hAnsi="Courier New"/>
          <w:sz w:val="18"/>
          <w:szCs w:val="18"/>
          <w:color w:val="auto"/>
        </w:rPr>
        <w:t>payment made.</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Unless the relevant Agent is the end</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purchaser of such Note, such Agent will deliver</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such Note (with confirmation) to the customer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against payment in immediately available funds.</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Such Agent will obtain the acknowledgment of</w:t>
      </w:r>
    </w:p>
    <w:p>
      <w:pPr>
        <w:ind w:left="3160"/>
        <w:spacing w:after="0" w:line="238" w:lineRule="auto"/>
        <w:rPr>
          <w:sz w:val="20"/>
          <w:szCs w:val="20"/>
          <w:color w:val="auto"/>
        </w:rPr>
      </w:pPr>
      <w:r>
        <w:rPr>
          <w:rFonts w:ascii="Courier New" w:cs="Courier New" w:eastAsia="Courier New" w:hAnsi="Courier New"/>
          <w:sz w:val="18"/>
          <w:szCs w:val="18"/>
          <w:color w:val="auto"/>
        </w:rPr>
        <w:t>receipt of such Note by retaining Stub Two.</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Chemical will send Stub Three to the</w:t>
      </w:r>
    </w:p>
    <w:p>
      <w:pPr>
        <w:ind w:left="3160"/>
        <w:spacing w:after="0"/>
        <w:tabs>
          <w:tab w:leader="none" w:pos="6300" w:val="left"/>
        </w:tabs>
        <w:rPr>
          <w:sz w:val="20"/>
          <w:szCs w:val="20"/>
          <w:color w:val="auto"/>
        </w:rPr>
      </w:pPr>
      <w:r>
        <w:rPr>
          <w:rFonts w:ascii="Courier New" w:cs="Courier New" w:eastAsia="Courier New" w:hAnsi="Courier New"/>
          <w:sz w:val="18"/>
          <w:szCs w:val="18"/>
          <w:color w:val="auto"/>
        </w:rPr>
        <w:t>Company by first-class mail.</w:t>
      </w:r>
      <w:r>
        <w:rPr>
          <w:sz w:val="20"/>
          <w:szCs w:val="20"/>
          <w:color w:val="auto"/>
        </w:rPr>
        <w:tab/>
      </w:r>
      <w:r>
        <w:rPr>
          <w:rFonts w:ascii="Courier New" w:cs="Courier New" w:eastAsia="Courier New" w:hAnsi="Courier New"/>
          <w:sz w:val="16"/>
          <w:szCs w:val="16"/>
          <w:color w:val="auto"/>
        </w:rPr>
        <w:t>Monthly, Chemical</w:t>
      </w:r>
    </w:p>
    <w:p>
      <w:pPr>
        <w:ind w:left="3160"/>
        <w:spacing w:after="0"/>
        <w:rPr>
          <w:sz w:val="20"/>
          <w:szCs w:val="20"/>
          <w:color w:val="auto"/>
        </w:rPr>
      </w:pPr>
      <w:r>
        <w:rPr>
          <w:rFonts w:ascii="Courier New" w:cs="Courier New" w:eastAsia="Courier New" w:hAnsi="Courier New"/>
          <w:sz w:val="18"/>
          <w:szCs w:val="18"/>
          <w:color w:val="auto"/>
        </w:rPr>
        <w:t>will also send to the Company a statement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setting forth the principal amount of the Notes</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outstanding as of that date under the Indenture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 setting forth a brief description of any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sales of which the Company has advised Chemical</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that have not yet been settled.</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Timetable: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sales by the Company of Certifi-</w:t>
      </w:r>
    </w:p>
    <w:p>
      <w:pPr>
        <w:spacing w:after="0" w:line="238" w:lineRule="auto"/>
        <w:rPr>
          <w:sz w:val="20"/>
          <w:szCs w:val="20"/>
          <w:color w:val="auto"/>
        </w:rPr>
      </w:pPr>
      <w:r>
        <w:rPr>
          <w:rFonts w:ascii="Courier New" w:cs="Courier New" w:eastAsia="Courier New" w:hAnsi="Courier New"/>
          <w:sz w:val="18"/>
          <w:szCs w:val="18"/>
          <w:color w:val="auto"/>
        </w:rPr>
        <w:t>cated Notes to or through an Agent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otherwise specified pursuant to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Agreement), Settlement Procedures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through "F" set forth above shall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completed on or before the respective</w:t>
      </w:r>
    </w:p>
    <w:p>
      <w:pPr>
        <w:spacing w:after="0" w:line="238" w:lineRule="auto"/>
        <w:rPr>
          <w:sz w:val="20"/>
          <w:szCs w:val="20"/>
          <w:color w:val="auto"/>
        </w:rPr>
      </w:pPr>
      <w:r>
        <w:rPr>
          <w:rFonts w:ascii="Courier New" w:cs="Courier New" w:eastAsia="Courier New" w:hAnsi="Courier New"/>
          <w:sz w:val="18"/>
          <w:szCs w:val="18"/>
          <w:color w:val="auto"/>
        </w:rPr>
        <w:t>times in New York City set forth below:</w:t>
      </w:r>
    </w:p>
    <w:p>
      <w:pPr>
        <w:spacing w:after="0" w:line="200" w:lineRule="exact"/>
        <w:rPr>
          <w:sz w:val="20"/>
          <w:szCs w:val="20"/>
          <w:color w:val="auto"/>
        </w:rPr>
      </w:pPr>
    </w:p>
    <w:p>
      <w:pPr>
        <w:sectPr>
          <w:pgSz w:w="11900" w:h="16838" w:orient="portrait"/>
          <w:cols w:equalWidth="0" w:num="2">
            <w:col w:w="3080" w:space="720"/>
            <w:col w:w="6419"/>
          </w:cols>
          <w:pgMar w:left="240" w:top="514" w:right="1440" w:bottom="1440" w:gutter="0" w:footer="0" w:header="0"/>
          <w:type w:val="continuous"/>
        </w:sectPr>
      </w:pP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Settlement</w:t>
      </w:r>
    </w:p>
    <w:p>
      <w:pPr>
        <w:ind w:left="3800"/>
        <w:spacing w:after="0" w:line="238" w:lineRule="auto"/>
        <w:rPr>
          <w:sz w:val="20"/>
          <w:szCs w:val="20"/>
          <w:color w:val="auto"/>
        </w:rPr>
      </w:pPr>
      <w:r>
        <w:rPr>
          <w:rFonts w:ascii="Courier New" w:cs="Courier New" w:eastAsia="Courier New" w:hAnsi="Courier New"/>
          <w:sz w:val="18"/>
          <w:szCs w:val="18"/>
          <w:color w:val="auto"/>
        </w:rPr>
        <w:t>Procedure</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180" w:space="720"/>
            <w:col w:w="4319"/>
          </w:cols>
          <w:pgMar w:left="240" w:top="514" w:right="1440" w:bottom="1440" w:gutter="0" w:footer="0" w:header="0"/>
          <w:type w:val="continuous"/>
        </w:sectPr>
      </w:pPr>
    </w:p>
    <w:p>
      <w:pPr>
        <w:spacing w:after="0" w:line="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w:t>
      </w: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C-D</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E</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 P.M. on day before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settlement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 P.M. on day before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settlement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2:15 P.M. on settlement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 P.M. on settlement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 P.M. on settlement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ectPr>
          <w:pgSz w:w="11900" w:h="16838" w:orient="portrait"/>
          <w:cols w:equalWidth="0" w:num="2">
            <w:col w:w="4760" w:space="720"/>
            <w:col w:w="4739"/>
          </w:cols>
          <w:pgMar w:left="240" w:top="514"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Failure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Settle: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purchaser fails to accept delivery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make payment for any Certificated</w:t>
      </w:r>
    </w:p>
    <w:p>
      <w:pPr>
        <w:spacing w:after="0" w:line="238" w:lineRule="auto"/>
        <w:rPr>
          <w:sz w:val="20"/>
          <w:szCs w:val="20"/>
          <w:color w:val="auto"/>
        </w:rPr>
      </w:pPr>
      <w:r>
        <w:rPr>
          <w:rFonts w:ascii="Courier New" w:cs="Courier New" w:eastAsia="Courier New" w:hAnsi="Courier New"/>
          <w:sz w:val="18"/>
          <w:szCs w:val="18"/>
          <w:color w:val="auto"/>
        </w:rPr>
        <w:t>Note, the relevant Agent will notify the</w:t>
      </w:r>
    </w:p>
    <w:p>
      <w:pPr>
        <w:spacing w:after="0" w:line="1" w:lineRule="exact"/>
        <w:rPr>
          <w:sz w:val="20"/>
          <w:szCs w:val="20"/>
          <w:color w:val="auto"/>
        </w:rPr>
      </w:pPr>
    </w:p>
    <w:p>
      <w:pPr>
        <w:sectPr>
          <w:pgSz w:w="11900" w:h="16838" w:orient="portrait"/>
          <w:cols w:equalWidth="0" w:num="2">
            <w:col w:w="3080" w:space="720"/>
            <w:col w:w="6419"/>
          </w:cols>
          <w:pgMar w:left="240" w:top="514"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8"/>
          <w:szCs w:val="18"/>
          <w:color w:val="auto"/>
        </w:rPr>
        <w:t>Company and Chemical by telephone and</w:t>
      </w:r>
    </w:p>
    <w:p>
      <w:pPr>
        <w:ind w:left="3800"/>
        <w:spacing w:after="0"/>
        <w:tabs>
          <w:tab w:leader="none" w:pos="7040" w:val="left"/>
        </w:tabs>
        <w:rPr>
          <w:sz w:val="20"/>
          <w:szCs w:val="20"/>
          <w:color w:val="auto"/>
        </w:rPr>
      </w:pPr>
      <w:r>
        <w:rPr>
          <w:rFonts w:ascii="Courier New" w:cs="Courier New" w:eastAsia="Courier New" w:hAnsi="Courier New"/>
          <w:sz w:val="18"/>
          <w:szCs w:val="18"/>
          <w:color w:val="auto"/>
        </w:rPr>
        <w:t>return such Note to Chemical.</w:t>
      </w:r>
      <w:r>
        <w:rPr>
          <w:sz w:val="20"/>
          <w:szCs w:val="20"/>
          <w:color w:val="auto"/>
        </w:rPr>
        <w:tab/>
      </w:r>
      <w:r>
        <w:rPr>
          <w:rFonts w:ascii="Courier New" w:cs="Courier New" w:eastAsia="Courier New" w:hAnsi="Courier New"/>
          <w:sz w:val="16"/>
          <w:szCs w:val="16"/>
          <w:color w:val="auto"/>
        </w:rPr>
        <w:t>Upon receipt</w:t>
      </w:r>
    </w:p>
    <w:p>
      <w:pPr>
        <w:ind w:left="3800"/>
        <w:spacing w:after="0" w:line="238" w:lineRule="auto"/>
        <w:rPr>
          <w:sz w:val="20"/>
          <w:szCs w:val="20"/>
          <w:color w:val="auto"/>
        </w:rPr>
      </w:pPr>
      <w:r>
        <w:rPr>
          <w:rFonts w:ascii="Courier New" w:cs="Courier New" w:eastAsia="Courier New" w:hAnsi="Courier New"/>
          <w:sz w:val="18"/>
          <w:szCs w:val="18"/>
          <w:color w:val="auto"/>
        </w:rPr>
        <w:t>of such notice, the Company will</w:t>
      </w:r>
    </w:p>
    <w:p>
      <w:pPr>
        <w:ind w:left="3800"/>
        <w:spacing w:after="0"/>
        <w:rPr>
          <w:sz w:val="20"/>
          <w:szCs w:val="20"/>
          <w:color w:val="auto"/>
        </w:rPr>
      </w:pPr>
      <w:r>
        <w:rPr>
          <w:rFonts w:ascii="Courier New" w:cs="Courier New" w:eastAsia="Courier New" w:hAnsi="Courier New"/>
          <w:sz w:val="18"/>
          <w:szCs w:val="18"/>
          <w:color w:val="auto"/>
        </w:rPr>
        <w:t>immediately wire transfer to the account</w:t>
      </w:r>
    </w:p>
    <w:p>
      <w:pPr>
        <w:ind w:left="3800"/>
        <w:spacing w:after="0" w:line="237" w:lineRule="auto"/>
        <w:rPr>
          <w:sz w:val="20"/>
          <w:szCs w:val="20"/>
          <w:color w:val="auto"/>
        </w:rPr>
      </w:pPr>
      <w:r>
        <w:rPr>
          <w:rFonts w:ascii="Courier New" w:cs="Courier New" w:eastAsia="Courier New" w:hAnsi="Courier New"/>
          <w:sz w:val="18"/>
          <w:szCs w:val="18"/>
          <w:color w:val="auto"/>
        </w:rPr>
        <w:t>of such Agent an amount equal to the price</w:t>
      </w:r>
    </w:p>
    <w:p>
      <w:pPr>
        <w:ind w:left="3800"/>
        <w:spacing w:after="0"/>
        <w:rPr>
          <w:sz w:val="20"/>
          <w:szCs w:val="20"/>
          <w:color w:val="auto"/>
        </w:rPr>
      </w:pPr>
      <w:r>
        <w:rPr>
          <w:rFonts w:ascii="Courier New" w:cs="Courier New" w:eastAsia="Courier New" w:hAnsi="Courier New"/>
          <w:sz w:val="18"/>
          <w:szCs w:val="18"/>
          <w:color w:val="auto"/>
        </w:rPr>
        <w:t>of such Note less such Agent's commission</w:t>
      </w:r>
    </w:p>
    <w:p>
      <w:pPr>
        <w:ind w:left="3800"/>
        <w:spacing w:after="0"/>
        <w:tabs>
          <w:tab w:leader="none" w:pos="7460" w:val="left"/>
        </w:tabs>
        <w:rPr>
          <w:sz w:val="20"/>
          <w:szCs w:val="20"/>
          <w:color w:val="auto"/>
        </w:rPr>
      </w:pPr>
      <w:r>
        <w:rPr>
          <w:rFonts w:ascii="Courier New" w:cs="Courier New" w:eastAsia="Courier New" w:hAnsi="Courier New"/>
          <w:sz w:val="18"/>
          <w:szCs w:val="18"/>
          <w:color w:val="auto"/>
        </w:rPr>
        <w:t>in respect of such Note (if any).</w:t>
      </w:r>
      <w:r>
        <w:rPr>
          <w:sz w:val="20"/>
          <w:szCs w:val="20"/>
          <w:color w:val="auto"/>
        </w:rPr>
        <w:tab/>
      </w:r>
      <w:r>
        <w:rPr>
          <w:rFonts w:ascii="Courier New" w:cs="Courier New" w:eastAsia="Courier New" w:hAnsi="Courier New"/>
          <w:sz w:val="16"/>
          <w:szCs w:val="16"/>
          <w:color w:val="auto"/>
        </w:rPr>
        <w:t>Such</w:t>
      </w:r>
    </w:p>
    <w:p>
      <w:pPr>
        <w:ind w:left="3800"/>
        <w:spacing w:after="0"/>
        <w:rPr>
          <w:sz w:val="20"/>
          <w:szCs w:val="20"/>
          <w:color w:val="auto"/>
        </w:rPr>
      </w:pPr>
      <w:r>
        <w:rPr>
          <w:rFonts w:ascii="Courier New" w:cs="Courier New" w:eastAsia="Courier New" w:hAnsi="Courier New"/>
          <w:sz w:val="18"/>
          <w:szCs w:val="18"/>
          <w:color w:val="auto"/>
        </w:rPr>
        <w:t>wire transfer will be made on the</w:t>
      </w:r>
    </w:p>
    <w:p>
      <w:pPr>
        <w:ind w:left="3800"/>
        <w:spacing w:after="0" w:line="237" w:lineRule="auto"/>
        <w:rPr>
          <w:sz w:val="20"/>
          <w:szCs w:val="20"/>
          <w:color w:val="auto"/>
        </w:rPr>
      </w:pPr>
      <w:r>
        <w:rPr>
          <w:rFonts w:ascii="Courier New" w:cs="Courier New" w:eastAsia="Courier New" w:hAnsi="Courier New"/>
          <w:sz w:val="18"/>
          <w:szCs w:val="18"/>
          <w:color w:val="auto"/>
        </w:rPr>
        <w:t>settlement date, if possible, and in any</w:t>
      </w:r>
    </w:p>
    <w:p>
      <w:pPr>
        <w:ind w:left="3800"/>
        <w:spacing w:after="0" w:line="238" w:lineRule="auto"/>
        <w:rPr>
          <w:sz w:val="20"/>
          <w:szCs w:val="20"/>
          <w:color w:val="auto"/>
        </w:rPr>
      </w:pPr>
      <w:r>
        <w:rPr>
          <w:rFonts w:ascii="Courier New" w:cs="Courier New" w:eastAsia="Courier New" w:hAnsi="Courier New"/>
          <w:sz w:val="18"/>
          <w:szCs w:val="18"/>
          <w:color w:val="auto"/>
        </w:rPr>
        <w:t>event not later than the Business Day</w:t>
      </w:r>
    </w:p>
    <w:p>
      <w:pPr>
        <w:sectPr>
          <w:pgSz w:w="11900" w:h="16838" w:orient="portrait"/>
          <w:cols w:equalWidth="0" w:num="1">
            <w:col w:w="10219"/>
          </w:cols>
          <w:pgMar w:left="240" w:top="514" w:right="1440" w:bottom="1440" w:gutter="0" w:footer="0" w:header="0"/>
          <w:type w:val="continuous"/>
        </w:sectPr>
      </w:pPr>
    </w:p>
    <w:bookmarkStart w:id="72" w:name="page73"/>
    <w:bookmarkEnd w:id="72"/>
    <w:p>
      <w:pPr>
        <w:ind w:left="2600" w:right="1879"/>
        <w:spacing w:after="0" w:line="238" w:lineRule="auto"/>
        <w:rPr>
          <w:sz w:val="20"/>
          <w:szCs w:val="20"/>
          <w:color w:val="auto"/>
        </w:rPr>
      </w:pPr>
      <w:r>
        <w:rPr>
          <w:rFonts w:ascii="Courier New" w:cs="Courier New" w:eastAsia="Courier New" w:hAnsi="Courier New"/>
          <w:sz w:val="18"/>
          <w:szCs w:val="18"/>
          <w:color w:val="auto"/>
        </w:rPr>
        <w:t>following the settlement date. If the failure shall have occurred for any reason other than a default by such Agent in the performance of its obligations hereunder and under the Distribution Agreement, then the Company will reimburse such Agent or Chemical, as appropriate, on an equitable basis for its loss of the use of the funds during the period when they were credited to the account of the Company. Immediately upon receipt of the Certificated Note in respect of which such failure occurred, Chemical will mark such Note "cancelled," make appropriate entries in Chemical's records and send such Note to the Company.</w:t>
      </w:r>
    </w:p>
    <w:p>
      <w:pPr>
        <w:sectPr>
          <w:pgSz w:w="11900" w:h="16838" w:orient="portrait"/>
          <w:cols w:equalWidth="0" w:num="1">
            <w:col w:w="9019"/>
          </w:cols>
          <w:pgMar w:left="1440" w:top="520"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as Issuer</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CHEMICAL BANK</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Dated as of October 1,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CROSS REFERENCE SHEET(*)</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Provisions of the Trust Indenture Act of 1939 and the Indenture to be dated as of October 1, 1994 between MURPHY OIL CORPORATION and CHEMICAL BANK, as Trustee: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rPr>
              <w:t>Section of the Act</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Section of Indenture</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____________________</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310(a)(1) and (2)...............................</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310(a)(3) and (4)...............................</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Inapplicable</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310(b)..........................................</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5.12 and 5.9(a),(b) and (d)</w:t>
            </w:r>
          </w:p>
        </w:tc>
      </w:tr>
      <w:tr>
        <w:trPr>
          <w:trHeight w:val="581"/>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310(c)..........................................</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Inapplicable</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311(a)..........................................</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311(b)..........................................</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311(c)..........................................</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Inapplicable</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312(a)..........................................</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312(b)..........................................</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312(c)..........................................</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4.2(c)</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313(a)..........................................</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313(b)(1).......................................</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Inapplicable</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313(b)(2).......................................</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313(c)..........................................</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313(d)..........................................</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314(a)..........................................</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314(b)..........................................</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Inapplicable</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314(c)(1) and (2)...............................</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314(c)(3).......................................</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Inapplicable</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314(d)..........................................</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Inapplicable</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314(e)..........................................</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314(f)..........................................</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Inapplicable</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315(a), (c) and (d).............................</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315(b)..........................................</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4.11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315(e)..........................................</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4.12</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316(a)(1).......................................</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316(a)(2).......................................</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 required</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316(a) (last sentence)..........................</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316(b)..........................................</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317(a)..........................................</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317(b)..........................................</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3.4(a) and (b)</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318(a)..........................................</w:t>
            </w:r>
          </w:p>
        </w:tc>
        <w:tc>
          <w:tcPr>
            <w:tcW w:w="3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w:t>
            </w:r>
          </w:p>
        </w:tc>
        <w:tc>
          <w:tcPr>
            <w:tcW w:w="3000" w:type="dxa"/>
            <w:vAlign w:val="bottom"/>
          </w:tcPr>
          <w:p>
            <w:pPr>
              <w:spacing w:after="0"/>
              <w:rPr>
                <w:sz w:val="17"/>
                <w:szCs w:val="17"/>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(*)This Cross Reference Sheet is not part of the Indenture.</w:t>
      </w:r>
    </w:p>
    <w:p>
      <w:pPr>
        <w:sectPr>
          <w:pgSz w:w="11900" w:h="16838" w:orient="portrait"/>
          <w:cols w:equalWidth="0" w:num="1">
            <w:col w:w="10219"/>
          </w:cols>
          <w:pgMar w:left="240" w:top="142" w:right="1440" w:bottom="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4"/>
        </w:trPr>
        <w:tc>
          <w:tcPr>
            <w:tcW w:w="718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TABLE OF CONTENTS</w:t>
            </w:r>
          </w:p>
        </w:tc>
        <w:tc>
          <w:tcPr>
            <w:tcW w:w="620" w:type="dxa"/>
            <w:vAlign w:val="bottom"/>
          </w:tcPr>
          <w:p>
            <w:pPr>
              <w:spacing w:after="0"/>
              <w:rPr>
                <w:sz w:val="17"/>
                <w:szCs w:val="17"/>
                <w:color w:val="auto"/>
              </w:rPr>
            </w:pPr>
          </w:p>
        </w:tc>
      </w:tr>
      <w:tr>
        <w:trPr>
          <w:trHeight w:val="405"/>
        </w:trPr>
        <w:tc>
          <w:tcPr>
            <w:tcW w:w="718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__________</w:t>
            </w:r>
          </w:p>
        </w:tc>
        <w:tc>
          <w:tcPr>
            <w:tcW w:w="620" w:type="dxa"/>
            <w:vAlign w:val="bottom"/>
          </w:tcPr>
          <w:p>
            <w:pPr>
              <w:spacing w:after="0"/>
              <w:rPr>
                <w:sz w:val="24"/>
                <w:szCs w:val="24"/>
                <w:color w:val="auto"/>
              </w:rPr>
            </w:pPr>
          </w:p>
        </w:tc>
      </w:tr>
      <w:tr>
        <w:trPr>
          <w:trHeight w:val="608"/>
        </w:trPr>
        <w:tc>
          <w:tcPr>
            <w:tcW w:w="7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1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w:t>
            </w:r>
          </w:p>
        </w:tc>
      </w:tr>
      <w:tr>
        <w:trPr>
          <w:trHeight w:val="203"/>
        </w:trPr>
        <w:tc>
          <w:tcPr>
            <w:tcW w:w="71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PARTIES...........................................................</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405"/>
        </w:trPr>
        <w:tc>
          <w:tcPr>
            <w:tcW w:w="71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RECITALS..........................................................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71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Authorization of Indenture...............................</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71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Compliance with Legal Requirements.......................</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1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Purpose of and Consideration for Indenture...............</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608"/>
        </w:trPr>
        <w:tc>
          <w:tcPr>
            <w:tcW w:w="718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ARTICLE ONE</w:t>
            </w:r>
          </w:p>
        </w:tc>
        <w:tc>
          <w:tcPr>
            <w:tcW w:w="620" w:type="dxa"/>
            <w:vAlign w:val="bottom"/>
          </w:tcPr>
          <w:p>
            <w:pPr>
              <w:spacing w:after="0"/>
              <w:rPr>
                <w:sz w:val="24"/>
                <w:szCs w:val="24"/>
                <w:color w:val="auto"/>
              </w:rPr>
            </w:pPr>
          </w:p>
        </w:tc>
      </w:tr>
      <w:tr>
        <w:trPr>
          <w:trHeight w:val="405"/>
        </w:trPr>
        <w:tc>
          <w:tcPr>
            <w:tcW w:w="7180" w:type="dxa"/>
            <w:vAlign w:val="bottom"/>
          </w:tcPr>
          <w:p>
            <w:pPr>
              <w:jc w:val="right"/>
              <w:ind w:right="2352"/>
              <w:spacing w:after="0"/>
              <w:rPr>
                <w:sz w:val="20"/>
                <w:szCs w:val="20"/>
                <w:color w:val="auto"/>
              </w:rPr>
            </w:pPr>
            <w:r>
              <w:rPr>
                <w:rFonts w:ascii="Courier New" w:cs="Courier New" w:eastAsia="Courier New" w:hAnsi="Courier New"/>
                <w:sz w:val="18"/>
                <w:szCs w:val="18"/>
                <w:color w:val="auto"/>
              </w:rPr>
              <w:t>DEFINITIONS.</w:t>
            </w:r>
          </w:p>
        </w:tc>
        <w:tc>
          <w:tcPr>
            <w:tcW w:w="620" w:type="dxa"/>
            <w:vAlign w:val="bottom"/>
          </w:tcPr>
          <w:p>
            <w:pPr>
              <w:spacing w:after="0"/>
              <w:rPr>
                <w:sz w:val="24"/>
                <w:szCs w:val="24"/>
                <w:color w:val="auto"/>
              </w:rPr>
            </w:pPr>
          </w:p>
        </w:tc>
      </w:tr>
      <w:tr>
        <w:trPr>
          <w:trHeight w:val="608"/>
        </w:trPr>
        <w:tc>
          <w:tcPr>
            <w:tcW w:w="71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SECTION 1.1.   Certain Terms Defined..............................</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bl>
    <w:p>
      <w:pPr>
        <w:sectPr>
          <w:pgSz w:w="11900" w:h="16838" w:orient="portrait"/>
          <w:cols w:equalWidth="0" w:num="1">
            <w:col w:w="10219"/>
          </w:cols>
          <w:pgMar w:left="240" w:top="947" w:right="1440" w:bottom="1440" w:gutter="0" w:footer="0" w:header="0"/>
        </w:sectPr>
      </w:pPr>
    </w:p>
    <w:bookmarkStart w:id="75" w:name="page76"/>
    <w:bookmarkEnd w:id="75"/>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Board of Directors</w:t>
      </w:r>
      <w:r>
        <w:rPr>
          <w:sz w:val="20"/>
          <w:szCs w:val="20"/>
          <w:color w:val="auto"/>
        </w:rPr>
        <w:tab/>
      </w:r>
      <w:r>
        <w:rPr>
          <w:rFonts w:ascii="Courier New" w:cs="Courier New" w:eastAsia="Courier New" w:hAnsi="Courier New"/>
          <w:sz w:val="16"/>
          <w:szCs w:val="16"/>
          <w:color w:val="auto"/>
        </w:rPr>
        <w:t>2</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Business Day</w:t>
      </w:r>
      <w:r>
        <w:rPr>
          <w:sz w:val="20"/>
          <w:szCs w:val="20"/>
          <w:color w:val="auto"/>
        </w:rPr>
        <w:tab/>
      </w:r>
      <w:r>
        <w:rPr>
          <w:rFonts w:ascii="Courier New" w:cs="Courier New" w:eastAsia="Courier New" w:hAnsi="Courier New"/>
          <w:sz w:val="16"/>
          <w:szCs w:val="16"/>
          <w:color w:val="auto"/>
        </w:rPr>
        <w:t>2</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Capital Lease Obligations</w:t>
      </w:r>
      <w:r>
        <w:rPr>
          <w:sz w:val="20"/>
          <w:szCs w:val="20"/>
          <w:color w:val="auto"/>
        </w:rPr>
        <w:tab/>
      </w:r>
      <w:r>
        <w:rPr>
          <w:rFonts w:ascii="Courier New" w:cs="Courier New" w:eastAsia="Courier New" w:hAnsi="Courier New"/>
          <w:sz w:val="16"/>
          <w:szCs w:val="16"/>
          <w:color w:val="auto"/>
        </w:rPr>
        <w:t>2</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Capital Stock</w:t>
      </w:r>
      <w:r>
        <w:rPr>
          <w:sz w:val="20"/>
          <w:szCs w:val="20"/>
          <w:color w:val="auto"/>
        </w:rPr>
        <w:tab/>
      </w:r>
      <w:r>
        <w:rPr>
          <w:rFonts w:ascii="Courier New" w:cs="Courier New" w:eastAsia="Courier New" w:hAnsi="Courier New"/>
          <w:sz w:val="16"/>
          <w:szCs w:val="16"/>
          <w:color w:val="auto"/>
        </w:rPr>
        <w:t>2</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2</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Consolidated Net Tangible Assets</w:t>
      </w:r>
      <w:r>
        <w:rPr>
          <w:sz w:val="20"/>
          <w:szCs w:val="20"/>
          <w:color w:val="auto"/>
        </w:rPr>
        <w:tab/>
      </w:r>
      <w:r>
        <w:rPr>
          <w:rFonts w:ascii="Courier New" w:cs="Courier New" w:eastAsia="Courier New" w:hAnsi="Courier New"/>
          <w:sz w:val="16"/>
          <w:szCs w:val="16"/>
          <w:color w:val="auto"/>
        </w:rPr>
        <w:t>2</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Corporate Trust Office</w:t>
      </w:r>
      <w:r>
        <w:rPr>
          <w:sz w:val="20"/>
          <w:szCs w:val="20"/>
          <w:color w:val="auto"/>
        </w:rPr>
        <w:tab/>
      </w:r>
      <w:r>
        <w:rPr>
          <w:rFonts w:ascii="Courier New" w:cs="Courier New" w:eastAsia="Courier New" w:hAnsi="Courier New"/>
          <w:sz w:val="16"/>
          <w:szCs w:val="16"/>
          <w:color w:val="auto"/>
        </w:rPr>
        <w:t>3</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Debt</w:t>
      </w:r>
      <w:r>
        <w:rPr>
          <w:sz w:val="20"/>
          <w:szCs w:val="20"/>
          <w:color w:val="auto"/>
        </w:rPr>
        <w:tab/>
      </w:r>
      <w:r>
        <w:rPr>
          <w:rFonts w:ascii="Courier New" w:cs="Courier New" w:eastAsia="Courier New" w:hAnsi="Courier New"/>
          <w:sz w:val="16"/>
          <w:szCs w:val="16"/>
          <w:color w:val="auto"/>
        </w:rPr>
        <w:t>3</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Depositary</w:t>
      </w:r>
      <w:r>
        <w:rPr>
          <w:sz w:val="20"/>
          <w:szCs w:val="20"/>
          <w:color w:val="auto"/>
        </w:rPr>
        <w:tab/>
      </w:r>
      <w:r>
        <w:rPr>
          <w:rFonts w:ascii="Courier New" w:cs="Courier New" w:eastAsia="Courier New" w:hAnsi="Courier New"/>
          <w:sz w:val="16"/>
          <w:szCs w:val="16"/>
          <w:color w:val="auto"/>
        </w:rPr>
        <w:t>3</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Event of Default</w:t>
      </w:r>
      <w:r>
        <w:rPr>
          <w:sz w:val="20"/>
          <w:szCs w:val="20"/>
          <w:color w:val="auto"/>
        </w:rPr>
        <w:tab/>
      </w:r>
      <w:r>
        <w:rPr>
          <w:rFonts w:ascii="Courier New" w:cs="Courier New" w:eastAsia="Courier New" w:hAnsi="Courier New"/>
          <w:sz w:val="16"/>
          <w:szCs w:val="16"/>
          <w:color w:val="auto"/>
        </w:rPr>
        <w:t>3</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Funded Indebtedness</w:t>
      </w:r>
      <w:r>
        <w:rPr>
          <w:sz w:val="20"/>
          <w:szCs w:val="20"/>
          <w:color w:val="auto"/>
        </w:rPr>
        <w:tab/>
      </w:r>
      <w:r>
        <w:rPr>
          <w:rFonts w:ascii="Courier New" w:cs="Courier New" w:eastAsia="Courier New" w:hAnsi="Courier New"/>
          <w:sz w:val="16"/>
          <w:szCs w:val="16"/>
          <w:color w:val="auto"/>
        </w:rPr>
        <w:t>3</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Global Security</w:t>
      </w:r>
      <w:r>
        <w:rPr>
          <w:sz w:val="20"/>
          <w:szCs w:val="20"/>
          <w:color w:val="auto"/>
        </w:rPr>
        <w:tab/>
      </w:r>
      <w:r>
        <w:rPr>
          <w:rFonts w:ascii="Courier New" w:cs="Courier New" w:eastAsia="Courier New" w:hAnsi="Courier New"/>
          <w:sz w:val="16"/>
          <w:szCs w:val="16"/>
          <w:color w:val="auto"/>
        </w:rPr>
        <w:t>4</w:t>
      </w:r>
    </w:p>
    <w:p>
      <w:pPr>
        <w:ind w:left="1580"/>
        <w:spacing w:after="0"/>
        <w:rPr>
          <w:sz w:val="20"/>
          <w:szCs w:val="20"/>
          <w:color w:val="auto"/>
        </w:rPr>
      </w:pPr>
      <w:r>
        <w:rPr>
          <w:rFonts w:ascii="Courier New" w:cs="Courier New" w:eastAsia="Courier New" w:hAnsi="Courier New"/>
          <w:sz w:val="18"/>
          <w:szCs w:val="18"/>
          <w:color w:val="auto"/>
        </w:rPr>
        <w:t>Holder, holder of securities,</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Securityholder</w:t>
      </w:r>
      <w:r>
        <w:rPr>
          <w:sz w:val="20"/>
          <w:szCs w:val="20"/>
          <w:color w:val="auto"/>
        </w:rPr>
        <w:tab/>
      </w:r>
      <w:r>
        <w:rPr>
          <w:rFonts w:ascii="Courier New" w:cs="Courier New" w:eastAsia="Courier New" w:hAnsi="Courier New"/>
          <w:sz w:val="16"/>
          <w:szCs w:val="16"/>
          <w:color w:val="auto"/>
        </w:rPr>
        <w:t>4</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Indebtedness</w:t>
      </w:r>
      <w:r>
        <w:rPr>
          <w:sz w:val="20"/>
          <w:szCs w:val="20"/>
          <w:color w:val="auto"/>
        </w:rPr>
        <w:tab/>
      </w:r>
      <w:r>
        <w:rPr>
          <w:rFonts w:ascii="Courier New" w:cs="Courier New" w:eastAsia="Courier New" w:hAnsi="Courier New"/>
          <w:sz w:val="16"/>
          <w:szCs w:val="16"/>
          <w:color w:val="auto"/>
        </w:rPr>
        <w:t>4</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Indenture</w:t>
      </w:r>
      <w:r>
        <w:rPr>
          <w:sz w:val="20"/>
          <w:szCs w:val="20"/>
          <w:color w:val="auto"/>
        </w:rPr>
        <w:tab/>
      </w:r>
      <w:r>
        <w:rPr>
          <w:rFonts w:ascii="Courier New" w:cs="Courier New" w:eastAsia="Courier New" w:hAnsi="Courier New"/>
          <w:sz w:val="16"/>
          <w:szCs w:val="16"/>
          <w:color w:val="auto"/>
        </w:rPr>
        <w:t>4</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6"/>
          <w:szCs w:val="16"/>
          <w:color w:val="auto"/>
        </w:rPr>
        <w:t>4</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Issuer</w:t>
      </w:r>
      <w:r>
        <w:rPr>
          <w:sz w:val="20"/>
          <w:szCs w:val="20"/>
          <w:color w:val="auto"/>
        </w:rPr>
        <w:tab/>
      </w:r>
      <w:r>
        <w:rPr>
          <w:rFonts w:ascii="Courier New" w:cs="Courier New" w:eastAsia="Courier New" w:hAnsi="Courier New"/>
          <w:sz w:val="16"/>
          <w:szCs w:val="16"/>
          <w:color w:val="auto"/>
        </w:rPr>
        <w:t>5</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Issuer Order</w:t>
      </w:r>
      <w:r>
        <w:rPr>
          <w:sz w:val="20"/>
          <w:szCs w:val="20"/>
          <w:color w:val="auto"/>
        </w:rPr>
        <w:tab/>
      </w:r>
      <w:r>
        <w:rPr>
          <w:rFonts w:ascii="Courier New" w:cs="Courier New" w:eastAsia="Courier New" w:hAnsi="Courier New"/>
          <w:sz w:val="16"/>
          <w:szCs w:val="16"/>
          <w:color w:val="auto"/>
        </w:rPr>
        <w:t>5</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Mortgage</w:t>
      </w:r>
      <w:r>
        <w:rPr>
          <w:sz w:val="20"/>
          <w:szCs w:val="20"/>
          <w:color w:val="auto"/>
        </w:rPr>
        <w:tab/>
      </w:r>
      <w:r>
        <w:rPr>
          <w:rFonts w:ascii="Courier New" w:cs="Courier New" w:eastAsia="Courier New" w:hAnsi="Courier New"/>
          <w:sz w:val="16"/>
          <w:szCs w:val="16"/>
          <w:color w:val="auto"/>
        </w:rPr>
        <w:t>5</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Officers' Certificate</w:t>
      </w:r>
      <w:r>
        <w:rPr>
          <w:sz w:val="20"/>
          <w:szCs w:val="20"/>
          <w:color w:val="auto"/>
        </w:rPr>
        <w:tab/>
      </w:r>
      <w:r>
        <w:rPr>
          <w:rFonts w:ascii="Courier New" w:cs="Courier New" w:eastAsia="Courier New" w:hAnsi="Courier New"/>
          <w:sz w:val="16"/>
          <w:szCs w:val="16"/>
          <w:color w:val="auto"/>
        </w:rPr>
        <w:t>5</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Opinion of Counsel</w:t>
      </w:r>
      <w:r>
        <w:rPr>
          <w:sz w:val="20"/>
          <w:szCs w:val="20"/>
          <w:color w:val="auto"/>
        </w:rPr>
        <w:tab/>
      </w:r>
      <w:r>
        <w:rPr>
          <w:rFonts w:ascii="Courier New" w:cs="Courier New" w:eastAsia="Courier New" w:hAnsi="Courier New"/>
          <w:sz w:val="16"/>
          <w:szCs w:val="16"/>
          <w:color w:val="auto"/>
        </w:rPr>
        <w:t>5</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Original Issue Discount Security</w:t>
      </w:r>
      <w:r>
        <w:rPr>
          <w:sz w:val="20"/>
          <w:szCs w:val="20"/>
          <w:color w:val="auto"/>
        </w:rPr>
        <w:tab/>
      </w:r>
      <w:r>
        <w:rPr>
          <w:rFonts w:ascii="Courier New" w:cs="Courier New" w:eastAsia="Courier New" w:hAnsi="Courier New"/>
          <w:sz w:val="16"/>
          <w:szCs w:val="16"/>
          <w:color w:val="auto"/>
        </w:rPr>
        <w:t>5</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6"/>
          <w:szCs w:val="16"/>
          <w:color w:val="auto"/>
        </w:rPr>
        <w:t>5</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Periodic Offering</w:t>
      </w:r>
      <w:r>
        <w:rPr>
          <w:sz w:val="20"/>
          <w:szCs w:val="20"/>
          <w:color w:val="auto"/>
        </w:rPr>
        <w:tab/>
      </w:r>
      <w:r>
        <w:rPr>
          <w:rFonts w:ascii="Courier New" w:cs="Courier New" w:eastAsia="Courier New" w:hAnsi="Courier New"/>
          <w:sz w:val="16"/>
          <w:szCs w:val="16"/>
          <w:color w:val="auto"/>
        </w:rPr>
        <w:t>6</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6</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Principal</w:t>
      </w:r>
      <w:r>
        <w:rPr>
          <w:sz w:val="20"/>
          <w:szCs w:val="20"/>
          <w:color w:val="auto"/>
        </w:rPr>
        <w:tab/>
      </w:r>
      <w:r>
        <w:rPr>
          <w:rFonts w:ascii="Courier New" w:cs="Courier New" w:eastAsia="Courier New" w:hAnsi="Courier New"/>
          <w:sz w:val="16"/>
          <w:szCs w:val="16"/>
          <w:color w:val="auto"/>
        </w:rPr>
        <w:t>6</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Principal Property</w:t>
      </w:r>
      <w:r>
        <w:rPr>
          <w:sz w:val="20"/>
          <w:szCs w:val="20"/>
          <w:color w:val="auto"/>
        </w:rPr>
        <w:tab/>
      </w:r>
      <w:r>
        <w:rPr>
          <w:rFonts w:ascii="Courier New" w:cs="Courier New" w:eastAsia="Courier New" w:hAnsi="Courier New"/>
          <w:sz w:val="16"/>
          <w:szCs w:val="16"/>
          <w:color w:val="auto"/>
        </w:rPr>
        <w:t>6</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Responsible Officer</w:t>
      </w:r>
      <w:r>
        <w:rPr>
          <w:sz w:val="20"/>
          <w:szCs w:val="20"/>
          <w:color w:val="auto"/>
        </w:rPr>
        <w:tab/>
      </w:r>
      <w:r>
        <w:rPr>
          <w:rFonts w:ascii="Courier New" w:cs="Courier New" w:eastAsia="Courier New" w:hAnsi="Courier New"/>
          <w:sz w:val="16"/>
          <w:szCs w:val="16"/>
          <w:color w:val="auto"/>
        </w:rPr>
        <w:t>7</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Restricted Subsidiary</w:t>
      </w:r>
      <w:r>
        <w:rPr>
          <w:sz w:val="20"/>
          <w:szCs w:val="20"/>
          <w:color w:val="auto"/>
        </w:rPr>
        <w:tab/>
      </w:r>
      <w:r>
        <w:rPr>
          <w:rFonts w:ascii="Courier New" w:cs="Courier New" w:eastAsia="Courier New" w:hAnsi="Courier New"/>
          <w:sz w:val="16"/>
          <w:szCs w:val="16"/>
          <w:color w:val="auto"/>
        </w:rPr>
        <w:t>7</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Sale and Lease-back Transaction</w:t>
      </w:r>
      <w:r>
        <w:rPr>
          <w:sz w:val="20"/>
          <w:szCs w:val="20"/>
          <w:color w:val="auto"/>
        </w:rPr>
        <w:tab/>
      </w:r>
      <w:r>
        <w:rPr>
          <w:rFonts w:ascii="Courier New" w:cs="Courier New" w:eastAsia="Courier New" w:hAnsi="Courier New"/>
          <w:sz w:val="16"/>
          <w:szCs w:val="16"/>
          <w:color w:val="auto"/>
        </w:rPr>
        <w:t>7</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Security or Securities</w:t>
      </w:r>
      <w:r>
        <w:rPr>
          <w:sz w:val="20"/>
          <w:szCs w:val="20"/>
          <w:color w:val="auto"/>
        </w:rPr>
        <w:tab/>
      </w:r>
      <w:r>
        <w:rPr>
          <w:rFonts w:ascii="Courier New" w:cs="Courier New" w:eastAsia="Courier New" w:hAnsi="Courier New"/>
          <w:sz w:val="16"/>
          <w:szCs w:val="16"/>
          <w:color w:val="auto"/>
        </w:rPr>
        <w:t>7</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Senior Funded Indebtedness</w:t>
      </w:r>
      <w:r>
        <w:rPr>
          <w:sz w:val="20"/>
          <w:szCs w:val="20"/>
          <w:color w:val="auto"/>
        </w:rPr>
        <w:tab/>
      </w:r>
      <w:r>
        <w:rPr>
          <w:rFonts w:ascii="Courier New" w:cs="Courier New" w:eastAsia="Courier New" w:hAnsi="Courier New"/>
          <w:sz w:val="16"/>
          <w:szCs w:val="16"/>
          <w:color w:val="auto"/>
        </w:rPr>
        <w:t>7</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Senior Indebtedness</w:t>
      </w:r>
      <w:r>
        <w:rPr>
          <w:sz w:val="20"/>
          <w:szCs w:val="20"/>
          <w:color w:val="auto"/>
        </w:rPr>
        <w:tab/>
      </w:r>
      <w:r>
        <w:rPr>
          <w:rFonts w:ascii="Courier New" w:cs="Courier New" w:eastAsia="Courier New" w:hAnsi="Courier New"/>
          <w:sz w:val="16"/>
          <w:szCs w:val="16"/>
          <w:color w:val="auto"/>
        </w:rPr>
        <w:t>7</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Stockholders' Equity</w:t>
      </w:r>
      <w:r>
        <w:rPr>
          <w:sz w:val="20"/>
          <w:szCs w:val="20"/>
          <w:color w:val="auto"/>
        </w:rPr>
        <w:tab/>
      </w:r>
      <w:r>
        <w:rPr>
          <w:rFonts w:ascii="Courier New" w:cs="Courier New" w:eastAsia="Courier New" w:hAnsi="Courier New"/>
          <w:sz w:val="16"/>
          <w:szCs w:val="16"/>
          <w:color w:val="auto"/>
        </w:rPr>
        <w:t>8</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Subsidiary</w:t>
      </w:r>
      <w:r>
        <w:rPr>
          <w:sz w:val="20"/>
          <w:szCs w:val="20"/>
          <w:color w:val="auto"/>
        </w:rPr>
        <w:tab/>
      </w:r>
      <w:r>
        <w:rPr>
          <w:rFonts w:ascii="Courier New" w:cs="Courier New" w:eastAsia="Courier New" w:hAnsi="Courier New"/>
          <w:sz w:val="16"/>
          <w:szCs w:val="16"/>
          <w:color w:val="auto"/>
        </w:rPr>
        <w:t>8</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Trust Indenture Act of 1939</w:t>
      </w:r>
      <w:r>
        <w:rPr>
          <w:sz w:val="20"/>
          <w:szCs w:val="20"/>
          <w:color w:val="auto"/>
        </w:rPr>
        <w:tab/>
      </w:r>
      <w:r>
        <w:rPr>
          <w:rFonts w:ascii="Courier New" w:cs="Courier New" w:eastAsia="Courier New" w:hAnsi="Courier New"/>
          <w:sz w:val="16"/>
          <w:szCs w:val="16"/>
          <w:color w:val="auto"/>
        </w:rPr>
        <w:t>8</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6"/>
          <w:szCs w:val="16"/>
          <w:color w:val="auto"/>
        </w:rPr>
        <w:t>8</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U.S. Government Obligations</w:t>
      </w:r>
      <w:r>
        <w:rPr>
          <w:sz w:val="20"/>
          <w:szCs w:val="20"/>
          <w:color w:val="auto"/>
        </w:rPr>
        <w:tab/>
      </w:r>
      <w:r>
        <w:rPr>
          <w:rFonts w:ascii="Courier New" w:cs="Courier New" w:eastAsia="Courier New" w:hAnsi="Courier New"/>
          <w:sz w:val="16"/>
          <w:szCs w:val="16"/>
          <w:color w:val="auto"/>
        </w:rPr>
        <w:t>8</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vice president</w:t>
      </w:r>
      <w:r>
        <w:rPr>
          <w:sz w:val="20"/>
          <w:szCs w:val="20"/>
          <w:color w:val="auto"/>
        </w:rPr>
        <w:tab/>
      </w:r>
      <w:r>
        <w:rPr>
          <w:rFonts w:ascii="Courier New" w:cs="Courier New" w:eastAsia="Courier New" w:hAnsi="Courier New"/>
          <w:sz w:val="16"/>
          <w:szCs w:val="16"/>
          <w:color w:val="auto"/>
        </w:rPr>
        <w:t>8</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Yield to Maturity</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SECURITIES.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7580" w:val="left"/>
        </w:tabs>
        <w:rPr>
          <w:sz w:val="20"/>
          <w:szCs w:val="20"/>
          <w:color w:val="auto"/>
        </w:rPr>
      </w:pPr>
      <w:r>
        <w:rPr>
          <w:rFonts w:ascii="Courier New" w:cs="Courier New" w:eastAsia="Courier New" w:hAnsi="Courier New"/>
          <w:sz w:val="18"/>
          <w:szCs w:val="18"/>
          <w:color w:val="auto"/>
        </w:rPr>
        <w:t>SECTION 2.1.</w:t>
        <w:tab/>
        <w:t>Forms Generally</w:t>
      </w:r>
      <w:r>
        <w:rPr>
          <w:sz w:val="20"/>
          <w:szCs w:val="20"/>
          <w:color w:val="auto"/>
        </w:rPr>
        <w:tab/>
      </w:r>
      <w:r>
        <w:rPr>
          <w:rFonts w:ascii="Courier New" w:cs="Courier New" w:eastAsia="Courier New" w:hAnsi="Courier New"/>
          <w:sz w:val="16"/>
          <w:szCs w:val="16"/>
          <w:color w:val="auto"/>
        </w:rPr>
        <w:t>9</w:t>
      </w:r>
    </w:p>
    <w:p>
      <w:pPr>
        <w:spacing w:after="0"/>
        <w:tabs>
          <w:tab w:leader="none" w:pos="156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Form of Trustee's Certificate</w:t>
      </w:r>
    </w:p>
    <w:p>
      <w:pPr>
        <w:jc w:val="right"/>
        <w:ind w:right="2519"/>
        <w:spacing w:after="0"/>
        <w:tabs>
          <w:tab w:leader="dot" w:pos="80" w:val="left"/>
        </w:tabs>
        <w:rPr>
          <w:sz w:val="20"/>
          <w:szCs w:val="20"/>
          <w:color w:val="auto"/>
        </w:rPr>
      </w:pPr>
      <w:r>
        <w:rPr>
          <w:rFonts w:ascii="Courier New" w:cs="Courier New" w:eastAsia="Courier New" w:hAnsi="Courier New"/>
          <w:sz w:val="18"/>
          <w:szCs w:val="18"/>
          <w:color w:val="auto"/>
        </w:rPr>
        <w:t>of Authentication</w:t>
      </w:r>
      <w:r>
        <w:rPr>
          <w:sz w:val="20"/>
          <w:szCs w:val="20"/>
          <w:color w:val="auto"/>
        </w:rPr>
        <w:tab/>
      </w:r>
      <w:r>
        <w:rPr>
          <w:rFonts w:ascii="Courier New" w:cs="Courier New" w:eastAsia="Courier New" w:hAnsi="Courier New"/>
          <w:sz w:val="16"/>
          <w:szCs w:val="16"/>
          <w:color w:val="auto"/>
        </w:rPr>
        <w:t>9</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2.3.</w:t>
        <w:tab/>
        <w:t>Amount Unlimited; Issuable in Series</w:t>
      </w:r>
      <w:r>
        <w:rPr>
          <w:sz w:val="20"/>
          <w:szCs w:val="20"/>
          <w:color w:val="auto"/>
        </w:rPr>
        <w:tab/>
      </w:r>
      <w:r>
        <w:rPr>
          <w:rFonts w:ascii="Courier New" w:cs="Courier New" w:eastAsia="Courier New" w:hAnsi="Courier New"/>
          <w:sz w:val="18"/>
          <w:szCs w:val="18"/>
          <w:color w:val="auto"/>
        </w:rPr>
        <w:t>10</w:t>
      </w:r>
    </w:p>
    <w:p>
      <w:pPr>
        <w:spacing w:after="0"/>
        <w:tabs>
          <w:tab w:leader="none" w:pos="156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Authentication and Delivery of</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12</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2.5.</w:t>
        <w:tab/>
        <w:t>Execution of Securities</w:t>
      </w:r>
      <w:r>
        <w:rPr>
          <w:sz w:val="20"/>
          <w:szCs w:val="20"/>
          <w:color w:val="auto"/>
        </w:rPr>
        <w:tab/>
      </w:r>
      <w:r>
        <w:rPr>
          <w:rFonts w:ascii="Courier New" w:cs="Courier New" w:eastAsia="Courier New" w:hAnsi="Courier New"/>
          <w:sz w:val="18"/>
          <w:szCs w:val="18"/>
          <w:color w:val="auto"/>
        </w:rPr>
        <w:t>14</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2.6.</w:t>
        <w:tab/>
        <w:t>Certificate of Authentication</w:t>
      </w:r>
      <w:r>
        <w:rPr>
          <w:sz w:val="20"/>
          <w:szCs w:val="20"/>
          <w:color w:val="auto"/>
        </w:rPr>
        <w:tab/>
      </w:r>
      <w:r>
        <w:rPr>
          <w:rFonts w:ascii="Courier New" w:cs="Courier New" w:eastAsia="Courier New" w:hAnsi="Courier New"/>
          <w:sz w:val="18"/>
          <w:szCs w:val="18"/>
          <w:color w:val="auto"/>
        </w:rPr>
        <w:t>17</w:t>
      </w:r>
    </w:p>
    <w:p>
      <w:pPr>
        <w:spacing w:after="0"/>
        <w:tabs>
          <w:tab w:leader="none" w:pos="156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6"/>
          <w:szCs w:val="16"/>
          <w:color w:val="auto"/>
        </w:rPr>
        <w:t>Denomination and Date of</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Securities; Payments of Interest</w:t>
      </w:r>
      <w:r>
        <w:rPr>
          <w:sz w:val="20"/>
          <w:szCs w:val="20"/>
          <w:color w:val="auto"/>
        </w:rPr>
        <w:tab/>
      </w:r>
      <w:r>
        <w:rPr>
          <w:rFonts w:ascii="Courier New" w:cs="Courier New" w:eastAsia="Courier New" w:hAnsi="Courier New"/>
          <w:sz w:val="18"/>
          <w:szCs w:val="18"/>
          <w:color w:val="auto"/>
        </w:rPr>
        <w:t>17</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2.8.</w:t>
        <w:tab/>
        <w:t>Registration, Transfer and Exchange</w:t>
      </w:r>
      <w:r>
        <w:rPr>
          <w:sz w:val="20"/>
          <w:szCs w:val="20"/>
          <w:color w:val="auto"/>
        </w:rPr>
        <w:tab/>
      </w:r>
      <w:r>
        <w:rPr>
          <w:rFonts w:ascii="Courier New" w:cs="Courier New" w:eastAsia="Courier New" w:hAnsi="Courier New"/>
          <w:sz w:val="18"/>
          <w:szCs w:val="18"/>
          <w:color w:val="auto"/>
        </w:rPr>
        <w:t>18</w:t>
      </w:r>
    </w:p>
    <w:p>
      <w:pPr>
        <w:spacing w:after="0"/>
        <w:tabs>
          <w:tab w:leader="none" w:pos="156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6"/>
          <w:szCs w:val="16"/>
          <w:color w:val="auto"/>
        </w:rPr>
        <w:t>Mutilated, Defaced, Destroyed, Lost</w:t>
      </w:r>
    </w:p>
    <w:p>
      <w:pPr>
        <w:sectPr>
          <w:pgSz w:w="11900" w:h="16838" w:orient="portrait"/>
          <w:cols w:equalWidth="0" w:num="1">
            <w:col w:w="10219"/>
          </w:cols>
          <w:pgMar w:left="240" w:top="514" w:right="1440" w:bottom="1440" w:gutter="0" w:footer="0" w:header="0"/>
        </w:sectPr>
      </w:pPr>
    </w:p>
    <w:bookmarkStart w:id="76" w:name="page77"/>
    <w:bookmarkEnd w:id="76"/>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and Stolen Securities</w:t>
      </w:r>
      <w:r>
        <w:rPr>
          <w:sz w:val="20"/>
          <w:szCs w:val="20"/>
          <w:color w:val="auto"/>
        </w:rPr>
        <w:tab/>
      </w:r>
      <w:r>
        <w:rPr>
          <w:rFonts w:ascii="Courier New" w:cs="Courier New" w:eastAsia="Courier New" w:hAnsi="Courier New"/>
          <w:sz w:val="18"/>
          <w:szCs w:val="18"/>
          <w:color w:val="auto"/>
        </w:rPr>
        <w:t>19</w:t>
      </w:r>
    </w:p>
    <w:p>
      <w:pPr>
        <w:spacing w:after="0"/>
        <w:tabs>
          <w:tab w:leader="none" w:pos="1560" w:val="left"/>
        </w:tabs>
        <w:rPr>
          <w:sz w:val="20"/>
          <w:szCs w:val="20"/>
          <w:color w:val="auto"/>
        </w:rPr>
      </w:pPr>
      <w:r>
        <w:rPr>
          <w:rFonts w:ascii="Courier New" w:cs="Courier New" w:eastAsia="Courier New" w:hAnsi="Courier New"/>
          <w:sz w:val="18"/>
          <w:szCs w:val="18"/>
          <w:color w:val="auto"/>
        </w:rPr>
        <w:t>SECTION 2.10.</w:t>
      </w:r>
      <w:r>
        <w:rPr>
          <w:sz w:val="20"/>
          <w:szCs w:val="20"/>
          <w:color w:val="auto"/>
        </w:rPr>
        <w:tab/>
      </w:r>
      <w:r>
        <w:rPr>
          <w:rFonts w:ascii="Courier New" w:cs="Courier New" w:eastAsia="Courier New" w:hAnsi="Courier New"/>
          <w:sz w:val="16"/>
          <w:szCs w:val="16"/>
          <w:color w:val="auto"/>
        </w:rPr>
        <w:t>Cancellation of Securities;</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Disposition Thereof</w:t>
      </w:r>
      <w:r>
        <w:rPr>
          <w:sz w:val="20"/>
          <w:szCs w:val="20"/>
          <w:color w:val="auto"/>
        </w:rPr>
        <w:tab/>
      </w:r>
      <w:r>
        <w:rPr>
          <w:rFonts w:ascii="Courier New" w:cs="Courier New" w:eastAsia="Courier New" w:hAnsi="Courier New"/>
          <w:sz w:val="18"/>
          <w:szCs w:val="18"/>
          <w:color w:val="auto"/>
        </w:rPr>
        <w:t>21</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2.11.</w:t>
        <w:tab/>
        <w:t>Temporary Securities</w:t>
      </w:r>
      <w:r>
        <w:rPr>
          <w:sz w:val="20"/>
          <w:szCs w:val="20"/>
          <w:color w:val="auto"/>
        </w:rPr>
        <w:tab/>
      </w:r>
      <w:r>
        <w:rPr>
          <w:rFonts w:ascii="Courier New" w:cs="Courier New" w:eastAsia="Courier New" w:hAnsi="Courier New"/>
          <w:sz w:val="18"/>
          <w:szCs w:val="18"/>
          <w:color w:val="auto"/>
        </w:rPr>
        <w:t>21</w:t>
      </w:r>
    </w:p>
    <w:p>
      <w:pPr>
        <w:spacing w:after="0" w:line="238" w:lineRule="auto"/>
        <w:tabs>
          <w:tab w:leader="none" w:pos="2200" w:val="left"/>
          <w:tab w:leader="dot" w:pos="7460" w:val="left"/>
        </w:tabs>
        <w:rPr>
          <w:sz w:val="20"/>
          <w:szCs w:val="20"/>
          <w:color w:val="auto"/>
        </w:rPr>
      </w:pPr>
      <w:r>
        <w:rPr>
          <w:rFonts w:ascii="Courier New" w:cs="Courier New" w:eastAsia="Courier New" w:hAnsi="Courier New"/>
          <w:sz w:val="18"/>
          <w:szCs w:val="18"/>
          <w:color w:val="auto"/>
        </w:rPr>
        <w:t>SECTION 2.12</w:t>
      </w:r>
      <w:r>
        <w:rPr>
          <w:sz w:val="20"/>
          <w:szCs w:val="20"/>
          <w:color w:val="auto"/>
        </w:rPr>
        <w:tab/>
      </w:r>
      <w:r>
        <w:rPr>
          <w:rFonts w:ascii="Courier New" w:cs="Courier New" w:eastAsia="Courier New" w:hAnsi="Courier New"/>
          <w:sz w:val="18"/>
          <w:szCs w:val="18"/>
          <w:color w:val="auto"/>
        </w:rPr>
        <w:t>Computation of Interest</w:t>
      </w:r>
      <w:r>
        <w:rPr>
          <w:sz w:val="20"/>
          <w:szCs w:val="20"/>
          <w:color w:val="auto"/>
        </w:rPr>
        <w:tab/>
      </w: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COVENANTS OF THE ISSUER AND THE TRUSTEE.</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3.1.</w:t>
        <w:tab/>
        <w:t>Payment of Principal and Interest</w:t>
      </w:r>
      <w:r>
        <w:rPr>
          <w:sz w:val="20"/>
          <w:szCs w:val="20"/>
          <w:color w:val="auto"/>
        </w:rPr>
        <w:tab/>
      </w:r>
      <w:r>
        <w:rPr>
          <w:rFonts w:ascii="Courier New" w:cs="Courier New" w:eastAsia="Courier New" w:hAnsi="Courier New"/>
          <w:sz w:val="18"/>
          <w:szCs w:val="18"/>
          <w:color w:val="auto"/>
        </w:rPr>
        <w:t>22</w:t>
      </w:r>
    </w:p>
    <w:p>
      <w:pPr>
        <w:spacing w:after="0" w:line="238"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3.2.</w:t>
        <w:tab/>
        <w:t>Offices for Payments, etc</w:t>
      </w:r>
      <w:r>
        <w:rPr>
          <w:sz w:val="20"/>
          <w:szCs w:val="20"/>
          <w:color w:val="auto"/>
        </w:rPr>
        <w:tab/>
      </w:r>
      <w:r>
        <w:rPr>
          <w:rFonts w:ascii="Courier New" w:cs="Courier New" w:eastAsia="Courier New" w:hAnsi="Courier New"/>
          <w:sz w:val="18"/>
          <w:szCs w:val="18"/>
          <w:color w:val="auto"/>
        </w:rPr>
        <w:t>22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6"/>
          <w:szCs w:val="16"/>
          <w:color w:val="auto"/>
        </w:rPr>
        <w:t>Appointment to Fill a Vacancy in</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Office of Trustee</w:t>
      </w:r>
      <w:r>
        <w:rPr>
          <w:sz w:val="20"/>
          <w:szCs w:val="20"/>
          <w:color w:val="auto"/>
        </w:rPr>
        <w:tab/>
      </w:r>
      <w:r>
        <w:rPr>
          <w:rFonts w:ascii="Courier New" w:cs="Courier New" w:eastAsia="Courier New" w:hAnsi="Courier New"/>
          <w:sz w:val="18"/>
          <w:szCs w:val="18"/>
          <w:color w:val="auto"/>
        </w:rPr>
        <w:t>22</w:t>
      </w:r>
    </w:p>
    <w:p>
      <w:pPr>
        <w:spacing w:after="0" w:line="238"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3.4.</w:t>
        <w:tab/>
        <w:t>Paying Agents</w:t>
      </w:r>
      <w:r>
        <w:rPr>
          <w:sz w:val="20"/>
          <w:szCs w:val="20"/>
          <w:color w:val="auto"/>
        </w:rPr>
        <w:tab/>
      </w:r>
      <w:r>
        <w:rPr>
          <w:rFonts w:ascii="Courier New" w:cs="Courier New" w:eastAsia="Courier New" w:hAnsi="Courier New"/>
          <w:sz w:val="18"/>
          <w:szCs w:val="18"/>
          <w:color w:val="auto"/>
        </w:rPr>
        <w:t>23</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3.5.</w:t>
        <w:tab/>
        <w:t>Certificate of the Issuer</w:t>
      </w:r>
      <w:r>
        <w:rPr>
          <w:sz w:val="20"/>
          <w:szCs w:val="20"/>
          <w:color w:val="auto"/>
        </w:rPr>
        <w:tab/>
      </w:r>
      <w:r>
        <w:rPr>
          <w:rFonts w:ascii="Courier New" w:cs="Courier New" w:eastAsia="Courier New" w:hAnsi="Courier New"/>
          <w:sz w:val="18"/>
          <w:szCs w:val="18"/>
          <w:color w:val="auto"/>
        </w:rPr>
        <w:t>24</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3.6.</w:t>
        <w:tab/>
        <w:t>Securityholders' Lists</w:t>
      </w:r>
      <w:r>
        <w:rPr>
          <w:sz w:val="20"/>
          <w:szCs w:val="20"/>
          <w:color w:val="auto"/>
        </w:rPr>
        <w:tab/>
      </w:r>
      <w:r>
        <w:rPr>
          <w:rFonts w:ascii="Courier New" w:cs="Courier New" w:eastAsia="Courier New" w:hAnsi="Courier New"/>
          <w:sz w:val="18"/>
          <w:szCs w:val="18"/>
          <w:color w:val="auto"/>
        </w:rPr>
        <w:t>24</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3.7.</w:t>
        <w:tab/>
        <w:t>Reports by the Issuer</w:t>
      </w:r>
      <w:r>
        <w:rPr>
          <w:sz w:val="20"/>
          <w:szCs w:val="20"/>
          <w:color w:val="auto"/>
        </w:rPr>
        <w:tab/>
      </w:r>
      <w:r>
        <w:rPr>
          <w:rFonts w:ascii="Courier New" w:cs="Courier New" w:eastAsia="Courier New" w:hAnsi="Courier New"/>
          <w:sz w:val="18"/>
          <w:szCs w:val="18"/>
          <w:color w:val="auto"/>
        </w:rPr>
        <w:t>24</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3.8.</w:t>
        <w:tab/>
        <w:t>Reports by the Trustee</w:t>
      </w:r>
      <w:r>
        <w:rPr>
          <w:sz w:val="20"/>
          <w:szCs w:val="20"/>
          <w:color w:val="auto"/>
        </w:rPr>
        <w:tab/>
      </w:r>
      <w:r>
        <w:rPr>
          <w:rFonts w:ascii="Courier New" w:cs="Courier New" w:eastAsia="Courier New" w:hAnsi="Courier New"/>
          <w:sz w:val="18"/>
          <w:szCs w:val="18"/>
          <w:color w:val="auto"/>
        </w:rPr>
        <w:t>25</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3.9.</w:t>
        <w:tab/>
        <w:t>Limitation on Liens</w:t>
      </w:r>
      <w:r>
        <w:rPr>
          <w:sz w:val="20"/>
          <w:szCs w:val="20"/>
          <w:color w:val="auto"/>
        </w:rPr>
        <w:tab/>
      </w:r>
      <w:r>
        <w:rPr>
          <w:rFonts w:ascii="Courier New" w:cs="Courier New" w:eastAsia="Courier New" w:hAnsi="Courier New"/>
          <w:sz w:val="18"/>
          <w:szCs w:val="18"/>
          <w:color w:val="auto"/>
        </w:rPr>
        <w:t>25</w:t>
      </w:r>
    </w:p>
    <w:p>
      <w:pPr>
        <w:spacing w:after="0"/>
        <w:tabs>
          <w:tab w:leader="none" w:pos="1560" w:val="left"/>
        </w:tabs>
        <w:rPr>
          <w:sz w:val="20"/>
          <w:szCs w:val="20"/>
          <w:color w:val="auto"/>
        </w:rPr>
      </w:pPr>
      <w:r>
        <w:rPr>
          <w:rFonts w:ascii="Courier New" w:cs="Courier New" w:eastAsia="Courier New" w:hAnsi="Courier New"/>
          <w:sz w:val="18"/>
          <w:szCs w:val="18"/>
          <w:color w:val="auto"/>
        </w:rPr>
        <w:t>SECTION 3.10.</w:t>
      </w:r>
      <w:r>
        <w:rPr>
          <w:sz w:val="20"/>
          <w:szCs w:val="20"/>
          <w:color w:val="auto"/>
        </w:rPr>
        <w:tab/>
      </w:r>
      <w:r>
        <w:rPr>
          <w:rFonts w:ascii="Courier New" w:cs="Courier New" w:eastAsia="Courier New" w:hAnsi="Courier New"/>
          <w:sz w:val="16"/>
          <w:szCs w:val="16"/>
          <w:color w:val="auto"/>
        </w:rPr>
        <w:t>Limitation on Sale and Lease-Back</w:t>
      </w:r>
    </w:p>
    <w:p>
      <w:pPr>
        <w:jc w:val="right"/>
        <w:ind w:right="2519"/>
        <w:spacing w:after="0" w:line="238" w:lineRule="auto"/>
        <w:tabs>
          <w:tab w:leader="dot" w:pos="200" w:val="left"/>
        </w:tabs>
        <w:rPr>
          <w:sz w:val="20"/>
          <w:szCs w:val="20"/>
          <w:color w:val="auto"/>
        </w:rPr>
      </w:pPr>
      <w:r>
        <w:rPr>
          <w:rFonts w:ascii="Courier New" w:cs="Courier New" w:eastAsia="Courier New" w:hAnsi="Courier New"/>
          <w:sz w:val="18"/>
          <w:szCs w:val="18"/>
          <w:color w:val="auto"/>
        </w:rPr>
        <w:t>Transactions</w:t>
      </w:r>
      <w:r>
        <w:rPr>
          <w:sz w:val="20"/>
          <w:szCs w:val="20"/>
          <w:color w:val="auto"/>
        </w:rPr>
        <w:tab/>
      </w: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REMEDIES OF THE TRUSTEE AND SECURITYHOLDERS</w:t>
      </w:r>
    </w:p>
    <w:p>
      <w:pPr>
        <w:ind w:left="3060"/>
        <w:spacing w:after="0" w:line="238" w:lineRule="auto"/>
        <w:rPr>
          <w:sz w:val="20"/>
          <w:szCs w:val="20"/>
          <w:color w:val="auto"/>
        </w:rPr>
      </w:pPr>
      <w:r>
        <w:rPr>
          <w:rFonts w:ascii="Courier New" w:cs="Courier New" w:eastAsia="Courier New" w:hAnsi="Courier New"/>
          <w:sz w:val="18"/>
          <w:szCs w:val="18"/>
          <w:color w:val="auto"/>
        </w:rPr>
        <w:t>ON EVENT OF DEFAULT.</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4.1.</w:t>
      </w:r>
      <w:r>
        <w:rPr>
          <w:sz w:val="20"/>
          <w:szCs w:val="20"/>
          <w:color w:val="auto"/>
        </w:rPr>
        <w:tab/>
      </w:r>
      <w:r>
        <w:rPr>
          <w:rFonts w:ascii="Courier New" w:cs="Courier New" w:eastAsia="Courier New" w:hAnsi="Courier New"/>
          <w:sz w:val="16"/>
          <w:szCs w:val="16"/>
          <w:color w:val="auto"/>
        </w:rPr>
        <w:t>Event of Default Defined; Acceleration</w:t>
      </w:r>
    </w:p>
    <w:p>
      <w:pPr>
        <w:jc w:val="right"/>
        <w:ind w:right="2519"/>
        <w:spacing w:after="0" w:line="238" w:lineRule="auto"/>
        <w:tabs>
          <w:tab w:leader="dot" w:pos="200" w:val="left"/>
        </w:tabs>
        <w:rPr>
          <w:sz w:val="20"/>
          <w:szCs w:val="20"/>
          <w:color w:val="auto"/>
        </w:rPr>
      </w:pPr>
      <w:r>
        <w:rPr>
          <w:rFonts w:ascii="Courier New" w:cs="Courier New" w:eastAsia="Courier New" w:hAnsi="Courier New"/>
          <w:sz w:val="18"/>
          <w:szCs w:val="18"/>
          <w:color w:val="auto"/>
        </w:rPr>
        <w:t>of Maturity; Waiver of Default</w:t>
      </w:r>
      <w:r>
        <w:rPr>
          <w:sz w:val="20"/>
          <w:szCs w:val="20"/>
          <w:color w:val="auto"/>
        </w:rPr>
        <w:tab/>
      </w:r>
      <w:r>
        <w:rPr>
          <w:rFonts w:ascii="Courier New" w:cs="Courier New" w:eastAsia="Courier New" w:hAnsi="Courier New"/>
          <w:sz w:val="18"/>
          <w:szCs w:val="18"/>
          <w:color w:val="auto"/>
        </w:rPr>
        <w:t>27</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6"/>
          <w:szCs w:val="16"/>
          <w:color w:val="auto"/>
        </w:rPr>
        <w:t>Collection of Indebtedness by Trustee;</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Trustee May Prove Debt</w:t>
      </w:r>
      <w:r>
        <w:rPr>
          <w:sz w:val="20"/>
          <w:szCs w:val="20"/>
          <w:color w:val="auto"/>
        </w:rPr>
        <w:tab/>
      </w:r>
      <w:r>
        <w:rPr>
          <w:rFonts w:ascii="Courier New" w:cs="Courier New" w:eastAsia="Courier New" w:hAnsi="Courier New"/>
          <w:sz w:val="18"/>
          <w:szCs w:val="18"/>
          <w:color w:val="auto"/>
        </w:rPr>
        <w:t>31</w:t>
      </w:r>
    </w:p>
    <w:p>
      <w:pPr>
        <w:spacing w:after="0" w:line="238"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4.3.</w:t>
        <w:tab/>
        <w:t>Application of Proceeds</w:t>
      </w:r>
      <w:r>
        <w:rPr>
          <w:sz w:val="20"/>
          <w:szCs w:val="20"/>
          <w:color w:val="auto"/>
        </w:rPr>
        <w:tab/>
      </w:r>
      <w:r>
        <w:rPr>
          <w:rFonts w:ascii="Courier New" w:cs="Courier New" w:eastAsia="Courier New" w:hAnsi="Courier New"/>
          <w:sz w:val="18"/>
          <w:szCs w:val="18"/>
          <w:color w:val="auto"/>
        </w:rPr>
        <w:t>34</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4.4.</w:t>
        <w:tab/>
        <w:t>Suits for Enforcement</w:t>
      </w:r>
      <w:r>
        <w:rPr>
          <w:sz w:val="20"/>
          <w:szCs w:val="20"/>
          <w:color w:val="auto"/>
        </w:rPr>
        <w:tab/>
      </w:r>
      <w:r>
        <w:rPr>
          <w:rFonts w:ascii="Courier New" w:cs="Courier New" w:eastAsia="Courier New" w:hAnsi="Courier New"/>
          <w:sz w:val="18"/>
          <w:szCs w:val="18"/>
          <w:color w:val="auto"/>
        </w:rPr>
        <w:t>35</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4.5.</w:t>
      </w:r>
      <w:r>
        <w:rPr>
          <w:sz w:val="20"/>
          <w:szCs w:val="20"/>
          <w:color w:val="auto"/>
        </w:rPr>
        <w:tab/>
      </w:r>
      <w:r>
        <w:rPr>
          <w:rFonts w:ascii="Courier New" w:cs="Courier New" w:eastAsia="Courier New" w:hAnsi="Courier New"/>
          <w:sz w:val="16"/>
          <w:szCs w:val="16"/>
          <w:color w:val="auto"/>
        </w:rPr>
        <w:t>Restoration of Rights on Abandonment</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of Proceedings</w:t>
      </w:r>
      <w:r>
        <w:rPr>
          <w:sz w:val="20"/>
          <w:szCs w:val="20"/>
          <w:color w:val="auto"/>
        </w:rPr>
        <w:tab/>
      </w:r>
      <w:r>
        <w:rPr>
          <w:rFonts w:ascii="Courier New" w:cs="Courier New" w:eastAsia="Courier New" w:hAnsi="Courier New"/>
          <w:sz w:val="18"/>
          <w:szCs w:val="18"/>
          <w:color w:val="auto"/>
        </w:rPr>
        <w:t>35</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4.6.</w:t>
      </w:r>
      <w:r>
        <w:rPr>
          <w:sz w:val="20"/>
          <w:szCs w:val="20"/>
          <w:color w:val="auto"/>
        </w:rPr>
        <w:tab/>
      </w:r>
      <w:r>
        <w:rPr>
          <w:rFonts w:ascii="Courier New" w:cs="Courier New" w:eastAsia="Courier New" w:hAnsi="Courier New"/>
          <w:sz w:val="16"/>
          <w:szCs w:val="16"/>
          <w:color w:val="auto"/>
        </w:rPr>
        <w:t>Limitations on Suits by</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Securityholders</w:t>
      </w:r>
      <w:r>
        <w:rPr>
          <w:sz w:val="20"/>
          <w:szCs w:val="20"/>
          <w:color w:val="auto"/>
        </w:rPr>
        <w:tab/>
      </w:r>
      <w:r>
        <w:rPr>
          <w:rFonts w:ascii="Courier New" w:cs="Courier New" w:eastAsia="Courier New" w:hAnsi="Courier New"/>
          <w:sz w:val="18"/>
          <w:szCs w:val="18"/>
          <w:color w:val="auto"/>
        </w:rPr>
        <w:t>35</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4.7.</w:t>
      </w:r>
      <w:r>
        <w:rPr>
          <w:sz w:val="20"/>
          <w:szCs w:val="20"/>
          <w:color w:val="auto"/>
        </w:rPr>
        <w:tab/>
      </w:r>
      <w:r>
        <w:rPr>
          <w:rFonts w:ascii="Courier New" w:cs="Courier New" w:eastAsia="Courier New" w:hAnsi="Courier New"/>
          <w:sz w:val="16"/>
          <w:szCs w:val="16"/>
          <w:color w:val="auto"/>
        </w:rPr>
        <w:t>Unconditional Right of</w:t>
      </w:r>
    </w:p>
    <w:p>
      <w:pPr>
        <w:ind w:left="2440"/>
        <w:spacing w:after="0" w:line="238" w:lineRule="auto"/>
        <w:rPr>
          <w:sz w:val="20"/>
          <w:szCs w:val="20"/>
          <w:color w:val="auto"/>
        </w:rPr>
      </w:pPr>
      <w:r>
        <w:rPr>
          <w:rFonts w:ascii="Courier New" w:cs="Courier New" w:eastAsia="Courier New" w:hAnsi="Courier New"/>
          <w:sz w:val="18"/>
          <w:szCs w:val="18"/>
          <w:color w:val="auto"/>
        </w:rPr>
        <w:t>Securityholders to Institute</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Certain Suits</w:t>
      </w:r>
      <w:r>
        <w:rPr>
          <w:sz w:val="20"/>
          <w:szCs w:val="20"/>
          <w:color w:val="auto"/>
        </w:rPr>
        <w:tab/>
      </w:r>
      <w:r>
        <w:rPr>
          <w:rFonts w:ascii="Courier New" w:cs="Courier New" w:eastAsia="Courier New" w:hAnsi="Courier New"/>
          <w:sz w:val="18"/>
          <w:szCs w:val="18"/>
          <w:color w:val="auto"/>
        </w:rPr>
        <w:t>36</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4.8.</w:t>
      </w:r>
      <w:r>
        <w:rPr>
          <w:sz w:val="20"/>
          <w:szCs w:val="20"/>
          <w:color w:val="auto"/>
        </w:rPr>
        <w:tab/>
      </w:r>
      <w:r>
        <w:rPr>
          <w:rFonts w:ascii="Courier New" w:cs="Courier New" w:eastAsia="Courier New" w:hAnsi="Courier New"/>
          <w:sz w:val="16"/>
          <w:szCs w:val="16"/>
          <w:color w:val="auto"/>
        </w:rPr>
        <w:t>Powers and Remedies Cumulative;</w:t>
      </w:r>
    </w:p>
    <w:p>
      <w:pPr>
        <w:ind w:left="2440"/>
        <w:spacing w:after="0"/>
        <w:rPr>
          <w:sz w:val="20"/>
          <w:szCs w:val="20"/>
          <w:color w:val="auto"/>
        </w:rPr>
      </w:pPr>
      <w:r>
        <w:rPr>
          <w:rFonts w:ascii="Courier New" w:cs="Courier New" w:eastAsia="Courier New" w:hAnsi="Courier New"/>
          <w:sz w:val="18"/>
          <w:szCs w:val="18"/>
          <w:color w:val="auto"/>
        </w:rPr>
        <w:t>Delay or Omission Not Waiver of</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Default</w:t>
      </w:r>
      <w:r>
        <w:rPr>
          <w:sz w:val="20"/>
          <w:szCs w:val="20"/>
          <w:color w:val="auto"/>
        </w:rPr>
        <w:tab/>
      </w:r>
      <w:r>
        <w:rPr>
          <w:rFonts w:ascii="Courier New" w:cs="Courier New" w:eastAsia="Courier New" w:hAnsi="Courier New"/>
          <w:sz w:val="18"/>
          <w:szCs w:val="18"/>
          <w:color w:val="auto"/>
        </w:rPr>
        <w:t>36</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4.9.</w:t>
        <w:tab/>
        <w:t>Control by Securityholders</w:t>
      </w:r>
      <w:r>
        <w:rPr>
          <w:sz w:val="20"/>
          <w:szCs w:val="20"/>
          <w:color w:val="auto"/>
        </w:rPr>
        <w:tab/>
      </w:r>
      <w:r>
        <w:rPr>
          <w:rFonts w:ascii="Courier New" w:cs="Courier New" w:eastAsia="Courier New" w:hAnsi="Courier New"/>
          <w:sz w:val="18"/>
          <w:szCs w:val="18"/>
          <w:color w:val="auto"/>
        </w:rPr>
        <w:t>37</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4.10.</w:t>
        <w:tab/>
        <w:t>Waiver of Past Defaults</w:t>
      </w:r>
      <w:r>
        <w:rPr>
          <w:sz w:val="20"/>
          <w:szCs w:val="20"/>
          <w:color w:val="auto"/>
        </w:rPr>
        <w:tab/>
      </w:r>
      <w:r>
        <w:rPr>
          <w:rFonts w:ascii="Courier New" w:cs="Courier New" w:eastAsia="Courier New" w:hAnsi="Courier New"/>
          <w:sz w:val="18"/>
          <w:szCs w:val="18"/>
          <w:color w:val="auto"/>
        </w:rPr>
        <w:t>37</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4.11.</w:t>
      </w:r>
      <w:r>
        <w:rPr>
          <w:sz w:val="20"/>
          <w:szCs w:val="20"/>
          <w:color w:val="auto"/>
        </w:rPr>
        <w:tab/>
      </w:r>
      <w:r>
        <w:rPr>
          <w:rFonts w:ascii="Courier New" w:cs="Courier New" w:eastAsia="Courier New" w:hAnsi="Courier New"/>
          <w:sz w:val="16"/>
          <w:szCs w:val="16"/>
          <w:color w:val="auto"/>
        </w:rPr>
        <w:t>Trustee to Give Notice of Default,</w:t>
      </w:r>
    </w:p>
    <w:p>
      <w:pPr>
        <w:ind w:left="2440"/>
        <w:spacing w:after="0"/>
        <w:rPr>
          <w:sz w:val="20"/>
          <w:szCs w:val="20"/>
          <w:color w:val="auto"/>
        </w:rPr>
      </w:pPr>
      <w:r>
        <w:rPr>
          <w:rFonts w:ascii="Courier New" w:cs="Courier New" w:eastAsia="Courier New" w:hAnsi="Courier New"/>
          <w:sz w:val="18"/>
          <w:szCs w:val="18"/>
          <w:color w:val="auto"/>
        </w:rPr>
        <w:t>But May Withhold in Certain</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Circumstances</w:t>
      </w:r>
      <w:r>
        <w:rPr>
          <w:sz w:val="20"/>
          <w:szCs w:val="20"/>
          <w:color w:val="auto"/>
        </w:rPr>
        <w:tab/>
      </w: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4.12.</w:t>
      </w:r>
      <w:r>
        <w:rPr>
          <w:sz w:val="20"/>
          <w:szCs w:val="20"/>
          <w:color w:val="auto"/>
        </w:rPr>
        <w:tab/>
      </w:r>
      <w:r>
        <w:rPr>
          <w:rFonts w:ascii="Courier New" w:cs="Courier New" w:eastAsia="Courier New" w:hAnsi="Courier New"/>
          <w:sz w:val="16"/>
          <w:szCs w:val="16"/>
          <w:color w:val="auto"/>
        </w:rPr>
        <w:t>Right of Court to Require Filing</w:t>
      </w:r>
    </w:p>
    <w:p>
      <w:pPr>
        <w:jc w:val="right"/>
        <w:ind w:right="2519"/>
        <w:spacing w:after="0" w:line="238" w:lineRule="auto"/>
        <w:tabs>
          <w:tab w:leader="dot" w:pos="200" w:val="left"/>
        </w:tabs>
        <w:rPr>
          <w:sz w:val="20"/>
          <w:szCs w:val="20"/>
          <w:color w:val="auto"/>
        </w:rPr>
      </w:pPr>
      <w:r>
        <w:rPr>
          <w:rFonts w:ascii="Courier New" w:cs="Courier New" w:eastAsia="Courier New" w:hAnsi="Courier New"/>
          <w:sz w:val="18"/>
          <w:szCs w:val="18"/>
          <w:color w:val="auto"/>
        </w:rPr>
        <w:t>of Undertaking to Pay Costs</w:t>
      </w:r>
      <w:r>
        <w:rPr>
          <w:sz w:val="20"/>
          <w:szCs w:val="20"/>
          <w:color w:val="auto"/>
        </w:rPr>
        <w:tab/>
      </w: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FIVE</w:t>
      </w:r>
    </w:p>
    <w:p>
      <w:pPr>
        <w:sectPr>
          <w:pgSz w:w="11900" w:h="16838" w:orient="portrait"/>
          <w:cols w:equalWidth="0" w:num="1">
            <w:col w:w="10219"/>
          </w:cols>
          <w:pgMar w:left="240" w:top="514" w:right="1440" w:bottom="1440" w:gutter="0" w:footer="0" w:header="0"/>
        </w:sectPr>
      </w:pPr>
    </w:p>
    <w:bookmarkStart w:id="77" w:name="page78"/>
    <w:bookmarkEnd w:id="77"/>
    <w:p>
      <w:pPr>
        <w:ind w:left="2960"/>
        <w:spacing w:after="0"/>
        <w:rPr>
          <w:sz w:val="20"/>
          <w:szCs w:val="20"/>
          <w:color w:val="auto"/>
        </w:rPr>
      </w:pPr>
      <w:r>
        <w:rPr>
          <w:rFonts w:ascii="Courier New" w:cs="Courier New" w:eastAsia="Courier New" w:hAnsi="Courier New"/>
          <w:sz w:val="18"/>
          <w:szCs w:val="18"/>
          <w:color w:val="auto"/>
        </w:rPr>
        <w:t>CONCERNING THE TRUSTEE.</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5.1.</w:t>
      </w:r>
      <w:r>
        <w:rPr>
          <w:sz w:val="20"/>
          <w:szCs w:val="20"/>
          <w:color w:val="auto"/>
        </w:rPr>
        <w:tab/>
      </w:r>
      <w:r>
        <w:rPr>
          <w:rFonts w:ascii="Courier New" w:cs="Courier New" w:eastAsia="Courier New" w:hAnsi="Courier New"/>
          <w:sz w:val="16"/>
          <w:szCs w:val="16"/>
          <w:color w:val="auto"/>
        </w:rPr>
        <w:t>Duties and Responsibilities of the</w:t>
      </w:r>
    </w:p>
    <w:p>
      <w:pPr>
        <w:ind w:left="2320"/>
        <w:spacing w:after="0" w:line="238" w:lineRule="auto"/>
        <w:rPr>
          <w:sz w:val="20"/>
          <w:szCs w:val="20"/>
          <w:color w:val="auto"/>
        </w:rPr>
      </w:pPr>
      <w:r>
        <w:rPr>
          <w:rFonts w:ascii="Courier New" w:cs="Courier New" w:eastAsia="Courier New" w:hAnsi="Courier New"/>
          <w:sz w:val="18"/>
          <w:szCs w:val="18"/>
          <w:color w:val="auto"/>
        </w:rPr>
        <w:t>Trustee; During Default; Prior to</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Default</w:t>
      </w:r>
      <w:r>
        <w:rPr>
          <w:sz w:val="20"/>
          <w:szCs w:val="20"/>
          <w:color w:val="auto"/>
        </w:rPr>
        <w:tab/>
      </w:r>
      <w:r>
        <w:rPr>
          <w:rFonts w:ascii="Courier New" w:cs="Courier New" w:eastAsia="Courier New" w:hAnsi="Courier New"/>
          <w:sz w:val="18"/>
          <w:szCs w:val="18"/>
          <w:color w:val="auto"/>
        </w:rPr>
        <w:t>39</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5.2.</w:t>
        <w:tab/>
        <w:t>Certain Rights of the Trustee</w:t>
      </w:r>
      <w:r>
        <w:rPr>
          <w:sz w:val="20"/>
          <w:szCs w:val="20"/>
          <w:color w:val="auto"/>
        </w:rPr>
        <w:tab/>
      </w:r>
      <w:r>
        <w:rPr>
          <w:rFonts w:ascii="Courier New" w:cs="Courier New" w:eastAsia="Courier New" w:hAnsi="Courier New"/>
          <w:sz w:val="18"/>
          <w:szCs w:val="18"/>
          <w:color w:val="auto"/>
        </w:rPr>
        <w:t>41</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5.3.</w:t>
      </w:r>
      <w:r>
        <w:rPr>
          <w:sz w:val="20"/>
          <w:szCs w:val="20"/>
          <w:color w:val="auto"/>
        </w:rPr>
        <w:tab/>
      </w:r>
      <w:r>
        <w:rPr>
          <w:rFonts w:ascii="Courier New" w:cs="Courier New" w:eastAsia="Courier New" w:hAnsi="Courier New"/>
          <w:sz w:val="16"/>
          <w:szCs w:val="16"/>
          <w:color w:val="auto"/>
        </w:rPr>
        <w:t>Trustee Not Responsible for Recitals,</w:t>
      </w:r>
    </w:p>
    <w:p>
      <w:pPr>
        <w:ind w:left="2440"/>
        <w:spacing w:after="0"/>
        <w:rPr>
          <w:sz w:val="20"/>
          <w:szCs w:val="20"/>
          <w:color w:val="auto"/>
        </w:rPr>
      </w:pPr>
      <w:r>
        <w:rPr>
          <w:rFonts w:ascii="Courier New" w:cs="Courier New" w:eastAsia="Courier New" w:hAnsi="Courier New"/>
          <w:sz w:val="18"/>
          <w:szCs w:val="18"/>
          <w:color w:val="auto"/>
        </w:rPr>
        <w:t>Disposition of Securities or</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Application of Proceeds Thereof</w:t>
      </w:r>
      <w:r>
        <w:rPr>
          <w:sz w:val="20"/>
          <w:szCs w:val="20"/>
          <w:color w:val="auto"/>
        </w:rPr>
        <w:tab/>
      </w:r>
      <w:r>
        <w:rPr>
          <w:rFonts w:ascii="Courier New" w:cs="Courier New" w:eastAsia="Courier New" w:hAnsi="Courier New"/>
          <w:sz w:val="18"/>
          <w:szCs w:val="18"/>
          <w:color w:val="auto"/>
        </w:rPr>
        <w:t>42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5.4.</w:t>
      </w:r>
      <w:r>
        <w:rPr>
          <w:sz w:val="20"/>
          <w:szCs w:val="20"/>
          <w:color w:val="auto"/>
        </w:rPr>
        <w:tab/>
      </w:r>
      <w:r>
        <w:rPr>
          <w:rFonts w:ascii="Courier New" w:cs="Courier New" w:eastAsia="Courier New" w:hAnsi="Courier New"/>
          <w:sz w:val="16"/>
          <w:szCs w:val="16"/>
          <w:color w:val="auto"/>
        </w:rPr>
        <w:t>Trustee and Agents May Hold</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Securities; Collections, etc</w:t>
      </w:r>
      <w:r>
        <w:rPr>
          <w:sz w:val="20"/>
          <w:szCs w:val="20"/>
          <w:color w:val="auto"/>
        </w:rPr>
        <w:tab/>
      </w:r>
      <w:r>
        <w:rPr>
          <w:rFonts w:ascii="Courier New" w:cs="Courier New" w:eastAsia="Courier New" w:hAnsi="Courier New"/>
          <w:sz w:val="18"/>
          <w:szCs w:val="18"/>
          <w:color w:val="auto"/>
        </w:rPr>
        <w:t>43</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5.5.</w:t>
        <w:tab/>
        <w:t>Moneys Held by Trustee</w:t>
      </w:r>
      <w:r>
        <w:rPr>
          <w:sz w:val="20"/>
          <w:szCs w:val="20"/>
          <w:color w:val="auto"/>
        </w:rPr>
        <w:tab/>
      </w:r>
      <w:r>
        <w:rPr>
          <w:rFonts w:ascii="Courier New" w:cs="Courier New" w:eastAsia="Courier New" w:hAnsi="Courier New"/>
          <w:sz w:val="18"/>
          <w:szCs w:val="18"/>
          <w:color w:val="auto"/>
        </w:rPr>
        <w:t>43</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5.6.</w:t>
      </w:r>
      <w:r>
        <w:rPr>
          <w:sz w:val="20"/>
          <w:szCs w:val="20"/>
          <w:color w:val="auto"/>
        </w:rPr>
        <w:tab/>
      </w:r>
      <w:r>
        <w:rPr>
          <w:rFonts w:ascii="Courier New" w:cs="Courier New" w:eastAsia="Courier New" w:hAnsi="Courier New"/>
          <w:sz w:val="16"/>
          <w:szCs w:val="16"/>
          <w:color w:val="auto"/>
        </w:rPr>
        <w:t>Compensation and Indemnification</w:t>
      </w:r>
    </w:p>
    <w:p>
      <w:pPr>
        <w:jc w:val="right"/>
        <w:ind w:right="2519"/>
        <w:spacing w:after="0" w:line="238" w:lineRule="auto"/>
        <w:tabs>
          <w:tab w:leader="dot" w:pos="200" w:val="left"/>
        </w:tabs>
        <w:rPr>
          <w:sz w:val="20"/>
          <w:szCs w:val="20"/>
          <w:color w:val="auto"/>
        </w:rPr>
      </w:pPr>
      <w:r>
        <w:rPr>
          <w:rFonts w:ascii="Courier New" w:cs="Courier New" w:eastAsia="Courier New" w:hAnsi="Courier New"/>
          <w:sz w:val="18"/>
          <w:szCs w:val="18"/>
          <w:color w:val="auto"/>
        </w:rPr>
        <w:t>of Trustee and Its Prior Claim</w:t>
      </w:r>
      <w:r>
        <w:rPr>
          <w:sz w:val="20"/>
          <w:szCs w:val="20"/>
          <w:color w:val="auto"/>
        </w:rPr>
        <w:tab/>
      </w:r>
      <w:r>
        <w:rPr>
          <w:rFonts w:ascii="Courier New" w:cs="Courier New" w:eastAsia="Courier New" w:hAnsi="Courier New"/>
          <w:sz w:val="18"/>
          <w:szCs w:val="18"/>
          <w:color w:val="auto"/>
        </w:rPr>
        <w:t>43</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5.7.</w:t>
      </w:r>
      <w:r>
        <w:rPr>
          <w:sz w:val="20"/>
          <w:szCs w:val="20"/>
          <w:color w:val="auto"/>
        </w:rPr>
        <w:tab/>
      </w:r>
      <w:r>
        <w:rPr>
          <w:rFonts w:ascii="Courier New" w:cs="Courier New" w:eastAsia="Courier New" w:hAnsi="Courier New"/>
          <w:sz w:val="16"/>
          <w:szCs w:val="16"/>
          <w:color w:val="auto"/>
        </w:rPr>
        <w:t>Right of Trustee to Rely on</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Officers' Certificate, etc</w:t>
      </w:r>
      <w:r>
        <w:rPr>
          <w:sz w:val="20"/>
          <w:szCs w:val="20"/>
          <w:color w:val="auto"/>
        </w:rPr>
        <w:tab/>
      </w:r>
      <w:r>
        <w:rPr>
          <w:rFonts w:ascii="Courier New" w:cs="Courier New" w:eastAsia="Courier New" w:hAnsi="Courier New"/>
          <w:sz w:val="18"/>
          <w:szCs w:val="18"/>
          <w:color w:val="auto"/>
        </w:rPr>
        <w:t>44</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5.8.</w:t>
      </w:r>
      <w:r>
        <w:rPr>
          <w:sz w:val="20"/>
          <w:szCs w:val="20"/>
          <w:color w:val="auto"/>
        </w:rPr>
        <w:tab/>
      </w:r>
      <w:r>
        <w:rPr>
          <w:rFonts w:ascii="Courier New" w:cs="Courier New" w:eastAsia="Courier New" w:hAnsi="Courier New"/>
          <w:sz w:val="16"/>
          <w:szCs w:val="16"/>
          <w:color w:val="auto"/>
        </w:rPr>
        <w:t>Persons Eligible for Appointment</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as Trustee</w:t>
      </w:r>
      <w:r>
        <w:rPr>
          <w:sz w:val="20"/>
          <w:szCs w:val="20"/>
          <w:color w:val="auto"/>
        </w:rPr>
        <w:tab/>
      </w:r>
      <w:r>
        <w:rPr>
          <w:rFonts w:ascii="Courier New" w:cs="Courier New" w:eastAsia="Courier New" w:hAnsi="Courier New"/>
          <w:sz w:val="18"/>
          <w:szCs w:val="18"/>
          <w:color w:val="auto"/>
        </w:rPr>
        <w:t>44</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5.9</w:t>
      </w:r>
      <w:r>
        <w:rPr>
          <w:sz w:val="20"/>
          <w:szCs w:val="20"/>
          <w:color w:val="auto"/>
        </w:rPr>
        <w:tab/>
      </w:r>
      <w:r>
        <w:rPr>
          <w:rFonts w:ascii="Courier New" w:cs="Courier New" w:eastAsia="Courier New" w:hAnsi="Courier New"/>
          <w:sz w:val="16"/>
          <w:szCs w:val="16"/>
          <w:color w:val="auto"/>
        </w:rPr>
        <w:t>Resignation and Removal; Appointment</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of Successor Trustee</w:t>
      </w:r>
      <w:r>
        <w:rPr>
          <w:sz w:val="20"/>
          <w:szCs w:val="20"/>
          <w:color w:val="auto"/>
        </w:rPr>
        <w:tab/>
      </w:r>
      <w:r>
        <w:rPr>
          <w:rFonts w:ascii="Courier New" w:cs="Courier New" w:eastAsia="Courier New" w:hAnsi="Courier New"/>
          <w:sz w:val="18"/>
          <w:szCs w:val="18"/>
          <w:color w:val="auto"/>
        </w:rPr>
        <w:t>44</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5.10.</w:t>
      </w:r>
      <w:r>
        <w:rPr>
          <w:sz w:val="20"/>
          <w:szCs w:val="20"/>
          <w:color w:val="auto"/>
        </w:rPr>
        <w:tab/>
      </w:r>
      <w:r>
        <w:rPr>
          <w:rFonts w:ascii="Courier New" w:cs="Courier New" w:eastAsia="Courier New" w:hAnsi="Courier New"/>
          <w:sz w:val="16"/>
          <w:szCs w:val="16"/>
          <w:color w:val="auto"/>
        </w:rPr>
        <w:t>Acceptance of Appointment by</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Successor Trustee</w:t>
      </w:r>
      <w:r>
        <w:rPr>
          <w:sz w:val="20"/>
          <w:szCs w:val="20"/>
          <w:color w:val="auto"/>
        </w:rPr>
        <w:tab/>
      </w:r>
      <w:r>
        <w:rPr>
          <w:rFonts w:ascii="Courier New" w:cs="Courier New" w:eastAsia="Courier New" w:hAnsi="Courier New"/>
          <w:sz w:val="18"/>
          <w:szCs w:val="18"/>
          <w:color w:val="auto"/>
        </w:rPr>
        <w:t>46</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5.11.</w:t>
      </w:r>
      <w:r>
        <w:rPr>
          <w:sz w:val="20"/>
          <w:szCs w:val="20"/>
          <w:color w:val="auto"/>
        </w:rPr>
        <w:tab/>
      </w:r>
      <w:r>
        <w:rPr>
          <w:rFonts w:ascii="Courier New" w:cs="Courier New" w:eastAsia="Courier New" w:hAnsi="Courier New"/>
          <w:sz w:val="16"/>
          <w:szCs w:val="16"/>
          <w:color w:val="auto"/>
        </w:rPr>
        <w:t>Merger, Conversion, Consolidation or</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Succession to Business of Trustee</w:t>
      </w:r>
      <w:r>
        <w:rPr>
          <w:sz w:val="20"/>
          <w:szCs w:val="20"/>
          <w:color w:val="auto"/>
        </w:rPr>
        <w:tab/>
      </w:r>
      <w:r>
        <w:rPr>
          <w:rFonts w:ascii="Courier New" w:cs="Courier New" w:eastAsia="Courier New" w:hAnsi="Courier New"/>
          <w:sz w:val="18"/>
          <w:szCs w:val="18"/>
          <w:color w:val="auto"/>
        </w:rPr>
        <w:t>47</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5.12.</w:t>
      </w:r>
      <w:r>
        <w:rPr>
          <w:sz w:val="20"/>
          <w:szCs w:val="20"/>
          <w:color w:val="auto"/>
        </w:rPr>
        <w:tab/>
      </w:r>
      <w:r>
        <w:rPr>
          <w:rFonts w:ascii="Courier New" w:cs="Courier New" w:eastAsia="Courier New" w:hAnsi="Courier New"/>
          <w:sz w:val="16"/>
          <w:szCs w:val="16"/>
          <w:color w:val="auto"/>
        </w:rPr>
        <w:t>Preferential Collection of Claims</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Against the Issuer</w:t>
      </w:r>
      <w:r>
        <w:rPr>
          <w:sz w:val="20"/>
          <w:szCs w:val="20"/>
          <w:color w:val="auto"/>
        </w:rPr>
        <w:tab/>
      </w: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CONCERNING THE SECURITYHOLDERS.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6.1.</w:t>
      </w:r>
      <w:r>
        <w:rPr>
          <w:sz w:val="20"/>
          <w:szCs w:val="20"/>
          <w:color w:val="auto"/>
        </w:rPr>
        <w:tab/>
      </w:r>
      <w:r>
        <w:rPr>
          <w:rFonts w:ascii="Courier New" w:cs="Courier New" w:eastAsia="Courier New" w:hAnsi="Courier New"/>
          <w:sz w:val="16"/>
          <w:szCs w:val="16"/>
          <w:color w:val="auto"/>
        </w:rPr>
        <w:t>Evidence of Action Taken by</w:t>
      </w:r>
    </w:p>
    <w:p>
      <w:pPr>
        <w:jc w:val="right"/>
        <w:ind w:right="2519"/>
        <w:spacing w:after="0" w:line="238" w:lineRule="auto"/>
        <w:tabs>
          <w:tab w:leader="dot" w:pos="200" w:val="left"/>
        </w:tabs>
        <w:rPr>
          <w:sz w:val="20"/>
          <w:szCs w:val="20"/>
          <w:color w:val="auto"/>
        </w:rPr>
      </w:pPr>
      <w:r>
        <w:rPr>
          <w:rFonts w:ascii="Courier New" w:cs="Courier New" w:eastAsia="Courier New" w:hAnsi="Courier New"/>
          <w:sz w:val="18"/>
          <w:szCs w:val="18"/>
          <w:color w:val="auto"/>
        </w:rPr>
        <w:t>Securityholders</w:t>
      </w:r>
      <w:r>
        <w:rPr>
          <w:sz w:val="20"/>
          <w:szCs w:val="20"/>
          <w:color w:val="auto"/>
        </w:rPr>
        <w:tab/>
      </w:r>
      <w:r>
        <w:rPr>
          <w:rFonts w:ascii="Courier New" w:cs="Courier New" w:eastAsia="Courier New" w:hAnsi="Courier New"/>
          <w:sz w:val="18"/>
          <w:szCs w:val="18"/>
          <w:color w:val="auto"/>
        </w:rPr>
        <w:t>48</w:t>
      </w:r>
    </w:p>
    <w:p>
      <w:pPr>
        <w:spacing w:after="0"/>
        <w:tabs>
          <w:tab w:leader="none" w:pos="1560" w:val="left"/>
        </w:tabs>
        <w:rPr>
          <w:sz w:val="20"/>
          <w:szCs w:val="20"/>
          <w:color w:val="auto"/>
        </w:rPr>
      </w:pPr>
      <w:r>
        <w:rPr>
          <w:rFonts w:ascii="Courier New" w:cs="Courier New" w:eastAsia="Courier New" w:hAnsi="Courier New"/>
          <w:sz w:val="18"/>
          <w:szCs w:val="18"/>
          <w:color w:val="auto"/>
        </w:rPr>
        <w:t>SECTION 6.2.</w:t>
      </w:r>
      <w:r>
        <w:rPr>
          <w:sz w:val="20"/>
          <w:szCs w:val="20"/>
          <w:color w:val="auto"/>
        </w:rPr>
        <w:tab/>
      </w:r>
      <w:r>
        <w:rPr>
          <w:rFonts w:ascii="Courier New" w:cs="Courier New" w:eastAsia="Courier New" w:hAnsi="Courier New"/>
          <w:sz w:val="16"/>
          <w:szCs w:val="16"/>
          <w:color w:val="auto"/>
        </w:rPr>
        <w:t>Proof of Execution of Instruments and</w:t>
      </w:r>
    </w:p>
    <w:p>
      <w:pPr>
        <w:ind w:left="2440"/>
        <w:spacing w:after="0"/>
        <w:tabs>
          <w:tab w:leader="none" w:pos="5260" w:val="left"/>
        </w:tabs>
        <w:rPr>
          <w:sz w:val="20"/>
          <w:szCs w:val="20"/>
          <w:color w:val="auto"/>
        </w:rPr>
      </w:pPr>
      <w:r>
        <w:rPr>
          <w:rFonts w:ascii="Courier New" w:cs="Courier New" w:eastAsia="Courier New" w:hAnsi="Courier New"/>
          <w:sz w:val="18"/>
          <w:szCs w:val="18"/>
          <w:color w:val="auto"/>
        </w:rPr>
        <w:t>of Holding of Securities;</w:t>
      </w:r>
      <w:r>
        <w:rPr>
          <w:sz w:val="20"/>
          <w:szCs w:val="20"/>
          <w:color w:val="auto"/>
        </w:rPr>
        <w:tab/>
      </w:r>
      <w:r>
        <w:rPr>
          <w:rFonts w:ascii="Courier New" w:cs="Courier New" w:eastAsia="Courier New" w:hAnsi="Courier New"/>
          <w:sz w:val="16"/>
          <w:szCs w:val="16"/>
          <w:color w:val="auto"/>
        </w:rPr>
        <w:t>Record</w:t>
      </w:r>
    </w:p>
    <w:p>
      <w:pPr>
        <w:jc w:val="right"/>
        <w:ind w:right="2519"/>
        <w:spacing w:after="0" w:line="238" w:lineRule="auto"/>
        <w:tabs>
          <w:tab w:leader="dot" w:pos="2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48</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6.3.</w:t>
        <w:tab/>
        <w:t>Holders to Be Treated as Owners</w:t>
      </w:r>
      <w:r>
        <w:rPr>
          <w:sz w:val="20"/>
          <w:szCs w:val="20"/>
          <w:color w:val="auto"/>
        </w:rPr>
        <w:tab/>
      </w:r>
      <w:r>
        <w:rPr>
          <w:rFonts w:ascii="Courier New" w:cs="Courier New" w:eastAsia="Courier New" w:hAnsi="Courier New"/>
          <w:sz w:val="18"/>
          <w:szCs w:val="18"/>
          <w:color w:val="auto"/>
        </w:rPr>
        <w:t>49</w:t>
      </w:r>
    </w:p>
    <w:p>
      <w:pPr>
        <w:spacing w:after="0"/>
        <w:tabs>
          <w:tab w:leader="none" w:pos="1560" w:val="left"/>
        </w:tabs>
        <w:rPr>
          <w:sz w:val="20"/>
          <w:szCs w:val="20"/>
          <w:color w:val="auto"/>
        </w:rPr>
      </w:pPr>
      <w:r>
        <w:rPr>
          <w:rFonts w:ascii="Courier New" w:cs="Courier New" w:eastAsia="Courier New" w:hAnsi="Courier New"/>
          <w:sz w:val="18"/>
          <w:szCs w:val="18"/>
          <w:color w:val="auto"/>
        </w:rPr>
        <w:t>SECTION 6.4.</w:t>
      </w:r>
      <w:r>
        <w:rPr>
          <w:sz w:val="20"/>
          <w:szCs w:val="20"/>
          <w:color w:val="auto"/>
        </w:rPr>
        <w:tab/>
      </w:r>
      <w:r>
        <w:rPr>
          <w:rFonts w:ascii="Courier New" w:cs="Courier New" w:eastAsia="Courier New" w:hAnsi="Courier New"/>
          <w:sz w:val="16"/>
          <w:szCs w:val="16"/>
          <w:color w:val="auto"/>
        </w:rPr>
        <w:t>Securities Owned by Issuer Deemed Not</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8"/>
          <w:szCs w:val="18"/>
          <w:color w:val="auto"/>
        </w:rPr>
        <w:t>49</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6.5.</w:t>
        <w:tab/>
        <w:t>Right of Revocation of Action Taken</w:t>
      </w:r>
      <w:r>
        <w:rPr>
          <w:sz w:val="20"/>
          <w:szCs w:val="20"/>
          <w:color w:val="auto"/>
        </w:rPr>
        <w:tab/>
      </w: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SUPPLEMENTAL INDENTURES.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7.1.</w:t>
      </w:r>
      <w:r>
        <w:rPr>
          <w:sz w:val="20"/>
          <w:szCs w:val="20"/>
          <w:color w:val="auto"/>
        </w:rPr>
        <w:tab/>
      </w:r>
      <w:r>
        <w:rPr>
          <w:rFonts w:ascii="Courier New" w:cs="Courier New" w:eastAsia="Courier New" w:hAnsi="Courier New"/>
          <w:sz w:val="16"/>
          <w:szCs w:val="16"/>
          <w:color w:val="auto"/>
        </w:rPr>
        <w:t>Supplemental Indentures Without</w:t>
      </w:r>
    </w:p>
    <w:p>
      <w:pPr>
        <w:jc w:val="right"/>
        <w:ind w:right="2519"/>
        <w:spacing w:after="0" w:line="238" w:lineRule="auto"/>
        <w:tabs>
          <w:tab w:leader="dot" w:pos="200" w:val="left"/>
        </w:tabs>
        <w:rPr>
          <w:sz w:val="20"/>
          <w:szCs w:val="20"/>
          <w:color w:val="auto"/>
        </w:rPr>
      </w:pPr>
      <w:r>
        <w:rPr>
          <w:rFonts w:ascii="Courier New" w:cs="Courier New" w:eastAsia="Courier New" w:hAnsi="Courier New"/>
          <w:sz w:val="18"/>
          <w:szCs w:val="18"/>
          <w:color w:val="auto"/>
        </w:rPr>
        <w:t>Consent of Securityholders</w:t>
      </w:r>
      <w:r>
        <w:rPr>
          <w:sz w:val="20"/>
          <w:szCs w:val="20"/>
          <w:color w:val="auto"/>
        </w:rPr>
        <w:tab/>
      </w:r>
      <w:r>
        <w:rPr>
          <w:rFonts w:ascii="Courier New" w:cs="Courier New" w:eastAsia="Courier New" w:hAnsi="Courier New"/>
          <w:sz w:val="18"/>
          <w:szCs w:val="18"/>
          <w:color w:val="auto"/>
        </w:rPr>
        <w:t>51</w:t>
      </w:r>
    </w:p>
    <w:p>
      <w:pPr>
        <w:spacing w:after="0"/>
        <w:tabs>
          <w:tab w:leader="none" w:pos="1560" w:val="left"/>
        </w:tabs>
        <w:rPr>
          <w:sz w:val="20"/>
          <w:szCs w:val="20"/>
          <w:color w:val="auto"/>
        </w:rPr>
      </w:pPr>
      <w:r>
        <w:rPr>
          <w:rFonts w:ascii="Courier New" w:cs="Courier New" w:eastAsia="Courier New" w:hAnsi="Courier New"/>
          <w:sz w:val="18"/>
          <w:szCs w:val="18"/>
          <w:color w:val="auto"/>
        </w:rPr>
        <w:t>SECTION 7.2.</w:t>
      </w:r>
      <w:r>
        <w:rPr>
          <w:sz w:val="20"/>
          <w:szCs w:val="20"/>
          <w:color w:val="auto"/>
        </w:rPr>
        <w:tab/>
      </w:r>
      <w:r>
        <w:rPr>
          <w:rFonts w:ascii="Courier New" w:cs="Courier New" w:eastAsia="Courier New" w:hAnsi="Courier New"/>
          <w:sz w:val="16"/>
          <w:szCs w:val="16"/>
          <w:color w:val="auto"/>
        </w:rPr>
        <w:t>Supplemental Indentures With Consent</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of Securityholders</w:t>
      </w:r>
      <w:r>
        <w:rPr>
          <w:sz w:val="20"/>
          <w:szCs w:val="20"/>
          <w:color w:val="auto"/>
        </w:rPr>
        <w:tab/>
      </w:r>
      <w:r>
        <w:rPr>
          <w:rFonts w:ascii="Courier New" w:cs="Courier New" w:eastAsia="Courier New" w:hAnsi="Courier New"/>
          <w:sz w:val="18"/>
          <w:szCs w:val="18"/>
          <w:color w:val="auto"/>
        </w:rPr>
        <w:t>52</w:t>
      </w:r>
    </w:p>
    <w:p>
      <w:pPr>
        <w:spacing w:after="0" w:line="238"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7.3.</w:t>
        <w:tab/>
        <w:t>Effect of Supplemental Indenture</w:t>
      </w:r>
      <w:r>
        <w:rPr>
          <w:sz w:val="20"/>
          <w:szCs w:val="20"/>
          <w:color w:val="auto"/>
        </w:rPr>
        <w:tab/>
      </w:r>
      <w:r>
        <w:rPr>
          <w:rFonts w:ascii="Courier New" w:cs="Courier New" w:eastAsia="Courier New" w:hAnsi="Courier New"/>
          <w:sz w:val="18"/>
          <w:szCs w:val="18"/>
          <w:color w:val="auto"/>
        </w:rPr>
        <w:t>54</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7.4.</w:t>
        <w:tab/>
        <w:t>Documents to Be Given to Trustee</w:t>
      </w:r>
      <w:r>
        <w:rPr>
          <w:sz w:val="20"/>
          <w:szCs w:val="20"/>
          <w:color w:val="auto"/>
        </w:rPr>
        <w:tab/>
      </w:r>
      <w:r>
        <w:rPr>
          <w:rFonts w:ascii="Courier New" w:cs="Courier New" w:eastAsia="Courier New" w:hAnsi="Courier New"/>
          <w:sz w:val="18"/>
          <w:szCs w:val="18"/>
          <w:color w:val="auto"/>
        </w:rPr>
        <w:t>54</w:t>
      </w:r>
    </w:p>
    <w:p>
      <w:pPr>
        <w:spacing w:after="0"/>
        <w:tabs>
          <w:tab w:leader="none" w:pos="1560" w:val="left"/>
        </w:tabs>
        <w:rPr>
          <w:sz w:val="20"/>
          <w:szCs w:val="20"/>
          <w:color w:val="auto"/>
        </w:rPr>
      </w:pPr>
      <w:r>
        <w:rPr>
          <w:rFonts w:ascii="Courier New" w:cs="Courier New" w:eastAsia="Courier New" w:hAnsi="Courier New"/>
          <w:sz w:val="18"/>
          <w:szCs w:val="18"/>
          <w:color w:val="auto"/>
        </w:rPr>
        <w:t>SECTION 7.5.</w:t>
      </w:r>
      <w:r>
        <w:rPr>
          <w:sz w:val="20"/>
          <w:szCs w:val="20"/>
          <w:color w:val="auto"/>
        </w:rPr>
        <w:tab/>
      </w:r>
      <w:r>
        <w:rPr>
          <w:rFonts w:ascii="Courier New" w:cs="Courier New" w:eastAsia="Courier New" w:hAnsi="Courier New"/>
          <w:sz w:val="16"/>
          <w:szCs w:val="16"/>
          <w:color w:val="auto"/>
        </w:rPr>
        <w:t>Notation on Securities in Respect of</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Supplemental Indentures</w:t>
      </w:r>
      <w:r>
        <w:rPr>
          <w:sz w:val="20"/>
          <w:szCs w:val="20"/>
          <w:color w:val="auto"/>
        </w:rPr>
        <w:tab/>
      </w:r>
      <w:r>
        <w:rPr>
          <w:rFonts w:ascii="Courier New" w:cs="Courier New" w:eastAsia="Courier New" w:hAnsi="Courier New"/>
          <w:sz w:val="18"/>
          <w:szCs w:val="18"/>
          <w:color w:val="auto"/>
        </w:rPr>
        <w:t>54</w:t>
      </w:r>
    </w:p>
    <w:p>
      <w:pPr>
        <w:sectPr>
          <w:pgSz w:w="11900" w:h="16838" w:orient="portrait"/>
          <w:cols w:equalWidth="0" w:num="1">
            <w:col w:w="10219"/>
          </w:cols>
          <w:pgMar w:left="240" w:top="514" w:right="1440" w:bottom="1440" w:gutter="0" w:footer="0" w:header="0"/>
        </w:sectPr>
      </w:pPr>
    </w:p>
    <w:bookmarkStart w:id="78" w:name="page79"/>
    <w:bookmarkEnd w:id="78"/>
    <w:p>
      <w:pPr>
        <w:ind w:left="3480"/>
        <w:spacing w:after="0"/>
        <w:rPr>
          <w:sz w:val="20"/>
          <w:szCs w:val="20"/>
          <w:color w:val="auto"/>
        </w:rPr>
      </w:pPr>
      <w:r>
        <w:rPr>
          <w:rFonts w:ascii="Courier New" w:cs="Courier New" w:eastAsia="Courier New" w:hAnsi="Courier New"/>
          <w:sz w:val="18"/>
          <w:szCs w:val="18"/>
          <w:color w:val="auto"/>
        </w:rPr>
        <w:t>ARTICLE EIGHT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CONSOLIDATION, MERGER, SALE OR CONVEYANCE.</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8.1.</w:t>
      </w:r>
      <w:r>
        <w:rPr>
          <w:sz w:val="20"/>
          <w:szCs w:val="20"/>
          <w:color w:val="auto"/>
        </w:rPr>
        <w:tab/>
      </w:r>
      <w:r>
        <w:rPr>
          <w:rFonts w:ascii="Courier New" w:cs="Courier New" w:eastAsia="Courier New" w:hAnsi="Courier New"/>
          <w:sz w:val="16"/>
          <w:szCs w:val="16"/>
          <w:color w:val="auto"/>
        </w:rPr>
        <w:t>Issuer may Consolidate, etc., on</w:t>
      </w:r>
    </w:p>
    <w:p>
      <w:pPr>
        <w:jc w:val="right"/>
        <w:ind w:right="2519"/>
        <w:spacing w:after="0" w:line="238" w:lineRule="auto"/>
        <w:tabs>
          <w:tab w:leader="dot" w:pos="200" w:val="left"/>
        </w:tabs>
        <w:rPr>
          <w:sz w:val="20"/>
          <w:szCs w:val="20"/>
          <w:color w:val="auto"/>
        </w:rPr>
      </w:pPr>
      <w:r>
        <w:rPr>
          <w:rFonts w:ascii="Courier New" w:cs="Courier New" w:eastAsia="Courier New" w:hAnsi="Courier New"/>
          <w:sz w:val="18"/>
          <w:szCs w:val="18"/>
          <w:color w:val="auto"/>
        </w:rPr>
        <w:t>Certain Terms</w:t>
      </w:r>
      <w:r>
        <w:rPr>
          <w:sz w:val="20"/>
          <w:szCs w:val="20"/>
          <w:color w:val="auto"/>
        </w:rPr>
        <w:tab/>
      </w:r>
      <w:r>
        <w:rPr>
          <w:rFonts w:ascii="Courier New" w:cs="Courier New" w:eastAsia="Courier New" w:hAnsi="Courier New"/>
          <w:sz w:val="18"/>
          <w:szCs w:val="18"/>
          <w:color w:val="auto"/>
        </w:rPr>
        <w:t>54</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8.2.</w:t>
        <w:tab/>
        <w:t>Successor Corporation Substituted</w:t>
      </w:r>
      <w:r>
        <w:rPr>
          <w:sz w:val="20"/>
          <w:szCs w:val="20"/>
          <w:color w:val="auto"/>
        </w:rPr>
        <w:tab/>
      </w:r>
      <w:r>
        <w:rPr>
          <w:rFonts w:ascii="Courier New" w:cs="Courier New" w:eastAsia="Courier New" w:hAnsi="Courier New"/>
          <w:sz w:val="18"/>
          <w:szCs w:val="18"/>
          <w:color w:val="auto"/>
        </w:rPr>
        <w:t>55</w:t>
      </w:r>
    </w:p>
    <w:p>
      <w:pPr>
        <w:spacing w:after="0" w:line="237"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8.3.</w:t>
        <w:tab/>
        <w:t>Opinion of Counsel to Trustee</w:t>
      </w:r>
      <w:r>
        <w:rPr>
          <w:sz w:val="20"/>
          <w:szCs w:val="20"/>
          <w:color w:val="auto"/>
        </w:rPr>
        <w:tab/>
      </w: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NINE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SATISFACTION AND DISCHARGE OF INDENTURE;</w:t>
      </w:r>
    </w:p>
    <w:p>
      <w:pPr>
        <w:ind w:left="3280"/>
        <w:spacing w:after="0" w:line="238" w:lineRule="auto"/>
        <w:rPr>
          <w:sz w:val="20"/>
          <w:szCs w:val="20"/>
          <w:color w:val="auto"/>
        </w:rPr>
      </w:pPr>
      <w:r>
        <w:rPr>
          <w:rFonts w:ascii="Courier New" w:cs="Courier New" w:eastAsia="Courier New" w:hAnsi="Courier New"/>
          <w:sz w:val="18"/>
          <w:szCs w:val="18"/>
          <w:color w:val="auto"/>
        </w:rPr>
        <w:t>UNCLAIMED MONEYS.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9.1.</w:t>
      </w:r>
      <w:r>
        <w:rPr>
          <w:sz w:val="20"/>
          <w:szCs w:val="20"/>
          <w:color w:val="auto"/>
        </w:rPr>
        <w:tab/>
      </w:r>
      <w:r>
        <w:rPr>
          <w:rFonts w:ascii="Courier New" w:cs="Courier New" w:eastAsia="Courier New" w:hAnsi="Courier New"/>
          <w:sz w:val="16"/>
          <w:szCs w:val="16"/>
          <w:color w:val="auto"/>
        </w:rPr>
        <w:t>Satisfaction and Discharge of</w:t>
      </w:r>
    </w:p>
    <w:p>
      <w:pPr>
        <w:jc w:val="right"/>
        <w:ind w:right="2519"/>
        <w:spacing w:after="0" w:line="238" w:lineRule="auto"/>
        <w:tabs>
          <w:tab w:leader="dot" w:pos="200" w:val="left"/>
        </w:tabs>
        <w:rPr>
          <w:sz w:val="20"/>
          <w:szCs w:val="20"/>
          <w:color w:val="auto"/>
        </w:rPr>
      </w:pPr>
      <w:r>
        <w:rPr>
          <w:rFonts w:ascii="Courier New" w:cs="Courier New" w:eastAsia="Courier New" w:hAnsi="Courier New"/>
          <w:sz w:val="18"/>
          <w:szCs w:val="18"/>
          <w:color w:val="auto"/>
        </w:rPr>
        <w:t>Indenture</w:t>
      </w:r>
      <w:r>
        <w:rPr>
          <w:sz w:val="20"/>
          <w:szCs w:val="20"/>
          <w:color w:val="auto"/>
        </w:rPr>
        <w:tab/>
      </w:r>
      <w:r>
        <w:rPr>
          <w:rFonts w:ascii="Courier New" w:cs="Courier New" w:eastAsia="Courier New" w:hAnsi="Courier New"/>
          <w:sz w:val="18"/>
          <w:szCs w:val="18"/>
          <w:color w:val="auto"/>
        </w:rPr>
        <w:t>56</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9.2.</w:t>
      </w:r>
      <w:r>
        <w:rPr>
          <w:sz w:val="20"/>
          <w:szCs w:val="20"/>
          <w:color w:val="auto"/>
        </w:rPr>
        <w:tab/>
      </w:r>
      <w:r>
        <w:rPr>
          <w:rFonts w:ascii="Courier New" w:cs="Courier New" w:eastAsia="Courier New" w:hAnsi="Courier New"/>
          <w:sz w:val="16"/>
          <w:szCs w:val="16"/>
          <w:color w:val="auto"/>
        </w:rPr>
        <w:t>Application by Trustee of Funds</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Deposited for Payment of Securities</w:t>
      </w:r>
      <w:r>
        <w:rPr>
          <w:sz w:val="20"/>
          <w:szCs w:val="20"/>
          <w:color w:val="auto"/>
        </w:rPr>
        <w:tab/>
      </w:r>
      <w:r>
        <w:rPr>
          <w:rFonts w:ascii="Courier New" w:cs="Courier New" w:eastAsia="Courier New" w:hAnsi="Courier New"/>
          <w:sz w:val="18"/>
          <w:szCs w:val="18"/>
          <w:color w:val="auto"/>
        </w:rPr>
        <w:t>57</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9.3.</w:t>
      </w:r>
      <w:r>
        <w:rPr>
          <w:sz w:val="20"/>
          <w:szCs w:val="20"/>
          <w:color w:val="auto"/>
        </w:rPr>
        <w:tab/>
      </w:r>
      <w:r>
        <w:rPr>
          <w:rFonts w:ascii="Courier New" w:cs="Courier New" w:eastAsia="Courier New" w:hAnsi="Courier New"/>
          <w:sz w:val="16"/>
          <w:szCs w:val="16"/>
          <w:color w:val="auto"/>
        </w:rPr>
        <w:t>Repayment of Moneys Held by Paying</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Agent</w:t>
      </w:r>
      <w:r>
        <w:rPr>
          <w:sz w:val="20"/>
          <w:szCs w:val="20"/>
          <w:color w:val="auto"/>
        </w:rPr>
        <w:tab/>
      </w:r>
      <w:r>
        <w:rPr>
          <w:rFonts w:ascii="Courier New" w:cs="Courier New" w:eastAsia="Courier New" w:hAnsi="Courier New"/>
          <w:sz w:val="18"/>
          <w:szCs w:val="18"/>
          <w:color w:val="auto"/>
        </w:rPr>
        <w:t>58</w:t>
      </w:r>
    </w:p>
    <w:p>
      <w:pPr>
        <w:spacing w:after="0"/>
        <w:tabs>
          <w:tab w:leader="none" w:pos="1560" w:val="left"/>
        </w:tabs>
        <w:rPr>
          <w:sz w:val="20"/>
          <w:szCs w:val="20"/>
          <w:color w:val="auto"/>
        </w:rPr>
      </w:pPr>
      <w:r>
        <w:rPr>
          <w:rFonts w:ascii="Courier New" w:cs="Courier New" w:eastAsia="Courier New" w:hAnsi="Courier New"/>
          <w:sz w:val="18"/>
          <w:szCs w:val="18"/>
          <w:color w:val="auto"/>
        </w:rPr>
        <w:t>SECTION 9.4.</w:t>
      </w:r>
      <w:r>
        <w:rPr>
          <w:sz w:val="20"/>
          <w:szCs w:val="20"/>
          <w:color w:val="auto"/>
        </w:rPr>
        <w:tab/>
      </w:r>
      <w:r>
        <w:rPr>
          <w:rFonts w:ascii="Courier New" w:cs="Courier New" w:eastAsia="Courier New" w:hAnsi="Courier New"/>
          <w:sz w:val="16"/>
          <w:szCs w:val="16"/>
          <w:color w:val="auto"/>
        </w:rPr>
        <w:t>Return of Moneys Held By Trustee and</w:t>
      </w:r>
    </w:p>
    <w:p>
      <w:pPr>
        <w:ind w:left="2440"/>
        <w:spacing w:after="0"/>
        <w:rPr>
          <w:sz w:val="20"/>
          <w:szCs w:val="20"/>
          <w:color w:val="auto"/>
        </w:rPr>
      </w:pPr>
      <w:r>
        <w:rPr>
          <w:rFonts w:ascii="Courier New" w:cs="Courier New" w:eastAsia="Courier New" w:hAnsi="Courier New"/>
          <w:sz w:val="18"/>
          <w:szCs w:val="18"/>
          <w:color w:val="auto"/>
        </w:rPr>
        <w:t>Paying Agent Unclaimed for Two</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Years</w:t>
      </w:r>
      <w:r>
        <w:rPr>
          <w:sz w:val="20"/>
          <w:szCs w:val="20"/>
          <w:color w:val="auto"/>
        </w:rPr>
        <w:tab/>
      </w: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TEN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MISCELLANEOUS PROVISIONS.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10.1.</w:t>
      </w:r>
      <w:r>
        <w:rPr>
          <w:sz w:val="20"/>
          <w:szCs w:val="20"/>
          <w:color w:val="auto"/>
        </w:rPr>
        <w:tab/>
      </w:r>
      <w:r>
        <w:rPr>
          <w:rFonts w:ascii="Courier New" w:cs="Courier New" w:eastAsia="Courier New" w:hAnsi="Courier New"/>
          <w:sz w:val="16"/>
          <w:szCs w:val="16"/>
          <w:color w:val="auto"/>
        </w:rPr>
        <w:t>Incorporators, Stockholders, Officers</w:t>
      </w:r>
    </w:p>
    <w:p>
      <w:pPr>
        <w:ind w:left="2440"/>
        <w:spacing w:after="0" w:line="238" w:lineRule="auto"/>
        <w:rPr>
          <w:sz w:val="20"/>
          <w:szCs w:val="20"/>
          <w:color w:val="auto"/>
        </w:rPr>
      </w:pPr>
      <w:r>
        <w:rPr>
          <w:rFonts w:ascii="Courier New" w:cs="Courier New" w:eastAsia="Courier New" w:hAnsi="Courier New"/>
          <w:sz w:val="18"/>
          <w:szCs w:val="18"/>
          <w:color w:val="auto"/>
        </w:rPr>
        <w:t>and Directors of Issuer Exempt from</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Individual Liability</w:t>
      </w:r>
      <w:r>
        <w:rPr>
          <w:sz w:val="20"/>
          <w:szCs w:val="20"/>
          <w:color w:val="auto"/>
        </w:rPr>
        <w:tab/>
      </w:r>
      <w:r>
        <w:rPr>
          <w:rFonts w:ascii="Courier New" w:cs="Courier New" w:eastAsia="Courier New" w:hAnsi="Courier New"/>
          <w:sz w:val="18"/>
          <w:szCs w:val="18"/>
          <w:color w:val="auto"/>
        </w:rPr>
        <w:t>58</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10.2.</w:t>
      </w:r>
      <w:r>
        <w:rPr>
          <w:sz w:val="20"/>
          <w:szCs w:val="20"/>
          <w:color w:val="auto"/>
        </w:rPr>
        <w:tab/>
      </w:r>
      <w:r>
        <w:rPr>
          <w:rFonts w:ascii="Courier New" w:cs="Courier New" w:eastAsia="Courier New" w:hAnsi="Courier New"/>
          <w:sz w:val="16"/>
          <w:szCs w:val="16"/>
          <w:color w:val="auto"/>
        </w:rPr>
        <w:t>Provisions of Indenture for the Sole</w:t>
      </w:r>
    </w:p>
    <w:p>
      <w:pPr>
        <w:ind w:left="2440"/>
        <w:spacing w:after="0" w:line="238" w:lineRule="auto"/>
        <w:rPr>
          <w:sz w:val="20"/>
          <w:szCs w:val="20"/>
          <w:color w:val="auto"/>
        </w:rPr>
      </w:pPr>
      <w:r>
        <w:rPr>
          <w:rFonts w:ascii="Courier New" w:cs="Courier New" w:eastAsia="Courier New" w:hAnsi="Courier New"/>
          <w:sz w:val="18"/>
          <w:szCs w:val="18"/>
          <w:color w:val="auto"/>
        </w:rPr>
        <w:t>Benefit of Parties and Security-</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holders</w:t>
      </w:r>
      <w:r>
        <w:rPr>
          <w:sz w:val="20"/>
          <w:szCs w:val="20"/>
          <w:color w:val="auto"/>
        </w:rPr>
        <w:tab/>
      </w:r>
      <w:r>
        <w:rPr>
          <w:rFonts w:ascii="Courier New" w:cs="Courier New" w:eastAsia="Courier New" w:hAnsi="Courier New"/>
          <w:sz w:val="18"/>
          <w:szCs w:val="18"/>
          <w:color w:val="auto"/>
        </w:rPr>
        <w:t>59</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10.3.</w:t>
      </w:r>
      <w:r>
        <w:rPr>
          <w:sz w:val="20"/>
          <w:szCs w:val="20"/>
          <w:color w:val="auto"/>
        </w:rPr>
        <w:tab/>
      </w:r>
      <w:r>
        <w:rPr>
          <w:rFonts w:ascii="Courier New" w:cs="Courier New" w:eastAsia="Courier New" w:hAnsi="Courier New"/>
          <w:sz w:val="16"/>
          <w:szCs w:val="16"/>
          <w:color w:val="auto"/>
        </w:rPr>
        <w:t>Successors and Assigns of Issuer</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Bound by Indenture</w:t>
      </w:r>
      <w:r>
        <w:rPr>
          <w:sz w:val="20"/>
          <w:szCs w:val="20"/>
          <w:color w:val="auto"/>
        </w:rPr>
        <w:tab/>
      </w:r>
      <w:r>
        <w:rPr>
          <w:rFonts w:ascii="Courier New" w:cs="Courier New" w:eastAsia="Courier New" w:hAnsi="Courier New"/>
          <w:sz w:val="18"/>
          <w:szCs w:val="18"/>
          <w:color w:val="auto"/>
        </w:rPr>
        <w:t>59</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10.4.</w:t>
      </w:r>
      <w:r>
        <w:rPr>
          <w:sz w:val="20"/>
          <w:szCs w:val="20"/>
          <w:color w:val="auto"/>
        </w:rPr>
        <w:tab/>
      </w:r>
      <w:r>
        <w:rPr>
          <w:rFonts w:ascii="Courier New" w:cs="Courier New" w:eastAsia="Courier New" w:hAnsi="Courier New"/>
          <w:sz w:val="16"/>
          <w:szCs w:val="16"/>
          <w:color w:val="auto"/>
        </w:rPr>
        <w:t>Notices and Demands on Issuer,</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Trustee and Securityholders</w:t>
      </w:r>
      <w:r>
        <w:rPr>
          <w:sz w:val="20"/>
          <w:szCs w:val="20"/>
          <w:color w:val="auto"/>
        </w:rPr>
        <w:tab/>
      </w:r>
      <w:r>
        <w:rPr>
          <w:rFonts w:ascii="Courier New" w:cs="Courier New" w:eastAsia="Courier New" w:hAnsi="Courier New"/>
          <w:sz w:val="18"/>
          <w:szCs w:val="18"/>
          <w:color w:val="auto"/>
        </w:rPr>
        <w:t>59</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10.5.</w:t>
      </w:r>
      <w:r>
        <w:rPr>
          <w:sz w:val="20"/>
          <w:szCs w:val="20"/>
          <w:color w:val="auto"/>
        </w:rPr>
        <w:tab/>
      </w:r>
      <w:r>
        <w:rPr>
          <w:rFonts w:ascii="Courier New" w:cs="Courier New" w:eastAsia="Courier New" w:hAnsi="Courier New"/>
          <w:sz w:val="16"/>
          <w:szCs w:val="16"/>
          <w:color w:val="auto"/>
        </w:rPr>
        <w:t>Officers' Certificates and Opinions</w:t>
      </w:r>
    </w:p>
    <w:p>
      <w:pPr>
        <w:ind w:left="2440"/>
        <w:spacing w:after="0" w:line="238" w:lineRule="auto"/>
        <w:rPr>
          <w:sz w:val="20"/>
          <w:szCs w:val="20"/>
          <w:color w:val="auto"/>
        </w:rPr>
      </w:pPr>
      <w:r>
        <w:rPr>
          <w:rFonts w:ascii="Courier New" w:cs="Courier New" w:eastAsia="Courier New" w:hAnsi="Courier New"/>
          <w:sz w:val="18"/>
          <w:szCs w:val="18"/>
          <w:color w:val="auto"/>
        </w:rPr>
        <w:t>of Counsel; Statements to Be Con-</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tained Therein</w:t>
      </w:r>
      <w:r>
        <w:rPr>
          <w:sz w:val="20"/>
          <w:szCs w:val="20"/>
          <w:color w:val="auto"/>
        </w:rPr>
        <w:tab/>
      </w:r>
      <w:r>
        <w:rPr>
          <w:rFonts w:ascii="Courier New" w:cs="Courier New" w:eastAsia="Courier New" w:hAnsi="Courier New"/>
          <w:sz w:val="18"/>
          <w:szCs w:val="18"/>
          <w:color w:val="auto"/>
        </w:rPr>
        <w:t>60</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10.6.</w:t>
      </w:r>
      <w:r>
        <w:rPr>
          <w:sz w:val="20"/>
          <w:szCs w:val="20"/>
          <w:color w:val="auto"/>
        </w:rPr>
        <w:tab/>
      </w:r>
      <w:r>
        <w:rPr>
          <w:rFonts w:ascii="Courier New" w:cs="Courier New" w:eastAsia="Courier New" w:hAnsi="Courier New"/>
          <w:sz w:val="16"/>
          <w:szCs w:val="16"/>
          <w:color w:val="auto"/>
        </w:rPr>
        <w:t>Payments Due on Saturdays, Sundays</w:t>
      </w:r>
    </w:p>
    <w:p>
      <w:pPr>
        <w:jc w:val="right"/>
        <w:ind w:right="2519"/>
        <w:spacing w:after="0"/>
        <w:tabs>
          <w:tab w:leader="dot" w:pos="200" w:val="left"/>
        </w:tabs>
        <w:rPr>
          <w:sz w:val="20"/>
          <w:szCs w:val="20"/>
          <w:color w:val="auto"/>
        </w:rPr>
      </w:pPr>
      <w:r>
        <w:rPr>
          <w:rFonts w:ascii="Courier New" w:cs="Courier New" w:eastAsia="Courier New" w:hAnsi="Courier New"/>
          <w:sz w:val="18"/>
          <w:szCs w:val="18"/>
          <w:color w:val="auto"/>
        </w:rPr>
        <w:t>and Holidays</w:t>
      </w:r>
      <w:r>
        <w:rPr>
          <w:sz w:val="20"/>
          <w:szCs w:val="20"/>
          <w:color w:val="auto"/>
        </w:rPr>
        <w:tab/>
      </w:r>
      <w:r>
        <w:rPr>
          <w:rFonts w:ascii="Courier New" w:cs="Courier New" w:eastAsia="Courier New" w:hAnsi="Courier New"/>
          <w:sz w:val="18"/>
          <w:szCs w:val="18"/>
          <w:color w:val="auto"/>
        </w:rPr>
        <w:t>61</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10.7.</w:t>
      </w:r>
      <w:r>
        <w:rPr>
          <w:sz w:val="20"/>
          <w:szCs w:val="20"/>
          <w:color w:val="auto"/>
        </w:rPr>
        <w:tab/>
      </w:r>
      <w:r>
        <w:rPr>
          <w:rFonts w:ascii="Courier New" w:cs="Courier New" w:eastAsia="Courier New" w:hAnsi="Courier New"/>
          <w:sz w:val="16"/>
          <w:szCs w:val="16"/>
          <w:color w:val="auto"/>
        </w:rPr>
        <w:t>Conflict of Any Provision of</w:t>
      </w:r>
    </w:p>
    <w:p>
      <w:pPr>
        <w:ind w:left="2440"/>
        <w:spacing w:after="0"/>
        <w:rPr>
          <w:sz w:val="20"/>
          <w:szCs w:val="20"/>
          <w:color w:val="auto"/>
        </w:rPr>
      </w:pPr>
      <w:r>
        <w:rPr>
          <w:rFonts w:ascii="Courier New" w:cs="Courier New" w:eastAsia="Courier New" w:hAnsi="Courier New"/>
          <w:sz w:val="18"/>
          <w:szCs w:val="18"/>
          <w:color w:val="auto"/>
        </w:rPr>
        <w:t>Indenture with Trust Indenture</w:t>
      </w:r>
    </w:p>
    <w:p>
      <w:pPr>
        <w:jc w:val="right"/>
        <w:ind w:right="2519"/>
        <w:spacing w:after="0" w:line="237" w:lineRule="auto"/>
        <w:tabs>
          <w:tab w:leader="dot" w:pos="200" w:val="left"/>
        </w:tabs>
        <w:rPr>
          <w:sz w:val="20"/>
          <w:szCs w:val="20"/>
          <w:color w:val="auto"/>
        </w:rPr>
      </w:pPr>
      <w:r>
        <w:rPr>
          <w:rFonts w:ascii="Courier New" w:cs="Courier New" w:eastAsia="Courier New" w:hAnsi="Courier New"/>
          <w:sz w:val="18"/>
          <w:szCs w:val="18"/>
          <w:color w:val="auto"/>
        </w:rPr>
        <w:t>Act of 1939</w:t>
      </w:r>
      <w:r>
        <w:rPr>
          <w:sz w:val="20"/>
          <w:szCs w:val="20"/>
          <w:color w:val="auto"/>
        </w:rPr>
        <w:tab/>
      </w:r>
      <w:r>
        <w:rPr>
          <w:rFonts w:ascii="Courier New" w:cs="Courier New" w:eastAsia="Courier New" w:hAnsi="Courier New"/>
          <w:sz w:val="18"/>
          <w:szCs w:val="18"/>
          <w:color w:val="auto"/>
        </w:rPr>
        <w:t>62</w:t>
      </w:r>
    </w:p>
    <w:p>
      <w:pPr>
        <w:spacing w:after="0" w:line="238" w:lineRule="auto"/>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10.8.</w:t>
        <w:tab/>
        <w:t>New York Law to Govern</w:t>
      </w:r>
      <w:r>
        <w:rPr>
          <w:sz w:val="20"/>
          <w:szCs w:val="20"/>
          <w:color w:val="auto"/>
        </w:rPr>
        <w:tab/>
      </w:r>
      <w:r>
        <w:rPr>
          <w:rFonts w:ascii="Courier New" w:cs="Courier New" w:eastAsia="Courier New" w:hAnsi="Courier New"/>
          <w:sz w:val="18"/>
          <w:szCs w:val="18"/>
          <w:color w:val="auto"/>
        </w:rPr>
        <w:t>62</w:t>
      </w: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10.9.</w:t>
        <w:tab/>
        <w:t>Counterparts</w:t>
      </w:r>
      <w:r>
        <w:rPr>
          <w:sz w:val="20"/>
          <w:szCs w:val="20"/>
          <w:color w:val="auto"/>
        </w:rPr>
        <w:tab/>
      </w:r>
      <w:r>
        <w:rPr>
          <w:rFonts w:ascii="Courier New" w:cs="Courier New" w:eastAsia="Courier New" w:hAnsi="Courier New"/>
          <w:sz w:val="18"/>
          <w:szCs w:val="18"/>
          <w:color w:val="auto"/>
        </w:rPr>
        <w:t>62</w:t>
      </w:r>
    </w:p>
    <w:p>
      <w:pPr>
        <w:spacing w:after="0" w:line="237" w:lineRule="auto"/>
        <w:tabs>
          <w:tab w:leader="dot" w:pos="7460" w:val="left"/>
        </w:tabs>
        <w:rPr>
          <w:sz w:val="20"/>
          <w:szCs w:val="20"/>
          <w:color w:val="auto"/>
        </w:rPr>
      </w:pPr>
      <w:r>
        <w:rPr>
          <w:rFonts w:ascii="Courier New" w:cs="Courier New" w:eastAsia="Courier New" w:hAnsi="Courier New"/>
          <w:sz w:val="18"/>
          <w:szCs w:val="18"/>
          <w:color w:val="auto"/>
        </w:rPr>
        <w:t>SECTION 10.10. Effect of Headings</w:t>
      </w:r>
      <w:r>
        <w:rPr>
          <w:sz w:val="20"/>
          <w:szCs w:val="20"/>
          <w:color w:val="auto"/>
        </w:rPr>
        <w:tab/>
      </w:r>
      <w:r>
        <w:rPr>
          <w:rFonts w:ascii="Courier New" w:cs="Courier New" w:eastAsia="Courier New" w:hAnsi="Courier New"/>
          <w:sz w:val="18"/>
          <w:szCs w:val="18"/>
          <w:color w:val="auto"/>
        </w:rPr>
        <w:t>62</w:t>
      </w:r>
    </w:p>
    <w:p>
      <w:pPr>
        <w:spacing w:after="0"/>
        <w:tabs>
          <w:tab w:leader="dot" w:pos="7460" w:val="left"/>
        </w:tabs>
        <w:rPr>
          <w:sz w:val="20"/>
          <w:szCs w:val="20"/>
          <w:color w:val="auto"/>
        </w:rPr>
      </w:pPr>
      <w:r>
        <w:rPr>
          <w:rFonts w:ascii="Courier New" w:cs="Courier New" w:eastAsia="Courier New" w:hAnsi="Courier New"/>
          <w:sz w:val="18"/>
          <w:szCs w:val="18"/>
          <w:color w:val="auto"/>
        </w:rPr>
        <w:t>SECTION 10.11. Separability Clause</w:t>
      </w:r>
      <w:r>
        <w:rPr>
          <w:sz w:val="20"/>
          <w:szCs w:val="20"/>
          <w:color w:val="auto"/>
        </w:rPr>
        <w:tab/>
      </w: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ELEVEN</w:t>
      </w:r>
    </w:p>
    <w:p>
      <w:pPr>
        <w:sectPr>
          <w:pgSz w:w="11900" w:h="16838" w:orient="portrait"/>
          <w:cols w:equalWidth="0" w:num="1">
            <w:col w:w="10219"/>
          </w:cols>
          <w:pgMar w:left="240" w:top="717" w:right="1440" w:bottom="1440" w:gutter="0" w:footer="0" w:header="0"/>
        </w:sectPr>
      </w:pPr>
    </w:p>
    <w:bookmarkStart w:id="79" w:name="page80"/>
    <w:bookmarkEnd w:id="79"/>
    <w:p>
      <w:pPr>
        <w:ind w:left="1900"/>
        <w:spacing w:after="0"/>
        <w:rPr>
          <w:sz w:val="20"/>
          <w:szCs w:val="20"/>
          <w:color w:val="auto"/>
        </w:rPr>
      </w:pPr>
      <w:r>
        <w:rPr>
          <w:rFonts w:ascii="Courier New" w:cs="Courier New" w:eastAsia="Courier New" w:hAnsi="Courier New"/>
          <w:sz w:val="18"/>
          <w:szCs w:val="18"/>
          <w:color w:val="auto"/>
        </w:rPr>
        <w:t>REDEMPTION OF SECURITIES AND SINKING FUNDS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11.1.</w:t>
        <w:tab/>
        <w:t>Applicability of Article</w:t>
      </w:r>
      <w:r>
        <w:rPr>
          <w:sz w:val="20"/>
          <w:szCs w:val="20"/>
          <w:color w:val="auto"/>
        </w:rPr>
        <w:tab/>
      </w:r>
      <w:r>
        <w:rPr>
          <w:rFonts w:ascii="Courier New" w:cs="Courier New" w:eastAsia="Courier New" w:hAnsi="Courier New"/>
          <w:sz w:val="18"/>
          <w:szCs w:val="18"/>
          <w:color w:val="auto"/>
        </w:rPr>
        <w:t>62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11.2.</w:t>
      </w:r>
      <w:r>
        <w:rPr>
          <w:sz w:val="20"/>
          <w:szCs w:val="20"/>
          <w:color w:val="auto"/>
        </w:rPr>
        <w:tab/>
      </w:r>
      <w:r>
        <w:rPr>
          <w:rFonts w:ascii="Courier New" w:cs="Courier New" w:eastAsia="Courier New" w:hAnsi="Courier New"/>
          <w:sz w:val="16"/>
          <w:szCs w:val="16"/>
          <w:color w:val="auto"/>
        </w:rPr>
        <w:t>Notice of Redemption; Partial</w:t>
      </w:r>
    </w:p>
    <w:p>
      <w:pPr>
        <w:ind w:left="2440"/>
        <w:spacing w:after="0"/>
        <w:tabs>
          <w:tab w:leader="dot" w:pos="7460" w:val="left"/>
        </w:tabs>
        <w:rPr>
          <w:sz w:val="20"/>
          <w:szCs w:val="20"/>
          <w:color w:val="auto"/>
        </w:rPr>
      </w:pPr>
      <w:r>
        <w:rPr>
          <w:rFonts w:ascii="Courier New" w:cs="Courier New" w:eastAsia="Courier New" w:hAnsi="Courier New"/>
          <w:sz w:val="18"/>
          <w:szCs w:val="18"/>
          <w:color w:val="auto"/>
        </w:rPr>
        <w:t>Redemptions</w:t>
      </w:r>
      <w:r>
        <w:rPr>
          <w:sz w:val="20"/>
          <w:szCs w:val="20"/>
          <w:color w:val="auto"/>
        </w:rPr>
        <w:tab/>
      </w:r>
      <w:r>
        <w:rPr>
          <w:rFonts w:ascii="Courier New" w:cs="Courier New" w:eastAsia="Courier New" w:hAnsi="Courier New"/>
          <w:sz w:val="18"/>
          <w:szCs w:val="18"/>
          <w:color w:val="auto"/>
        </w:rPr>
        <w:t>62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11.3.</w:t>
      </w:r>
      <w:r>
        <w:rPr>
          <w:sz w:val="20"/>
          <w:szCs w:val="20"/>
          <w:color w:val="auto"/>
        </w:rPr>
        <w:tab/>
      </w:r>
      <w:r>
        <w:rPr>
          <w:rFonts w:ascii="Courier New" w:cs="Courier New" w:eastAsia="Courier New" w:hAnsi="Courier New"/>
          <w:sz w:val="16"/>
          <w:szCs w:val="16"/>
          <w:color w:val="auto"/>
        </w:rPr>
        <w:t>Payment of Securities Called for</w:t>
      </w:r>
    </w:p>
    <w:p>
      <w:pPr>
        <w:ind w:left="2440"/>
        <w:spacing w:after="0" w:line="238" w:lineRule="auto"/>
        <w:tabs>
          <w:tab w:leader="dot" w:pos="7460" w:val="left"/>
        </w:tabs>
        <w:rPr>
          <w:sz w:val="20"/>
          <w:szCs w:val="20"/>
          <w:color w:val="auto"/>
        </w:rPr>
      </w:pPr>
      <w:r>
        <w:rPr>
          <w:rFonts w:ascii="Courier New" w:cs="Courier New" w:eastAsia="Courier New" w:hAnsi="Courier New"/>
          <w:sz w:val="18"/>
          <w:szCs w:val="18"/>
          <w:color w:val="auto"/>
        </w:rPr>
        <w:t>Redemption</w:t>
      </w:r>
      <w:r>
        <w:rPr>
          <w:sz w:val="20"/>
          <w:szCs w:val="20"/>
          <w:color w:val="auto"/>
        </w:rPr>
        <w:tab/>
      </w:r>
      <w:r>
        <w:rPr>
          <w:rFonts w:ascii="Courier New" w:cs="Courier New" w:eastAsia="Courier New" w:hAnsi="Courier New"/>
          <w:sz w:val="18"/>
          <w:szCs w:val="18"/>
          <w:color w:val="auto"/>
        </w:rPr>
        <w:t>64</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11.4.</w:t>
      </w:r>
      <w:r>
        <w:rPr>
          <w:sz w:val="20"/>
          <w:szCs w:val="20"/>
          <w:color w:val="auto"/>
        </w:rPr>
        <w:tab/>
      </w:r>
      <w:r>
        <w:rPr>
          <w:rFonts w:ascii="Courier New" w:cs="Courier New" w:eastAsia="Courier New" w:hAnsi="Courier New"/>
          <w:sz w:val="16"/>
          <w:szCs w:val="16"/>
          <w:color w:val="auto"/>
        </w:rPr>
        <w:t>Exclusion of Certain Securities from</w:t>
      </w:r>
    </w:p>
    <w:p>
      <w:pPr>
        <w:ind w:left="2440"/>
        <w:spacing w:after="0" w:line="237" w:lineRule="auto"/>
        <w:rPr>
          <w:sz w:val="20"/>
          <w:szCs w:val="20"/>
          <w:color w:val="auto"/>
        </w:rPr>
      </w:pPr>
      <w:r>
        <w:rPr>
          <w:rFonts w:ascii="Courier New" w:cs="Courier New" w:eastAsia="Courier New" w:hAnsi="Courier New"/>
          <w:sz w:val="18"/>
          <w:szCs w:val="18"/>
          <w:color w:val="auto"/>
        </w:rPr>
        <w:t>Eligibility for Selection for</w:t>
      </w:r>
    </w:p>
    <w:p>
      <w:pPr>
        <w:ind w:left="2440"/>
        <w:spacing w:after="0"/>
        <w:tabs>
          <w:tab w:leader="dot" w:pos="7460" w:val="left"/>
        </w:tabs>
        <w:rPr>
          <w:sz w:val="20"/>
          <w:szCs w:val="20"/>
          <w:color w:val="auto"/>
        </w:rPr>
      </w:pPr>
      <w:r>
        <w:rPr>
          <w:rFonts w:ascii="Courier New" w:cs="Courier New" w:eastAsia="Courier New" w:hAnsi="Courier New"/>
          <w:sz w:val="18"/>
          <w:szCs w:val="18"/>
          <w:color w:val="auto"/>
        </w:rPr>
        <w:t>Redemption</w:t>
      </w:r>
      <w:r>
        <w:rPr>
          <w:sz w:val="20"/>
          <w:szCs w:val="20"/>
          <w:color w:val="auto"/>
        </w:rPr>
        <w:tab/>
      </w:r>
      <w:r>
        <w:rPr>
          <w:rFonts w:ascii="Courier New" w:cs="Courier New" w:eastAsia="Courier New" w:hAnsi="Courier New"/>
          <w:sz w:val="18"/>
          <w:szCs w:val="18"/>
          <w:color w:val="auto"/>
        </w:rPr>
        <w:t>65</w:t>
      </w:r>
    </w:p>
    <w:p>
      <w:pPr>
        <w:spacing w:after="0"/>
        <w:tabs>
          <w:tab w:leader="none" w:pos="1560" w:val="left"/>
        </w:tabs>
        <w:rPr>
          <w:sz w:val="20"/>
          <w:szCs w:val="20"/>
          <w:color w:val="auto"/>
        </w:rPr>
      </w:pPr>
      <w:r>
        <w:rPr>
          <w:rFonts w:ascii="Courier New" w:cs="Courier New" w:eastAsia="Courier New" w:hAnsi="Courier New"/>
          <w:sz w:val="18"/>
          <w:szCs w:val="18"/>
          <w:color w:val="auto"/>
        </w:rPr>
        <w:t>SECTION 11.5.</w:t>
      </w:r>
      <w:r>
        <w:rPr>
          <w:sz w:val="20"/>
          <w:szCs w:val="20"/>
          <w:color w:val="auto"/>
        </w:rPr>
        <w:tab/>
      </w:r>
      <w:r>
        <w:rPr>
          <w:rFonts w:ascii="Courier New" w:cs="Courier New" w:eastAsia="Courier New" w:hAnsi="Courier New"/>
          <w:sz w:val="16"/>
          <w:szCs w:val="16"/>
          <w:color w:val="auto"/>
        </w:rPr>
        <w:t>Mandatory and Optional Sinking</w:t>
      </w:r>
    </w:p>
    <w:p>
      <w:pPr>
        <w:ind w:left="2440"/>
        <w:spacing w:after="0"/>
        <w:tabs>
          <w:tab w:leader="dot" w:pos="7460" w:val="left"/>
        </w:tabs>
        <w:rPr>
          <w:sz w:val="20"/>
          <w:szCs w:val="20"/>
          <w:color w:val="auto"/>
        </w:rPr>
      </w:pPr>
      <w:r>
        <w:rPr>
          <w:rFonts w:ascii="Courier New" w:cs="Courier New" w:eastAsia="Courier New" w:hAnsi="Courier New"/>
          <w:sz w:val="18"/>
          <w:szCs w:val="18"/>
          <w:color w:val="auto"/>
        </w:rPr>
        <w:t>Funds</w:t>
      </w:r>
      <w:r>
        <w:rPr>
          <w:sz w:val="20"/>
          <w:szCs w:val="20"/>
          <w:color w:val="auto"/>
        </w:rPr>
        <w:tab/>
      </w: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TWELVE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DEFEASANCE</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SECTION 12.1.</w:t>
      </w:r>
      <w:r>
        <w:rPr>
          <w:sz w:val="20"/>
          <w:szCs w:val="20"/>
          <w:color w:val="auto"/>
        </w:rPr>
        <w:tab/>
      </w:r>
      <w:r>
        <w:rPr>
          <w:rFonts w:ascii="Courier New" w:cs="Courier New" w:eastAsia="Courier New" w:hAnsi="Courier New"/>
          <w:sz w:val="16"/>
          <w:szCs w:val="16"/>
          <w:color w:val="auto"/>
        </w:rPr>
        <w:t>Issuer's Option to Effect</w:t>
      </w:r>
    </w:p>
    <w:p>
      <w:pPr>
        <w:ind w:left="2440"/>
        <w:spacing w:after="0" w:line="238" w:lineRule="auto"/>
        <w:tabs>
          <w:tab w:leader="dot" w:pos="7460" w:val="left"/>
        </w:tabs>
        <w:rPr>
          <w:sz w:val="20"/>
          <w:szCs w:val="20"/>
          <w:color w:val="auto"/>
        </w:rPr>
      </w:pPr>
      <w:r>
        <w:rPr>
          <w:rFonts w:ascii="Courier New" w:cs="Courier New" w:eastAsia="Courier New" w:hAnsi="Courier New"/>
          <w:sz w:val="18"/>
          <w:szCs w:val="18"/>
          <w:color w:val="auto"/>
        </w:rPr>
        <w:t>Defeasance</w:t>
      </w:r>
      <w:r>
        <w:rPr>
          <w:sz w:val="20"/>
          <w:szCs w:val="20"/>
          <w:color w:val="auto"/>
        </w:rPr>
        <w:tab/>
      </w:r>
      <w:r>
        <w:rPr>
          <w:rFonts w:ascii="Courier New" w:cs="Courier New" w:eastAsia="Courier New" w:hAnsi="Courier New"/>
          <w:sz w:val="18"/>
          <w:szCs w:val="18"/>
          <w:color w:val="auto"/>
        </w:rPr>
        <w:t>68</w:t>
      </w:r>
    </w:p>
    <w:p>
      <w:pPr>
        <w:spacing w:after="0"/>
        <w:tabs>
          <w:tab w:leader="none" w:pos="2200" w:val="left"/>
          <w:tab w:leader="dot" w:pos="7460" w:val="left"/>
        </w:tabs>
        <w:rPr>
          <w:sz w:val="20"/>
          <w:szCs w:val="20"/>
          <w:color w:val="auto"/>
        </w:rPr>
      </w:pPr>
      <w:r>
        <w:rPr>
          <w:rFonts w:ascii="Courier New" w:cs="Courier New" w:eastAsia="Courier New" w:hAnsi="Courier New"/>
          <w:sz w:val="18"/>
          <w:szCs w:val="18"/>
          <w:color w:val="auto"/>
        </w:rPr>
        <w:t>SECTION 12.2.</w:t>
      </w:r>
      <w:r>
        <w:rPr>
          <w:sz w:val="20"/>
          <w:szCs w:val="20"/>
          <w:color w:val="auto"/>
        </w:rPr>
        <w:tab/>
      </w:r>
      <w:r>
        <w:rPr>
          <w:rFonts w:ascii="Courier New" w:cs="Courier New" w:eastAsia="Courier New" w:hAnsi="Courier New"/>
          <w:sz w:val="18"/>
          <w:szCs w:val="18"/>
          <w:color w:val="auto"/>
        </w:rPr>
        <w:t>Defeasances and Discharge</w:t>
      </w:r>
      <w:r>
        <w:rPr>
          <w:sz w:val="20"/>
          <w:szCs w:val="20"/>
          <w:color w:val="auto"/>
        </w:rPr>
        <w:tab/>
      </w:r>
      <w:r>
        <w:rPr>
          <w:rFonts w:ascii="Courier New" w:cs="Courier New" w:eastAsia="Courier New" w:hAnsi="Courier New"/>
          <w:sz w:val="18"/>
          <w:szCs w:val="18"/>
          <w:color w:val="auto"/>
        </w:rPr>
        <w:t>68</w:t>
      </w:r>
    </w:p>
    <w:p>
      <w:pPr>
        <w:spacing w:after="0" w:line="237" w:lineRule="auto"/>
        <w:tabs>
          <w:tab w:leader="none" w:pos="2200" w:val="left"/>
          <w:tab w:leader="dot" w:pos="7460" w:val="left"/>
        </w:tabs>
        <w:rPr>
          <w:sz w:val="20"/>
          <w:szCs w:val="20"/>
          <w:color w:val="auto"/>
        </w:rPr>
      </w:pPr>
      <w:r>
        <w:rPr>
          <w:rFonts w:ascii="Courier New" w:cs="Courier New" w:eastAsia="Courier New" w:hAnsi="Courier New"/>
          <w:sz w:val="18"/>
          <w:szCs w:val="18"/>
          <w:color w:val="auto"/>
        </w:rPr>
        <w:t>SECTION 12.3.</w:t>
      </w:r>
      <w:r>
        <w:rPr>
          <w:sz w:val="20"/>
          <w:szCs w:val="20"/>
          <w:color w:val="auto"/>
        </w:rPr>
        <w:tab/>
      </w:r>
      <w:r>
        <w:rPr>
          <w:rFonts w:ascii="Courier New" w:cs="Courier New" w:eastAsia="Courier New" w:hAnsi="Courier New"/>
          <w:sz w:val="18"/>
          <w:szCs w:val="18"/>
          <w:color w:val="auto"/>
        </w:rPr>
        <w:t>Covenant Defeasance</w:t>
      </w:r>
      <w:r>
        <w:rPr>
          <w:sz w:val="20"/>
          <w:szCs w:val="20"/>
          <w:color w:val="auto"/>
        </w:rPr>
        <w:tab/>
      </w:r>
      <w:r>
        <w:rPr>
          <w:rFonts w:ascii="Courier New" w:cs="Courier New" w:eastAsia="Courier New" w:hAnsi="Courier New"/>
          <w:sz w:val="18"/>
          <w:szCs w:val="18"/>
          <w:color w:val="auto"/>
        </w:rPr>
        <w:t>69</w:t>
      </w:r>
    </w:p>
    <w:p>
      <w:pPr>
        <w:spacing w:after="0" w:line="238" w:lineRule="auto"/>
        <w:tabs>
          <w:tab w:leader="none" w:pos="2200" w:val="left"/>
          <w:tab w:leader="dot" w:pos="7460" w:val="left"/>
        </w:tabs>
        <w:rPr>
          <w:sz w:val="20"/>
          <w:szCs w:val="20"/>
          <w:color w:val="auto"/>
        </w:rPr>
      </w:pPr>
      <w:r>
        <w:rPr>
          <w:rFonts w:ascii="Courier New" w:cs="Courier New" w:eastAsia="Courier New" w:hAnsi="Courier New"/>
          <w:sz w:val="18"/>
          <w:szCs w:val="18"/>
          <w:color w:val="auto"/>
        </w:rPr>
        <w:t>SECTION 12.4.</w:t>
      </w:r>
      <w:r>
        <w:rPr>
          <w:sz w:val="20"/>
          <w:szCs w:val="20"/>
          <w:color w:val="auto"/>
        </w:rPr>
        <w:tab/>
      </w:r>
      <w:r>
        <w:rPr>
          <w:rFonts w:ascii="Courier New" w:cs="Courier New" w:eastAsia="Courier New" w:hAnsi="Courier New"/>
          <w:sz w:val="18"/>
          <w:szCs w:val="18"/>
          <w:color w:val="auto"/>
        </w:rPr>
        <w:t>Conditions to Defeasance</w:t>
      </w:r>
      <w:r>
        <w:rPr>
          <w:sz w:val="20"/>
          <w:szCs w:val="20"/>
          <w:color w:val="auto"/>
        </w:rPr>
        <w:tab/>
      </w:r>
      <w:r>
        <w:rPr>
          <w:rFonts w:ascii="Courier New" w:cs="Courier New" w:eastAsia="Courier New" w:hAnsi="Courier New"/>
          <w:sz w:val="18"/>
          <w:szCs w:val="18"/>
          <w:color w:val="auto"/>
        </w:rPr>
        <w:t>69</w:t>
      </w:r>
    </w:p>
    <w:p>
      <w:pPr>
        <w:spacing w:after="0"/>
        <w:tabs>
          <w:tab w:leader="none" w:pos="2200" w:val="left"/>
        </w:tabs>
        <w:rPr>
          <w:sz w:val="20"/>
          <w:szCs w:val="20"/>
          <w:color w:val="auto"/>
        </w:rPr>
      </w:pPr>
      <w:r>
        <w:rPr>
          <w:rFonts w:ascii="Courier New" w:cs="Courier New" w:eastAsia="Courier New" w:hAnsi="Courier New"/>
          <w:sz w:val="18"/>
          <w:szCs w:val="18"/>
          <w:color w:val="auto"/>
        </w:rPr>
        <w:t>SECTION 12.5.</w:t>
      </w:r>
      <w:r>
        <w:rPr>
          <w:sz w:val="20"/>
          <w:szCs w:val="20"/>
          <w:color w:val="auto"/>
        </w:rPr>
        <w:tab/>
      </w:r>
      <w:r>
        <w:rPr>
          <w:rFonts w:ascii="Courier New" w:cs="Courier New" w:eastAsia="Courier New" w:hAnsi="Courier New"/>
          <w:sz w:val="16"/>
          <w:szCs w:val="16"/>
          <w:color w:val="auto"/>
        </w:rPr>
        <w:t>Deposited Money and U.S. Government</w:t>
      </w:r>
    </w:p>
    <w:p>
      <w:pPr>
        <w:ind w:left="2440"/>
        <w:spacing w:after="0" w:line="237" w:lineRule="auto"/>
        <w:rPr>
          <w:sz w:val="20"/>
          <w:szCs w:val="20"/>
          <w:color w:val="auto"/>
        </w:rPr>
      </w:pPr>
      <w:r>
        <w:rPr>
          <w:rFonts w:ascii="Courier New" w:cs="Courier New" w:eastAsia="Courier New" w:hAnsi="Courier New"/>
          <w:sz w:val="18"/>
          <w:szCs w:val="18"/>
          <w:color w:val="auto"/>
        </w:rPr>
        <w:t>Obligations to be Held in Trust;</w:t>
      </w:r>
    </w:p>
    <w:p>
      <w:pPr>
        <w:ind w:left="2440"/>
        <w:spacing w:after="0"/>
        <w:tabs>
          <w:tab w:leader="dot" w:pos="7460" w:val="left"/>
        </w:tabs>
        <w:rPr>
          <w:sz w:val="20"/>
          <w:szCs w:val="20"/>
          <w:color w:val="auto"/>
        </w:rPr>
      </w:pPr>
      <w:r>
        <w:rPr>
          <w:rFonts w:ascii="Courier New" w:cs="Courier New" w:eastAsia="Courier New" w:hAnsi="Courier New"/>
          <w:sz w:val="18"/>
          <w:szCs w:val="18"/>
          <w:color w:val="auto"/>
        </w:rPr>
        <w:t>Reinstatement; Miscellaneous</w:t>
      </w:r>
      <w:r>
        <w:rPr>
          <w:sz w:val="20"/>
          <w:szCs w:val="20"/>
          <w:color w:val="auto"/>
        </w:rPr>
        <w:tab/>
      </w: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8"/>
          <w:szCs w:val="18"/>
          <w:color w:val="auto"/>
        </w:rPr>
        <w:t>TESTIMONIUM</w:t>
      </w:r>
      <w:r>
        <w:rPr>
          <w:sz w:val="20"/>
          <w:szCs w:val="20"/>
          <w:color w:val="auto"/>
        </w:rPr>
        <w:tab/>
      </w: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8"/>
          <w:szCs w:val="18"/>
          <w:color w:val="auto"/>
        </w:rPr>
        <w:t>ACKNOWLEDGMENTS</w:t>
      </w:r>
      <w:r>
        <w:rPr>
          <w:sz w:val="20"/>
          <w:szCs w:val="20"/>
          <w:color w:val="auto"/>
        </w:rPr>
        <w:tab/>
      </w: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1580"/>
        <w:spacing w:after="0" w:line="279" w:lineRule="auto"/>
        <w:rPr>
          <w:sz w:val="20"/>
          <w:szCs w:val="20"/>
          <w:color w:val="auto"/>
        </w:rPr>
      </w:pPr>
      <w:r>
        <w:rPr>
          <w:rFonts w:ascii="Courier New" w:cs="Courier New" w:eastAsia="Courier New" w:hAnsi="Courier New"/>
          <w:sz w:val="16"/>
          <w:szCs w:val="16"/>
          <w:color w:val="auto"/>
        </w:rPr>
        <w:t>THIS INDENTURE, dated as of October 1, 1994 between MURPHY OIL CORPORATION (the "Issuer"), a corporation organized under the laws of the State of Delaware, and CHEMICAL BANK, a New York corporation (the "Trustee").</w:t>
      </w:r>
    </w:p>
    <w:p>
      <w:pPr>
        <w:spacing w:after="0" w:line="17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WHEREAS, the Issuer has duly authorized the issue from time to time of its unsecured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spacing w:after="0" w:line="211"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WHEREAS, all things necessary to make this Indenture a valid indenture and agreement according to its terms have been done;</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NOW, THEREFORE:</w:t>
      </w:r>
    </w:p>
    <w:p>
      <w:pPr>
        <w:spacing w:after="0" w:line="207" w:lineRule="exact"/>
        <w:rPr>
          <w:sz w:val="20"/>
          <w:szCs w:val="20"/>
          <w:color w:val="auto"/>
        </w:rPr>
      </w:pPr>
    </w:p>
    <w:p>
      <w:pPr>
        <w:ind w:right="2199" w:firstLine="1580"/>
        <w:spacing w:after="0" w:line="279" w:lineRule="auto"/>
        <w:rPr>
          <w:sz w:val="20"/>
          <w:szCs w:val="20"/>
          <w:color w:val="auto"/>
        </w:rPr>
      </w:pPr>
      <w:r>
        <w:rPr>
          <w:rFonts w:ascii="Courier New" w:cs="Courier New" w:eastAsia="Courier New" w:hAnsi="Courier New"/>
          <w:sz w:val="16"/>
          <w:szCs w:val="16"/>
          <w:color w:val="auto"/>
        </w:rPr>
        <w:t>In consideration of the premises and the purchases of the Securities by the holders thereof, the Issuer and the Trustee mutually covenant and agree for the equal and proportionate benefit of the respective</w:t>
      </w:r>
    </w:p>
    <w:p>
      <w:pPr>
        <w:sectPr>
          <w:pgSz w:w="11900" w:h="16838" w:orient="portrait"/>
          <w:cols w:equalWidth="0" w:num="1">
            <w:col w:w="10219"/>
          </w:cols>
          <w:pgMar w:left="240" w:top="514"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6"/>
          <w:szCs w:val="16"/>
          <w:color w:val="auto"/>
        </w:rPr>
        <w:t>holders from time to time of the Securities or of a series thereof as follows:</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ONE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1.1 Certain Terms Defined. The following terms (except as otherwise expressly provided or unless the context otherwise clearly requires) for all purposes of this Indenture and of any indenture supplemental hereto shall have the respective meanings specified in this Article.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"generally accepted accounting principles" means such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210"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"Board of Directors" means either the Board of Directors of the Issuer or any committee of such Board duly authorized to act hereunder.</w:t>
      </w:r>
    </w:p>
    <w:p>
      <w:pPr>
        <w:spacing w:after="0" w:line="208" w:lineRule="exact"/>
        <w:rPr>
          <w:sz w:val="20"/>
          <w:szCs w:val="20"/>
          <w:color w:val="auto"/>
        </w:rPr>
      </w:pPr>
    </w:p>
    <w:p>
      <w:pPr>
        <w:ind w:right="2099" w:firstLine="1580"/>
        <w:spacing w:after="0" w:line="275" w:lineRule="auto"/>
        <w:rPr>
          <w:sz w:val="20"/>
          <w:szCs w:val="20"/>
          <w:color w:val="auto"/>
        </w:rPr>
      </w:pPr>
      <w:r>
        <w:rPr>
          <w:rFonts w:ascii="Courier New" w:cs="Courier New" w:eastAsia="Courier New" w:hAnsi="Courier New"/>
          <w:sz w:val="16"/>
          <w:szCs w:val="16"/>
          <w:color w:val="auto"/>
        </w:rPr>
        <w:t>"Business Day" means, with respect to any Security, a day that in the city (or in any of the cities, if more than one) in which amounts are payable, as specified in the form of such Security, is not a day on which banking institutions are authorized by law or regulation to close.</w:t>
      </w:r>
    </w:p>
    <w:p>
      <w:pPr>
        <w:spacing w:after="0" w:line="182"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"Capital Lease Obligations" means any obligation to pay rent or other amounts under a lease of (or other agreement conveying the right to use) real or personal property that is required to be classified and accounted for as a capital lease obligation under generally accepted accounting principles, and, for the purposes of this Indenture, the amount of such obligation at any date shall be the capitalized amount thereof at such date, determined in accordance with such principles.</w:t>
      </w:r>
    </w:p>
    <w:p>
      <w:pPr>
        <w:spacing w:after="0" w:line="211"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"Capital Stock" means any and all shares, interests, participations, rights or other equivalents (however designated) of corporate stock.</w:t>
      </w:r>
    </w:p>
    <w:p>
      <w:pPr>
        <w:spacing w:after="0" w:line="209"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"Commission"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210"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"Consolidated Net Tangible Assets" means the total of all assets (less depreciation and amortization reserves and other valuation reserves and loss reserves) which, under generally accepted accounting principles, would appear on the asset side of a consolidated balance sheet of the Company and its Subsidiaries, less the aggregate of all liabilities,</w:t>
      </w:r>
    </w:p>
    <w:p>
      <w:pPr>
        <w:sectPr>
          <w:pgSz w:w="11900" w:h="16838" w:orient="portrait"/>
          <w:cols w:equalWidth="0" w:num="1">
            <w:col w:w="10219"/>
          </w:cols>
          <w:pgMar w:left="240" w:top="520" w:right="1440" w:bottom="1440" w:gutter="0" w:footer="0" w:header="0"/>
        </w:sectPr>
      </w:pPr>
    </w:p>
    <w:bookmarkStart w:id="81" w:name="page82"/>
    <w:bookmarkEnd w:id="81"/>
    <w:p>
      <w:pPr>
        <w:ind w:right="2099"/>
        <w:spacing w:after="0" w:line="270" w:lineRule="auto"/>
        <w:rPr>
          <w:sz w:val="20"/>
          <w:szCs w:val="20"/>
          <w:color w:val="auto"/>
        </w:rPr>
      </w:pPr>
      <w:r>
        <w:rPr>
          <w:rFonts w:ascii="Courier New" w:cs="Courier New" w:eastAsia="Courier New" w:hAnsi="Courier New"/>
          <w:sz w:val="16"/>
          <w:szCs w:val="16"/>
          <w:color w:val="auto"/>
        </w:rPr>
        <w:t>deferred credits, minority shareholders' interests in Subsidiaries, reserves and other items which, under such principles, would appear on the liability side of such consolidated balance sheet, except Funded Indebtedness and Stockholders' Equity; provided, however, that in determining Consolidated Net Tangible Assets, there shall not be included as assets, (i) all assets (other than goodwill, which shall be included) which would be classified as intangible assets under generally accepted accounting principles, including, without limitation, patents, trademarks, copyrights and unamortized debt discount and expense, (ii) any treasury stock carried as an asset, or (iii) any write-ups of capital assets (other than write-ups resulting from the acquisition of stock or assets of another corporation or business).</w:t>
      </w:r>
    </w:p>
    <w:p>
      <w:pPr>
        <w:spacing w:after="0" w:line="188"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"Corporate Trust Office" means the office of the Trustee at which the corporate trust business of the Trustee shall, at any particular time, be principally administered, which office is, at the date as of which this Indenture is dated, located at 450 West 33rd Street, New York, New York 10001.</w:t>
      </w:r>
    </w:p>
    <w:p>
      <w:pPr>
        <w:ind w:left="1580"/>
        <w:spacing w:after="0"/>
        <w:rPr>
          <w:sz w:val="20"/>
          <w:szCs w:val="20"/>
          <w:color w:val="auto"/>
        </w:rPr>
      </w:pPr>
      <w:r>
        <w:rPr>
          <w:rFonts w:ascii="Courier New" w:cs="Courier New" w:eastAsia="Courier New" w:hAnsi="Courier New"/>
          <w:sz w:val="18"/>
          <w:szCs w:val="18"/>
          <w:color w:val="auto"/>
        </w:rPr>
        <w:t>"Debt" shall have the meaning set forth in Section 3.9.</w:t>
      </w:r>
    </w:p>
    <w:p>
      <w:pPr>
        <w:spacing w:after="0" w:line="207"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"Depositary" means, with respect to the Securities of any series issuable or issued in the form of one or more Global Securities, the Person designated as Depositary by the Issuer pursuant to Section 2.3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that series shall mean the Depositary with respect to the Global Securities of that series.</w:t>
      </w:r>
    </w:p>
    <w:p>
      <w:pPr>
        <w:spacing w:after="0" w:line="214"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"Event of Default" means any event or condition specified as such in Section 4.1.</w:t>
      </w:r>
    </w:p>
    <w:p>
      <w:pPr>
        <w:spacing w:after="0" w:line="208"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"Funded Indebtedness" of any Person means all indebtedness for borrowed money created, incurred, assumed or guaranteed in any manner by such Person, and all indebtedness incurred or assumed by such Person in connection with the acquisition of any business, property or asset, which in each case matures more than one year after, or which by its terms is renewable or extendible or payable out of the proceeds of similar indebtedness incurred pursuant to the terms of any revolving credit agreement or any similar agreement at the option of such Person for a period ending more than one year after the date as of which Funded Indebtedness is being determined (excluding any amount thereof which is included in current liabilities); provided, however, that Funded Indebtedness shall not include: (i) any indebtedness for the payment, redemption or satisfaction of which money (or evidences of indebtedness, if permitted under the instrument creating or evidencing such indebtedness) in the necessary amount shall have been irrevocably deposited in trust with a trustee or proper depository either on or before the maturity or redemption date thereof or (ii) any indebtedness of such Person to any of its subsidiaries or of any subsidiary to such Person or any other subsidiary or</w:t>
      </w:r>
    </w:p>
    <w:p>
      <w:pPr>
        <w:spacing w:after="0" w:line="193" w:lineRule="exact"/>
        <w:rPr>
          <w:sz w:val="20"/>
          <w:szCs w:val="20"/>
          <w:color w:val="auto"/>
        </w:rPr>
      </w:pPr>
    </w:p>
    <w:p>
      <w:pPr>
        <w:ind w:right="1999" w:firstLine="8"/>
        <w:spacing w:after="0" w:line="236" w:lineRule="auto"/>
        <w:tabs>
          <w:tab w:leader="none" w:pos="6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incurred in connection with the financing of operating, construction or acquisition projects, provided that the recourse for such indebtedness is limited to the assets of such projects.</w:t>
      </w:r>
    </w:p>
    <w:p>
      <w:pPr>
        <w:spacing w:after="0" w:line="209"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"Global Security" means a Security evidencing all or a part of a series of Securities, issued to the Depositary for such series in accordance with Section 2.5, and bearing the legend prescribed in Section 2.5.</w:t>
      </w:r>
    </w:p>
    <w:p>
      <w:pPr>
        <w:spacing w:after="0" w:line="178" w:lineRule="exact"/>
        <w:rPr>
          <w:sz w:val="20"/>
          <w:szCs w:val="20"/>
          <w:color w:val="auto"/>
        </w:rPr>
      </w:pPr>
    </w:p>
    <w:p>
      <w:pPr>
        <w:ind w:right="2319" w:firstLine="1580"/>
        <w:spacing w:after="0" w:line="279" w:lineRule="auto"/>
        <w:rPr>
          <w:sz w:val="20"/>
          <w:szCs w:val="20"/>
          <w:color w:val="auto"/>
        </w:rPr>
      </w:pPr>
      <w:r>
        <w:rPr>
          <w:rFonts w:ascii="Courier New" w:cs="Courier New" w:eastAsia="Courier New" w:hAnsi="Courier New"/>
          <w:sz w:val="16"/>
          <w:szCs w:val="16"/>
          <w:color w:val="auto"/>
        </w:rPr>
        <w:t>"Holder", "holder of Securities", "Securityholder" or other similar terms mean the Person in whose name a Security is registered in the security register kept by the Issuer for the purpose in accordance with the</w:t>
      </w:r>
    </w:p>
    <w:p>
      <w:pPr>
        <w:sectPr>
          <w:pgSz w:w="11900" w:h="16838" w:orient="portrait"/>
          <w:cols w:equalWidth="0" w:num="1">
            <w:col w:w="10219"/>
          </w:cols>
          <w:pgMar w:left="240" w:top="520"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terms hereof.</w:t>
      </w:r>
    </w:p>
    <w:p>
      <w:pPr>
        <w:spacing w:after="0" w:line="207" w:lineRule="exact"/>
        <w:rPr>
          <w:sz w:val="20"/>
          <w:szCs w:val="20"/>
          <w:color w:val="auto"/>
        </w:rPr>
      </w:pPr>
    </w:p>
    <w:p>
      <w:pPr>
        <w:ind w:right="2099" w:firstLine="1580"/>
        <w:spacing w:after="0" w:line="268" w:lineRule="auto"/>
        <w:rPr>
          <w:sz w:val="20"/>
          <w:szCs w:val="20"/>
          <w:color w:val="auto"/>
        </w:rPr>
      </w:pPr>
      <w:r>
        <w:rPr>
          <w:rFonts w:ascii="Courier New" w:cs="Courier New" w:eastAsia="Courier New" w:hAnsi="Courier New"/>
          <w:sz w:val="16"/>
          <w:szCs w:val="16"/>
          <w:color w:val="auto"/>
        </w:rPr>
        <w:t>"Indebtedness" means (a) any liability of any Person (1) for borrowed money, or any non-contingent reimbursement obligation relating to a letter of credit, or (2) evidenced by a bond, note, debenture or similar instrument (including a purchase money obligation) given in connection with the acquisition of any businesses, properties or assets of any kind (other than a trade payable or a current liability arising in the ordinary course of business), or (3) for the payment of money relating to a Capital Lease Obligation; (b) any liability of others described in the preceding clause (a) that the Person has guaranteed or that is otherwise its legal liability; and</w:t>
      </w:r>
    </w:p>
    <w:p>
      <w:pPr>
        <w:spacing w:after="0" w:line="2" w:lineRule="exact"/>
        <w:rPr>
          <w:sz w:val="20"/>
          <w:szCs w:val="20"/>
          <w:color w:val="auto"/>
        </w:rPr>
      </w:pPr>
    </w:p>
    <w:p>
      <w:pPr>
        <w:ind w:right="2199" w:firstLine="8"/>
        <w:spacing w:after="0" w:line="236" w:lineRule="auto"/>
        <w:tabs>
          <w:tab w:leader="none" w:pos="421"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supplement, modification, deferral, renewal, extension or refunding of any liability of the types referred to in clauses (a) and (b) above.</w:t>
      </w:r>
    </w:p>
    <w:p>
      <w:pPr>
        <w:spacing w:after="0" w:line="209"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"Indenture"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207" w:lineRule="exact"/>
        <w:rPr>
          <w:sz w:val="20"/>
          <w:szCs w:val="20"/>
          <w:color w:val="auto"/>
        </w:rPr>
      </w:pPr>
    </w:p>
    <w:p>
      <w:pPr>
        <w:ind w:right="2739" w:firstLine="1580"/>
        <w:spacing w:after="0" w:line="235" w:lineRule="auto"/>
        <w:rPr>
          <w:sz w:val="20"/>
          <w:szCs w:val="20"/>
          <w:color w:val="auto"/>
        </w:rPr>
      </w:pPr>
      <w:r>
        <w:rPr>
          <w:rFonts w:ascii="Courier New" w:cs="Courier New" w:eastAsia="Courier New" w:hAnsi="Courier New"/>
          <w:sz w:val="18"/>
          <w:szCs w:val="18"/>
          <w:color w:val="auto"/>
        </w:rPr>
        <w:t>"Interest" means, when used with respect to non-interest bearing Securities, interest payable after maturity.</w:t>
      </w:r>
    </w:p>
    <w:p>
      <w:pPr>
        <w:spacing w:after="0" w:line="208"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"Issuer" means Murphy Oil Corporation, a corporation organized under the laws of the State of Delaware, and, subject to Article Eight, its successors and assigns.</w:t>
      </w:r>
    </w:p>
    <w:p>
      <w:pPr>
        <w:spacing w:after="0" w:line="209" w:lineRule="exact"/>
        <w:rPr>
          <w:sz w:val="20"/>
          <w:szCs w:val="20"/>
          <w:color w:val="auto"/>
        </w:rPr>
      </w:pPr>
    </w:p>
    <w:p>
      <w:pPr>
        <w:ind w:right="2319" w:firstLine="1580"/>
        <w:spacing w:after="0" w:line="279" w:lineRule="auto"/>
        <w:rPr>
          <w:sz w:val="20"/>
          <w:szCs w:val="20"/>
          <w:color w:val="auto"/>
        </w:rPr>
      </w:pPr>
      <w:r>
        <w:rPr>
          <w:rFonts w:ascii="Courier New" w:cs="Courier New" w:eastAsia="Courier New" w:hAnsi="Courier New"/>
          <w:sz w:val="16"/>
          <w:szCs w:val="16"/>
          <w:color w:val="auto"/>
        </w:rPr>
        <w:t>"Issuer Order" means a written statement, request or order of the Issuer signed in its name by the chairman of the Board of Directors, the president, any vice president or the treasurer of the Issuer.</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"Mortgage" shall have the meaning set forth in Section 3.9.</w:t>
      </w:r>
    </w:p>
    <w:p>
      <w:pPr>
        <w:spacing w:after="0" w:line="207"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"Officers' Certificate"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include the statements provided for in Section 10.5 hereof, if and to the extent that such sections are applicable.</w:t>
      </w:r>
    </w:p>
    <w:p>
      <w:pPr>
        <w:spacing w:after="0" w:line="186" w:lineRule="exact"/>
        <w:rPr>
          <w:sz w:val="20"/>
          <w:szCs w:val="20"/>
          <w:color w:val="auto"/>
        </w:rPr>
      </w:pPr>
    </w:p>
    <w:p>
      <w:pPr>
        <w:ind w:right="2419" w:firstLine="1580"/>
        <w:spacing w:after="0" w:line="237" w:lineRule="auto"/>
        <w:rPr>
          <w:sz w:val="20"/>
          <w:szCs w:val="20"/>
          <w:color w:val="auto"/>
        </w:rPr>
      </w:pPr>
      <w:r>
        <w:rPr>
          <w:rFonts w:ascii="Courier New" w:cs="Courier New" w:eastAsia="Courier New" w:hAnsi="Courier New"/>
          <w:sz w:val="18"/>
          <w:szCs w:val="18"/>
          <w:color w:val="auto"/>
        </w:rPr>
        <w:t>"Opinion of Counsel"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10.5 hereof, if and to the extent that such sections are applicable.</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"Original Issue Discount Security" means any Security that provides for an amount less than the principal amount thereof to be due and payable upon a declaration of acceleration of the maturity thereof pursuant to Section 4.1.</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"Outstanding", when used with reference to Securities, shall, subject to the provisions of Section 6.4, mean, as of any particular time, all Securities authenticated and delivered by the Trustee under this Indenture, except</w:t>
      </w:r>
    </w:p>
    <w:p>
      <w:pPr>
        <w:spacing w:after="0" w:line="207" w:lineRule="exact"/>
        <w:rPr>
          <w:sz w:val="20"/>
          <w:szCs w:val="20"/>
          <w:color w:val="auto"/>
        </w:rPr>
      </w:pPr>
    </w:p>
    <w:p>
      <w:pPr>
        <w:ind w:left="960" w:right="2839" w:firstLine="628"/>
        <w:spacing w:after="0" w:line="235" w:lineRule="auto"/>
        <w:tabs>
          <w:tab w:leader="none" w:pos="2119"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theretofore cancelled by the Trustee or delivered to the Trustee for cancellation;</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or portions thereof, for the payment or</w:t>
      </w:r>
    </w:p>
    <w:p>
      <w:pPr>
        <w:sectPr>
          <w:pgSz w:w="11900" w:h="16838" w:orient="portrait"/>
          <w:cols w:equalWidth="0" w:num="1">
            <w:col w:w="10219"/>
          </w:cols>
          <w:pgMar w:left="240" w:top="514" w:right="1440" w:bottom="1440" w:gutter="0" w:footer="0" w:header="0"/>
        </w:sectPr>
      </w:pPr>
    </w:p>
    <w:bookmarkStart w:id="83" w:name="page84"/>
    <w:bookmarkEnd w:id="83"/>
    <w:p>
      <w:pPr>
        <w:ind w:left="960" w:right="1999"/>
        <w:spacing w:after="0" w:line="237" w:lineRule="auto"/>
        <w:rPr>
          <w:sz w:val="20"/>
          <w:szCs w:val="20"/>
          <w:color w:val="auto"/>
        </w:rPr>
      </w:pPr>
      <w:r>
        <w:rPr>
          <w:rFonts w:ascii="Courier New" w:cs="Courier New" w:eastAsia="Courier New" w:hAnsi="Courier New"/>
          <w:sz w:val="18"/>
          <w:szCs w:val="18"/>
          <w:color w:val="auto"/>
        </w:rPr>
        <w:t>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214" w:lineRule="exact"/>
        <w:rPr>
          <w:sz w:val="20"/>
          <w:szCs w:val="20"/>
          <w:color w:val="auto"/>
        </w:rPr>
      </w:pPr>
    </w:p>
    <w:p>
      <w:pPr>
        <w:ind w:left="960" w:right="1999" w:firstLine="628"/>
        <w:spacing w:after="0" w:line="272" w:lineRule="auto"/>
        <w:tabs>
          <w:tab w:leader="none" w:pos="211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in substitution for which other Securities shall have been authenticated and delivered, or which shall have been paid, pursuant to the terms of Section 2.9 (except with respect to any such Security as to which proof satisfactory to the Trustee is presented that such Security is held by a person in whose hands such Security is a legal, valid and binding obligation of the Issuer).</w:t>
      </w:r>
    </w:p>
    <w:p>
      <w:pPr>
        <w:spacing w:after="0" w:line="186"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4.1.</w:t>
      </w:r>
    </w:p>
    <w:p>
      <w:pPr>
        <w:spacing w:after="0" w:line="188" w:lineRule="exact"/>
        <w:rPr>
          <w:sz w:val="20"/>
          <w:szCs w:val="20"/>
          <w:color w:val="auto"/>
        </w:rPr>
      </w:pPr>
    </w:p>
    <w:p>
      <w:pPr>
        <w:ind w:right="2739" w:firstLine="1580"/>
        <w:spacing w:after="0" w:line="237" w:lineRule="auto"/>
        <w:rPr>
          <w:sz w:val="20"/>
          <w:szCs w:val="20"/>
          <w:color w:val="auto"/>
        </w:rPr>
      </w:pPr>
      <w:r>
        <w:rPr>
          <w:rFonts w:ascii="Courier New" w:cs="Courier New" w:eastAsia="Courier New" w:hAnsi="Courier New"/>
          <w:sz w:val="18"/>
          <w:szCs w:val="18"/>
          <w:color w:val="auto"/>
        </w:rPr>
        <w:t>"Periodic Offering"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Issuer or its agents upon the issuance of such Securities.</w:t>
      </w:r>
    </w:p>
    <w:p>
      <w:pPr>
        <w:spacing w:after="0" w:line="210" w:lineRule="exact"/>
        <w:rPr>
          <w:sz w:val="20"/>
          <w:szCs w:val="20"/>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"Person" means any individual, corporation, partnership, joint venture, association, joint stock company, trust, unincorporated organization or government or any agency or political subdivision thereof.</w:t>
      </w:r>
    </w:p>
    <w:p>
      <w:pPr>
        <w:spacing w:after="0" w:line="209" w:lineRule="exact"/>
        <w:rPr>
          <w:sz w:val="20"/>
          <w:szCs w:val="20"/>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"principal" whenever used with reference to the Securities or any Security or any portion thereof, shall be deemed to include "and premium, if any".</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"Principal Property" means all property and equipment directly engaged in the exploration, production, refining and transportation activities of the Issuer and its Subsidiaries, except any such property and equipment which the Board of Directors declares is not material to the business of the Issuer and its Subsidiaries taken as a whole.</w:t>
      </w:r>
    </w:p>
    <w:p>
      <w:pPr>
        <w:spacing w:after="0" w:line="209"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"Responsible Officer"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senior trust officer,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knowledge of and familiarity with the particular subject.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"Restricted Subsidiary" means any Subsidiary of the Issuer</w:t>
      </w:r>
    </w:p>
    <w:p>
      <w:pPr>
        <w:sectPr>
          <w:pgSz w:w="11900" w:h="16838" w:orient="portrait"/>
          <w:cols w:equalWidth="0" w:num="1">
            <w:col w:w="10219"/>
          </w:cols>
          <w:pgMar w:left="240" w:top="520" w:right="1440" w:bottom="1440" w:gutter="0" w:footer="0" w:header="0"/>
        </w:sectPr>
      </w:pPr>
    </w:p>
    <w:bookmarkStart w:id="84" w:name="page85"/>
    <w:bookmarkEnd w:id="84"/>
    <w:p>
      <w:pPr>
        <w:ind w:right="2319"/>
        <w:spacing w:after="0" w:line="235" w:lineRule="auto"/>
        <w:rPr>
          <w:sz w:val="20"/>
          <w:szCs w:val="20"/>
          <w:color w:val="auto"/>
        </w:rPr>
      </w:pPr>
      <w:r>
        <w:rPr>
          <w:rFonts w:ascii="Courier New" w:cs="Courier New" w:eastAsia="Courier New" w:hAnsi="Courier New"/>
          <w:sz w:val="18"/>
          <w:szCs w:val="18"/>
          <w:color w:val="auto"/>
        </w:rPr>
        <w:t>that owns a Principal Property and has Stockholders' Equity that is greater than 2% of the Consolidated Net Tangible Assets of the Issuer.</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"Sale and Lease-Back Transaction" shall have the meaning set forth in Section 3.10.</w:t>
      </w:r>
    </w:p>
    <w:p>
      <w:pPr>
        <w:spacing w:after="0" w:line="208" w:lineRule="exact"/>
        <w:rPr>
          <w:sz w:val="20"/>
          <w:szCs w:val="20"/>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"Security" or "Securities" has the meaning stated in the first recital of this Indenture, or, as the case may be, Securities that have been authenticated and delivered under this Indenture.</w:t>
      </w:r>
    </w:p>
    <w:p>
      <w:pPr>
        <w:spacing w:after="0" w:line="209" w:lineRule="exact"/>
        <w:rPr>
          <w:sz w:val="20"/>
          <w:szCs w:val="20"/>
          <w:color w:val="auto"/>
        </w:rPr>
      </w:pPr>
    </w:p>
    <w:p>
      <w:pPr>
        <w:ind w:right="2519" w:firstLine="1580"/>
        <w:spacing w:after="0" w:line="235" w:lineRule="auto"/>
        <w:rPr>
          <w:sz w:val="20"/>
          <w:szCs w:val="20"/>
          <w:color w:val="auto"/>
        </w:rPr>
      </w:pPr>
      <w:r>
        <w:rPr>
          <w:rFonts w:ascii="Courier New" w:cs="Courier New" w:eastAsia="Courier New" w:hAnsi="Courier New"/>
          <w:sz w:val="18"/>
          <w:szCs w:val="18"/>
          <w:color w:val="auto"/>
        </w:rPr>
        <w:t>"Senior Funded Indebtedness" means any Funded Indebtedness which is also Senior Indebtedness.</w:t>
      </w:r>
    </w:p>
    <w:p>
      <w:pPr>
        <w:spacing w:after="0" w:line="208" w:lineRule="exact"/>
        <w:rPr>
          <w:sz w:val="20"/>
          <w:szCs w:val="20"/>
          <w:color w:val="auto"/>
        </w:rPr>
      </w:pPr>
    </w:p>
    <w:p>
      <w:pPr>
        <w:ind w:right="2099" w:firstLine="1580"/>
        <w:spacing w:after="0" w:line="270" w:lineRule="auto"/>
        <w:rPr>
          <w:sz w:val="20"/>
          <w:szCs w:val="20"/>
          <w:color w:val="auto"/>
        </w:rPr>
      </w:pPr>
      <w:r>
        <w:rPr>
          <w:rFonts w:ascii="Courier New" w:cs="Courier New" w:eastAsia="Courier New" w:hAnsi="Courier New"/>
          <w:sz w:val="16"/>
          <w:szCs w:val="16"/>
          <w:color w:val="auto"/>
        </w:rPr>
        <w:t>"Senior Indebtedness" shall mean the principal of and premium, if any, and interest on (including interest accruing after the filing of a petition initiating any proceeding pursuant to any bankruptcy law) and other amounts due on or in connection with any Indebtedness of the Issuer, whether outstanding on the date of this Indenture or hereafter created, incurred or assumed, unless, in the case of any particular Indebtedness, the instrument creating or evidencing the same or pursuant to which the same is outstanding expressly provides that such Indebtedness shall be subordinated to the Securities. Notwithstanding the foregoing, Senior Indebtedness shall not include Indebtedness of the Issuer to a Subsidiary of the Issuer for money borrowed or advanced from such Subsidiary.</w:t>
      </w:r>
    </w:p>
    <w:p>
      <w:pPr>
        <w:spacing w:after="0" w:line="392"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"Stockholders' Equity" means the aggregate of (however designated) capital, capital stock (including preferred stock), capital surplus, capital in excess of par value of stock, earned surplus, net income retained for use in the business and cumulative foreign exchange translation adjustments, after deducting the cost of shares of the Issuer held in its treasury.</w:t>
      </w:r>
    </w:p>
    <w:p>
      <w:pPr>
        <w:spacing w:after="0" w:line="210" w:lineRule="exact"/>
        <w:rPr>
          <w:sz w:val="20"/>
          <w:szCs w:val="20"/>
          <w:color w:val="auto"/>
        </w:rPr>
      </w:pPr>
    </w:p>
    <w:p>
      <w:pPr>
        <w:ind w:right="2319" w:firstLine="1580"/>
        <w:spacing w:after="0" w:line="238" w:lineRule="auto"/>
        <w:rPr>
          <w:sz w:val="20"/>
          <w:szCs w:val="20"/>
          <w:color w:val="auto"/>
        </w:rPr>
      </w:pPr>
      <w:r>
        <w:rPr>
          <w:rFonts w:ascii="Courier New" w:cs="Courier New" w:eastAsia="Courier New" w:hAnsi="Courier New"/>
          <w:sz w:val="18"/>
          <w:szCs w:val="18"/>
          <w:color w:val="auto"/>
        </w:rPr>
        <w:t>"Subsidiary" means (i) any corporation of which more than 50% of the total voting power of shares of Capital Stock entitled (without regard to the occurrence of any contingency) to vote in the election of directors thereof is at the time directly or indirectly owned by the Issuer or by the Issuer and one or more Subsidiaries or by one or more Subsidiaries, and (ii) any limited partnership in which the Issuer or a Subsidiary is a general partner or any partnership or limited liability company in which more than 50% of the voting interests thereof is at the time directly or indirectly owned by the Issuer or by the Issuer and one or more Subsidiaries or by one or more Subsidiaries. The term "subsidiary", when used with respect to any Person other than the Issuer, shall have a meaning correlative to the foregoing.</w:t>
      </w:r>
    </w:p>
    <w:p>
      <w:pPr>
        <w:spacing w:after="0" w:line="207"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"Trust Indenture Act of 1939" (except as otherwise provided in Sections 7.1 and 7.2) means the Trust Indenture Act of 1939 as in force at the date as of which this Indenture was originally executed.</w:t>
      </w:r>
    </w:p>
    <w:p>
      <w:pPr>
        <w:spacing w:after="0" w:line="209"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"Trustee" means the Person identified as "Trustee" in the first paragraph hereof and, subject to the provisions of Article Five, shall also include any successor trustee. "Trustee" shall also mean or include each Person who is then a trustee hereunder and if at any time there is more than one such Person, "Trustee" as used with respect to the Securities of any series shall mean the trustee with respect to the Securities of such series.</w:t>
      </w:r>
    </w:p>
    <w:p>
      <w:pPr>
        <w:spacing w:after="0" w:line="186"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"U.S. Government Obligations" shall have the meaning set forth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Section 9.1.</w:t>
      </w:r>
    </w:p>
    <w:p>
      <w:pPr>
        <w:spacing w:after="0" w:line="207" w:lineRule="exact"/>
        <w:rPr>
          <w:sz w:val="20"/>
          <w:szCs w:val="20"/>
          <w:color w:val="auto"/>
        </w:rPr>
      </w:pPr>
    </w:p>
    <w:p>
      <w:pPr>
        <w:ind w:right="2099" w:firstLine="1580"/>
        <w:spacing w:after="0" w:line="290" w:lineRule="auto"/>
        <w:rPr>
          <w:sz w:val="20"/>
          <w:szCs w:val="20"/>
          <w:color w:val="auto"/>
        </w:rPr>
      </w:pPr>
      <w:r>
        <w:rPr>
          <w:rFonts w:ascii="Courier New" w:cs="Courier New" w:eastAsia="Courier New" w:hAnsi="Courier New"/>
          <w:sz w:val="16"/>
          <w:szCs w:val="16"/>
          <w:color w:val="auto"/>
        </w:rPr>
        <w:t>"vice president" when used with respect to the Issuer or the Trustee, means any vice president, whether or not designated by a number or a</w:t>
      </w:r>
    </w:p>
    <w:p>
      <w:pPr>
        <w:sectPr>
          <w:pgSz w:w="11900" w:h="16838" w:orient="portrait"/>
          <w:cols w:equalWidth="0" w:num="1">
            <w:col w:w="10219"/>
          </w:cols>
          <w:pgMar w:left="240" w:top="520"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word or words added before or after the title of "vice president".</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TWO</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SECURITIES</w:t>
      </w:r>
    </w:p>
    <w:p>
      <w:pPr>
        <w:spacing w:after="0" w:line="207"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2.1 Forms Generally. The Securities of each series shall be substantially in such form (not inconsistent with this Indenture) as shall be established by or pursuant to a resolution of the Board of Directors (as set forth in such resolution or, to the extent established pursuant to rather than set forth in such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w:t>
      </w:r>
    </w:p>
    <w:p>
      <w:pPr>
        <w:spacing w:after="0" w:line="388"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The definitive Securities shall be printed, lithographed or engraved on steel engraved borders, all as determined by the officers executing such Securities, as evidenced by their execution of such Securities.</w:t>
      </w:r>
    </w:p>
    <w:p>
      <w:pPr>
        <w:spacing w:after="0" w:line="178"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SECTION 2.2 Form of Trustee's Certificate of Authentication. The Trustee's certificate of authentication on all Securities shall be in substantially the following form:</w:t>
      </w:r>
    </w:p>
    <w:p>
      <w:pPr>
        <w:spacing w:after="0" w:line="209"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This is one of the Securities of the series designated herein and referred to in the within-mentioned Indenture.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CHEMICAL BANK,</w:t>
      </w:r>
    </w:p>
    <w:p>
      <w:pPr>
        <w:ind w:left="516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w:t>
      </w:r>
    </w:p>
    <w:p>
      <w:pPr>
        <w:ind w:left="4440"/>
        <w:spacing w:after="0" w:line="238" w:lineRule="auto"/>
        <w:rPr>
          <w:sz w:val="20"/>
          <w:szCs w:val="20"/>
          <w:color w:val="auto"/>
        </w:rPr>
      </w:pPr>
      <w:r>
        <w:rPr>
          <w:rFonts w:ascii="Courier New" w:cs="Courier New" w:eastAsia="Courier New" w:hAnsi="Courier New"/>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firstLine="1580"/>
        <w:spacing w:after="0" w:line="236" w:lineRule="auto"/>
        <w:rPr>
          <w:sz w:val="20"/>
          <w:szCs w:val="20"/>
          <w:color w:val="auto"/>
        </w:rPr>
      </w:pPr>
      <w:r>
        <w:rPr>
          <w:rFonts w:ascii="Courier New" w:cs="Courier New" w:eastAsia="Courier New" w:hAnsi="Courier New"/>
          <w:sz w:val="18"/>
          <w:szCs w:val="18"/>
          <w:color w:val="auto"/>
        </w:rPr>
        <w:t>SECTION 2.3 Amount Unlimited; Issuable in Series. The aggregate principal amount of Securities which may be authenticated and delivered under this Indenture is unlimited.</w:t>
      </w:r>
    </w:p>
    <w:p>
      <w:pPr>
        <w:spacing w:after="0" w:line="209"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sectPr>
          <w:pgSz w:w="11900" w:h="16838" w:orient="portrait"/>
          <w:cols w:equalWidth="0" w:num="1">
            <w:col w:w="10219"/>
          </w:cols>
          <w:pgMar w:left="240" w:top="514" w:right="1440" w:bottom="1440" w:gutter="0" w:footer="0" w:header="0"/>
        </w:sectPr>
      </w:pPr>
    </w:p>
    <w:bookmarkStart w:id="86" w:name="page87"/>
    <w:bookmarkEnd w:id="86"/>
    <w:p>
      <w:pPr>
        <w:ind w:left="-240" w:right="2099" w:firstLine="628"/>
        <w:spacing w:after="0" w:line="290" w:lineRule="auto"/>
        <w:tabs>
          <w:tab w:leader="none" w:pos="919"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all other Securities);</w:t>
      </w:r>
    </w:p>
    <w:p>
      <w:pPr>
        <w:spacing w:after="0" w:line="169" w:lineRule="exact"/>
        <w:rPr>
          <w:rFonts w:ascii="Courier New" w:cs="Courier New" w:eastAsia="Courier New" w:hAnsi="Courier New"/>
          <w:sz w:val="16"/>
          <w:szCs w:val="16"/>
          <w:color w:val="auto"/>
        </w:rPr>
      </w:pPr>
    </w:p>
    <w:p>
      <w:pPr>
        <w:ind w:left="-240" w:right="1999" w:firstLine="628"/>
        <w:spacing w:after="0" w:line="237" w:lineRule="auto"/>
        <w:tabs>
          <w:tab w:leader="none" w:pos="919"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2.8, 2.9, 2.11, 7.5 or 11.3);</w:t>
      </w:r>
    </w:p>
    <w:p>
      <w:pPr>
        <w:spacing w:after="0" w:line="209" w:lineRule="exact"/>
        <w:rPr>
          <w:rFonts w:ascii="Courier New" w:cs="Courier New" w:eastAsia="Courier New" w:hAnsi="Courier New"/>
          <w:sz w:val="18"/>
          <w:szCs w:val="18"/>
          <w:color w:val="auto"/>
        </w:rPr>
      </w:pPr>
    </w:p>
    <w:p>
      <w:pPr>
        <w:ind w:left="-240" w:right="1999" w:firstLine="628"/>
        <w:spacing w:after="0" w:line="235" w:lineRule="auto"/>
        <w:tabs>
          <w:tab w:leader="none" w:pos="919"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principal of the Securities of the series is payable;</w:t>
      </w:r>
    </w:p>
    <w:p>
      <w:pPr>
        <w:spacing w:after="0" w:line="208" w:lineRule="exact"/>
        <w:rPr>
          <w:rFonts w:ascii="Courier New" w:cs="Courier New" w:eastAsia="Courier New" w:hAnsi="Courier New"/>
          <w:sz w:val="18"/>
          <w:szCs w:val="18"/>
          <w:color w:val="auto"/>
        </w:rPr>
      </w:pPr>
    </w:p>
    <w:p>
      <w:pPr>
        <w:ind w:left="-240" w:right="2099" w:firstLine="628"/>
        <w:spacing w:after="0" w:line="271" w:lineRule="auto"/>
        <w:tabs>
          <w:tab w:leader="none" w:pos="919"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coin or currency of the United States, the coin or currency in which the Securities of that series are denominated, the coin or currency in which payment of the principal of or interest, if any, on the Securities of that series shall be payable and the method of valuing that coin or currency for purposes of determining the aggregate principal amount of Securities of that series then Outstanding and the amount to be paid to satisfy a judgment denominated in the coin or currency of the United States;</w:t>
      </w:r>
    </w:p>
    <w:p>
      <w:pPr>
        <w:spacing w:after="0" w:line="185" w:lineRule="exact"/>
        <w:rPr>
          <w:rFonts w:ascii="Courier New" w:cs="Courier New" w:eastAsia="Courier New" w:hAnsi="Courier New"/>
          <w:sz w:val="16"/>
          <w:szCs w:val="16"/>
          <w:color w:val="auto"/>
        </w:rPr>
      </w:pPr>
    </w:p>
    <w:p>
      <w:pPr>
        <w:ind w:left="-240" w:right="1999" w:firstLine="628"/>
        <w:spacing w:after="0" w:line="237" w:lineRule="auto"/>
        <w:tabs>
          <w:tab w:leader="none" w:pos="919"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209" w:lineRule="exact"/>
        <w:rPr>
          <w:rFonts w:ascii="Courier New" w:cs="Courier New" w:eastAsia="Courier New" w:hAnsi="Courier New"/>
          <w:sz w:val="18"/>
          <w:szCs w:val="18"/>
          <w:color w:val="auto"/>
        </w:rPr>
      </w:pPr>
    </w:p>
    <w:p>
      <w:pPr>
        <w:ind w:left="-240" w:right="2099" w:firstLine="628"/>
        <w:spacing w:after="0" w:line="236" w:lineRule="auto"/>
        <w:tabs>
          <w:tab w:leader="none" w:pos="919"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place or places where the principal of and any interest on Securities of the series shall be payable (if other than as provided in Section 3.2);</w:t>
      </w:r>
    </w:p>
    <w:p>
      <w:pPr>
        <w:spacing w:after="0" w:line="208" w:lineRule="exact"/>
        <w:rPr>
          <w:rFonts w:ascii="Courier New" w:cs="Courier New" w:eastAsia="Courier New" w:hAnsi="Courier New"/>
          <w:sz w:val="18"/>
          <w:szCs w:val="18"/>
          <w:color w:val="auto"/>
        </w:rPr>
      </w:pPr>
    </w:p>
    <w:p>
      <w:pPr>
        <w:ind w:left="-240" w:right="1999" w:firstLine="628"/>
        <w:spacing w:after="0" w:line="237" w:lineRule="auto"/>
        <w:tabs>
          <w:tab w:leader="none" w:pos="919"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207" w:lineRule="exact"/>
        <w:rPr>
          <w:rFonts w:ascii="Courier New" w:cs="Courier New" w:eastAsia="Courier New" w:hAnsi="Courier New"/>
          <w:sz w:val="18"/>
          <w:szCs w:val="18"/>
          <w:color w:val="auto"/>
        </w:rPr>
      </w:pPr>
    </w:p>
    <w:p>
      <w:pPr>
        <w:ind w:left="-240" w:right="1999" w:firstLine="628"/>
        <w:spacing w:after="0" w:line="236" w:lineRule="auto"/>
        <w:tabs>
          <w:tab w:leader="none" w:pos="919"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denominations of $1,000 and any multiple thereof, the denominations in which Securities of the series shall be issuable;</w:t>
      </w:r>
    </w:p>
    <w:p>
      <w:pPr>
        <w:spacing w:after="0" w:line="208" w:lineRule="exact"/>
        <w:rPr>
          <w:rFonts w:ascii="Courier New" w:cs="Courier New" w:eastAsia="Courier New" w:hAnsi="Courier New"/>
          <w:sz w:val="18"/>
          <w:szCs w:val="18"/>
          <w:color w:val="auto"/>
        </w:rPr>
      </w:pPr>
    </w:p>
    <w:p>
      <w:pPr>
        <w:ind w:left="-240" w:right="1999" w:firstLine="628"/>
        <w:spacing w:after="0" w:line="237" w:lineRule="auto"/>
        <w:tabs>
          <w:tab w:leader="none" w:pos="919"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Issuer to redeem, 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211" w:lineRule="exact"/>
        <w:rPr>
          <w:rFonts w:ascii="Courier New" w:cs="Courier New" w:eastAsia="Courier New" w:hAnsi="Courier New"/>
          <w:sz w:val="18"/>
          <w:szCs w:val="18"/>
          <w:color w:val="auto"/>
        </w:rPr>
      </w:pPr>
    </w:p>
    <w:p>
      <w:pPr>
        <w:ind w:left="-240" w:right="1999" w:firstLine="417"/>
        <w:spacing w:after="0" w:line="237" w:lineRule="auto"/>
        <w:tabs>
          <w:tab w:leader="none" w:pos="81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the principal amount thereof, the portion of the principal amount of Securities of the series which shall be payable upon declaration of acceleration of the maturity thereof pursuant to Section 4.1 or provable in bankruptcy pursuant to Section 4.2;</w:t>
      </w:r>
    </w:p>
    <w:p>
      <w:pPr>
        <w:spacing w:after="0" w:line="208" w:lineRule="exact"/>
        <w:rPr>
          <w:rFonts w:ascii="Courier New" w:cs="Courier New" w:eastAsia="Courier New" w:hAnsi="Courier New"/>
          <w:sz w:val="18"/>
          <w:szCs w:val="18"/>
          <w:color w:val="auto"/>
        </w:rPr>
      </w:pPr>
    </w:p>
    <w:p>
      <w:pPr>
        <w:jc w:val="both"/>
        <w:ind w:left="-240" w:right="2199" w:firstLine="417"/>
        <w:spacing w:after="0" w:line="279" w:lineRule="auto"/>
        <w:tabs>
          <w:tab w:leader="none" w:pos="813"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payments of principal of and interest on the Securities of the series may be determined with reference to an index based on a coin or currency other than that in which the</w:t>
      </w:r>
    </w:p>
    <w:p>
      <w:pPr>
        <w:sectPr>
          <w:pgSz w:w="11900" w:h="16838" w:orient="portrait"/>
          <w:cols w:equalWidth="0" w:num="1">
            <w:col w:w="9019"/>
          </w:cols>
          <w:pgMar w:left="1440" w:top="723" w:right="1440" w:bottom="1440" w:gutter="0" w:footer="0" w:header="0"/>
        </w:sectPr>
      </w:pPr>
    </w:p>
    <w:bookmarkStart w:id="87" w:name="page88"/>
    <w:bookmarkEnd w:id="87"/>
    <w:p>
      <w:pPr>
        <w:ind w:left="960" w:right="2319"/>
        <w:spacing w:after="0" w:line="235" w:lineRule="auto"/>
        <w:rPr>
          <w:sz w:val="20"/>
          <w:szCs w:val="20"/>
          <w:color w:val="auto"/>
        </w:rPr>
      </w:pPr>
      <w:r>
        <w:rPr>
          <w:rFonts w:ascii="Courier New" w:cs="Courier New" w:eastAsia="Courier New" w:hAnsi="Courier New"/>
          <w:sz w:val="18"/>
          <w:szCs w:val="18"/>
          <w:color w:val="auto"/>
        </w:rPr>
        <w:t>Securities of the series are denominated, the manner in which such amounts shall be determined;</w:t>
      </w:r>
    </w:p>
    <w:p>
      <w:pPr>
        <w:spacing w:after="0" w:line="208" w:lineRule="exact"/>
        <w:rPr>
          <w:sz w:val="20"/>
          <w:szCs w:val="20"/>
          <w:color w:val="auto"/>
        </w:rPr>
      </w:pPr>
    </w:p>
    <w:p>
      <w:pPr>
        <w:ind w:left="960" w:right="1999" w:firstLine="417"/>
        <w:spacing w:after="0" w:line="237" w:lineRule="auto"/>
        <w:tabs>
          <w:tab w:leader="none" w:pos="201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960" w:right="2419" w:firstLine="417"/>
        <w:spacing w:after="0" w:line="236" w:lineRule="auto"/>
        <w:tabs>
          <w:tab w:leader="none" w:pos="201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trustees, authenticating or paying agents, transfer agents or registrars or any other agents with respect to the Securities of such series;</w:t>
      </w:r>
    </w:p>
    <w:p>
      <w:pPr>
        <w:spacing w:after="0" w:line="208" w:lineRule="exact"/>
        <w:rPr>
          <w:rFonts w:ascii="Courier New" w:cs="Courier New" w:eastAsia="Courier New" w:hAnsi="Courier New"/>
          <w:sz w:val="18"/>
          <w:szCs w:val="18"/>
          <w:color w:val="auto"/>
        </w:rPr>
      </w:pPr>
    </w:p>
    <w:p>
      <w:pPr>
        <w:ind w:left="960" w:right="2319" w:firstLine="417"/>
        <w:spacing w:after="0" w:line="235" w:lineRule="auto"/>
        <w:tabs>
          <w:tab w:leader="none" w:pos="201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events of default or covenants with respect to the Securities of such series;</w:t>
      </w:r>
    </w:p>
    <w:p>
      <w:pPr>
        <w:spacing w:after="0" w:line="208" w:lineRule="exact"/>
        <w:rPr>
          <w:rFonts w:ascii="Courier New" w:cs="Courier New" w:eastAsia="Courier New" w:hAnsi="Courier New"/>
          <w:sz w:val="18"/>
          <w:szCs w:val="18"/>
          <w:color w:val="auto"/>
        </w:rPr>
      </w:pPr>
    </w:p>
    <w:p>
      <w:pPr>
        <w:ind w:left="960" w:right="1999" w:firstLine="417"/>
        <w:spacing w:after="0" w:line="236" w:lineRule="auto"/>
        <w:tabs>
          <w:tab w:leader="none" w:pos="201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Securities of the series shall be issued in the form of one or more Global Securities and, in such case, the Depositary for such Global Security or Securities; and</w:t>
      </w:r>
    </w:p>
    <w:p>
      <w:pPr>
        <w:spacing w:after="0" w:line="208" w:lineRule="exact"/>
        <w:rPr>
          <w:rFonts w:ascii="Courier New" w:cs="Courier New" w:eastAsia="Courier New" w:hAnsi="Courier New"/>
          <w:sz w:val="18"/>
          <w:szCs w:val="18"/>
          <w:color w:val="auto"/>
        </w:rPr>
      </w:pPr>
    </w:p>
    <w:p>
      <w:pPr>
        <w:ind w:left="960" w:right="2419" w:firstLine="417"/>
        <w:spacing w:after="0" w:line="235" w:lineRule="auto"/>
        <w:tabs>
          <w:tab w:leader="none" w:pos="201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series (which terms shall not be inconsistent with the provisions of this Indenture).</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All Securities of any one series shall be substantially identical except as to denomination and except as may otherwise be provided in or pursuant to such resolution of the Board of Directors or Officers' Certificate or in any such indenture supplemental hereto. All Securities of any one series need not be issued at the same time and may be issued from time to time, consistent with the terms of this Indenture, if so provided by or pursuant to such a resolution of the Board of Directors, such Officer's Certificate or in any such indenture supplemental hereto.</w:t>
      </w:r>
    </w:p>
    <w:p>
      <w:pPr>
        <w:spacing w:after="0" w:line="212"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2.4 Authentication and Delivery of Securities.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may, if not previously established by a Board Resolution, Officers' Certificate or indenture supplemental hereto pursuant to Section 2.3,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(in the case of subparagraphs 1, 2, 3 and 4 below only at or before the time of the first request of the Issuer to the Trustee to authenticate Securities of such series), and (subject to Section 5.1) shall be fully protected in relying upon, unless and until such documents have been superseded or revoked:</w:t>
      </w:r>
    </w:p>
    <w:p>
      <w:pPr>
        <w:spacing w:after="0" w:line="211" w:lineRule="exact"/>
        <w:rPr>
          <w:sz w:val="20"/>
          <w:szCs w:val="20"/>
          <w:color w:val="auto"/>
        </w:rPr>
      </w:pPr>
    </w:p>
    <w:p>
      <w:pPr>
        <w:ind w:left="960" w:right="2319" w:firstLine="628"/>
        <w:spacing w:after="0" w:line="236" w:lineRule="auto"/>
        <w:tabs>
          <w:tab w:leader="none" w:pos="2119"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any resolution or resolutions of the Board of Directors relating to such series, in each case certified by the Secretary or an Assistant Secretary of the Issuer;</w:t>
      </w:r>
    </w:p>
    <w:p>
      <w:pPr>
        <w:sectPr>
          <w:pgSz w:w="11900" w:h="16838" w:orient="portrait"/>
          <w:cols w:equalWidth="0" w:num="1">
            <w:col w:w="10219"/>
          </w:cols>
          <w:pgMar w:left="240" w:top="520" w:right="1440" w:bottom="1440" w:gutter="0" w:footer="0" w:header="0"/>
        </w:sectPr>
      </w:pPr>
    </w:p>
    <w:bookmarkStart w:id="88" w:name="page89"/>
    <w:bookmarkEnd w:id="88"/>
    <w:p>
      <w:pPr>
        <w:ind w:left="1164" w:hanging="532"/>
        <w:spacing w:after="0"/>
        <w:tabs>
          <w:tab w:leader="none" w:pos="1164"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supplemental indenture, if any;</w:t>
      </w:r>
    </w:p>
    <w:p>
      <w:pPr>
        <w:spacing w:after="0" w:line="206" w:lineRule="exact"/>
        <w:rPr>
          <w:rFonts w:ascii="Courier New" w:cs="Courier New" w:eastAsia="Courier New" w:hAnsi="Courier New"/>
          <w:sz w:val="18"/>
          <w:szCs w:val="18"/>
          <w:color w:val="auto"/>
        </w:rPr>
      </w:pPr>
    </w:p>
    <w:p>
      <w:pPr>
        <w:ind w:left="4" w:right="2419" w:firstLine="628"/>
        <w:spacing w:after="0" w:line="237" w:lineRule="auto"/>
        <w:tabs>
          <w:tab w:leader="none" w:pos="105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Officers' Certificate setting forth the form and terms, or the manner of establishing the terms, of the Securities as required pursuant to Section 2.1 and 2.3, respectively and prepared in accordance with Section 10.5;</w:t>
      </w:r>
    </w:p>
    <w:p>
      <w:pPr>
        <w:spacing w:after="0" w:line="207" w:lineRule="exact"/>
        <w:rPr>
          <w:rFonts w:ascii="Courier New" w:cs="Courier New" w:eastAsia="Courier New" w:hAnsi="Courier New"/>
          <w:sz w:val="18"/>
          <w:szCs w:val="18"/>
          <w:color w:val="auto"/>
        </w:rPr>
      </w:pPr>
    </w:p>
    <w:p>
      <w:pPr>
        <w:ind w:left="4" w:right="1999" w:firstLine="628"/>
        <w:spacing w:after="0" w:line="235" w:lineRule="auto"/>
        <w:tabs>
          <w:tab w:leader="none" w:pos="116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Counsel, prepared in accordance with Section 10.5, to the effect that</w:t>
      </w:r>
    </w:p>
    <w:p>
      <w:pPr>
        <w:spacing w:after="0" w:line="208" w:lineRule="exact"/>
        <w:rPr>
          <w:rFonts w:ascii="Courier New" w:cs="Courier New" w:eastAsia="Courier New" w:hAnsi="Courier New"/>
          <w:sz w:val="18"/>
          <w:szCs w:val="18"/>
          <w:color w:val="auto"/>
        </w:rPr>
      </w:pPr>
    </w:p>
    <w:p>
      <w:pPr>
        <w:ind w:left="624" w:right="2199" w:firstLine="640"/>
        <w:spacing w:after="0" w:line="237" w:lineRule="auto"/>
        <w:tabs>
          <w:tab w:leader="none" w:pos="178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or forms of such Securities have been established by or pursuant to a resolution of the Board of Directors or by a supplemental indenture as permitted by Section 2.1 and 2.3 in conformity with the provisions of this Indenture;</w:t>
      </w:r>
    </w:p>
    <w:p>
      <w:pPr>
        <w:spacing w:after="0" w:line="208" w:lineRule="exact"/>
        <w:rPr>
          <w:rFonts w:ascii="Courier New" w:cs="Courier New" w:eastAsia="Courier New" w:hAnsi="Courier New"/>
          <w:sz w:val="18"/>
          <w:szCs w:val="18"/>
          <w:color w:val="auto"/>
        </w:rPr>
      </w:pPr>
    </w:p>
    <w:p>
      <w:pPr>
        <w:ind w:left="624" w:right="1999" w:firstLine="640"/>
        <w:spacing w:after="0" w:line="270" w:lineRule="auto"/>
        <w:tabs>
          <w:tab w:leader="none" w:pos="1888"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underwritten offering, the terms of the Securities have been duly authorized and established in conformity with the provisions of this Indenture, and, in the case of a Periodic Offering, certain terms of the Securities have been established pursuant to a resolution of the Board of Directors, an Officers' Certificate or a supplemental indenture in accordance with this Indenture, and when such other terms as are to be established pursuant to procedures set forth in an Issuer Order shall have been established, all such terms will have been duly authorized by the Issuer and will have been established in conformity with the provisions of this Indenture;</w:t>
      </w:r>
    </w:p>
    <w:p>
      <w:pPr>
        <w:spacing w:after="0" w:line="390" w:lineRule="exact"/>
        <w:rPr>
          <w:rFonts w:ascii="Courier New" w:cs="Courier New" w:eastAsia="Courier New" w:hAnsi="Courier New"/>
          <w:sz w:val="16"/>
          <w:szCs w:val="16"/>
          <w:color w:val="auto"/>
        </w:rPr>
      </w:pPr>
    </w:p>
    <w:p>
      <w:pPr>
        <w:ind w:left="624" w:right="1999" w:firstLine="640"/>
        <w:spacing w:after="0" w:line="275" w:lineRule="auto"/>
        <w:tabs>
          <w:tab w:leader="none" w:pos="1783"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182" w:lineRule="exact"/>
        <w:rPr>
          <w:rFonts w:ascii="Courier New" w:cs="Courier New" w:eastAsia="Courier New" w:hAnsi="Courier New"/>
          <w:sz w:val="16"/>
          <w:szCs w:val="16"/>
          <w:color w:val="auto"/>
        </w:rPr>
      </w:pPr>
    </w:p>
    <w:p>
      <w:pPr>
        <w:ind w:left="624" w:right="2419" w:firstLine="640"/>
        <w:spacing w:after="0" w:line="236" w:lineRule="auto"/>
        <w:tabs>
          <w:tab w:leader="none" w:pos="178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laws and requirements in respect of the execution and delivery by the Issuer of the Securities have been complied with; and</w:t>
      </w:r>
    </w:p>
    <w:p>
      <w:pPr>
        <w:spacing w:after="0" w:line="208" w:lineRule="exact"/>
        <w:rPr>
          <w:rFonts w:ascii="Courier New" w:cs="Courier New" w:eastAsia="Courier New" w:hAnsi="Courier New"/>
          <w:sz w:val="18"/>
          <w:szCs w:val="18"/>
          <w:color w:val="auto"/>
        </w:rPr>
      </w:pPr>
    </w:p>
    <w:p>
      <w:pPr>
        <w:ind w:left="624" w:right="2619" w:firstLine="640"/>
        <w:spacing w:after="0" w:line="235" w:lineRule="auto"/>
        <w:tabs>
          <w:tab w:leader="none" w:pos="1783"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covering such other matters as the Trustee may reasonably request.</w:t>
      </w:r>
    </w:p>
    <w:p>
      <w:pPr>
        <w:spacing w:after="0" w:line="202" w:lineRule="exact"/>
        <w:rPr>
          <w:rFonts w:ascii="Courier New" w:cs="Courier New" w:eastAsia="Courier New" w:hAnsi="Courier New"/>
          <w:sz w:val="18"/>
          <w:szCs w:val="18"/>
          <w:color w:val="auto"/>
        </w:rPr>
      </w:pPr>
    </w:p>
    <w:p>
      <w:pPr>
        <w:ind w:left="1044" w:hanging="412"/>
        <w:spacing w:after="0"/>
        <w:tabs>
          <w:tab w:leader="none" w:pos="1044"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Issuer Order requesting such authentication and</w:t>
      </w:r>
    </w:p>
    <w:p>
      <w:pPr>
        <w:spacing w:after="0" w:line="4" w:lineRule="exact"/>
        <w:rPr>
          <w:sz w:val="20"/>
          <w:szCs w:val="20"/>
          <w:color w:val="auto"/>
        </w:rPr>
      </w:pPr>
    </w:p>
    <w:p>
      <w:pPr>
        <w:ind w:left="4" w:right="2319"/>
        <w:spacing w:after="0" w:line="270" w:lineRule="auto"/>
        <w:rPr>
          <w:sz w:val="20"/>
          <w:szCs w:val="20"/>
          <w:color w:val="auto"/>
        </w:rPr>
      </w:pPr>
      <w:r>
        <w:rPr>
          <w:rFonts w:ascii="Courier New" w:cs="Courier New" w:eastAsia="Courier New" w:hAnsi="Courier New"/>
          <w:sz w:val="16"/>
          <w:szCs w:val="16"/>
          <w:color w:val="auto"/>
        </w:rPr>
        <w:t>setting forth delivery instructions if the Securities are not to be delivered to the Issuer, provided that, with respect to Securities of a series subject to a Periodic Offering, (a) such Issuer Order may be delivered by the Issuer to the Trustee prior to the delivery to the Trustee of such Securities for authentication and delivery, (b) the Trustee shall authenticate and deliver Securities of such series for original issue from time to time, in an aggregate principal amount not exceeding the aggregate principal amount established for such series, pursuant to an Issuer Order or pursuant to procedures acceptable to the Trustee as may be specified from time to time by an Issuer Order,</w:t>
      </w:r>
    </w:p>
    <w:p>
      <w:pPr>
        <w:spacing w:after="0" w:line="189" w:lineRule="exact"/>
        <w:rPr>
          <w:sz w:val="20"/>
          <w:szCs w:val="20"/>
          <w:color w:val="auto"/>
        </w:rPr>
      </w:pPr>
    </w:p>
    <w:p>
      <w:pPr>
        <w:ind w:left="4" w:right="2319" w:hanging="4"/>
        <w:spacing w:after="0" w:line="237" w:lineRule="auto"/>
        <w:tabs>
          <w:tab w:leader="none" w:pos="425"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maturity date or dates, original issue date or dates, interest rate or rates and any other terms of Securities of such series shall be determined by an Issuer Order or pursuant to such procedures and (d) if provided for in such procedures, such Issuer Order may authorize authentication and delivery pursuant to oral or electronic instructions from the Issuer or its duly authorized agent or agents, which oral instructions shall be promptly confirmed in writing;</w:t>
      </w:r>
    </w:p>
    <w:p>
      <w:pPr>
        <w:sectPr>
          <w:pgSz w:w="11900" w:h="16838" w:orient="portrait"/>
          <w:cols w:equalWidth="0" w:num="1">
            <w:col w:w="9263"/>
          </w:cols>
          <w:pgMar w:left="1196" w:top="717" w:right="1440" w:bottom="1440" w:gutter="0" w:footer="0" w:header="0"/>
        </w:sectPr>
      </w:pPr>
    </w:p>
    <w:bookmarkStart w:id="89" w:name="page90"/>
    <w:bookmarkEnd w:id="89"/>
    <w:p>
      <w:pPr>
        <w:ind w:right="1999" w:firstLine="1580"/>
        <w:spacing w:after="0" w:line="237" w:lineRule="auto"/>
        <w:rPr>
          <w:sz w:val="20"/>
          <w:szCs w:val="20"/>
          <w:color w:val="auto"/>
        </w:rPr>
      </w:pPr>
      <w:r>
        <w:rPr>
          <w:rFonts w:ascii="Courier New" w:cs="Courier New" w:eastAsia="Courier New" w:hAnsi="Courier New"/>
          <w:sz w:val="18"/>
          <w:szCs w:val="18"/>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214"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2.5 Execution of Securities. The Securities shall be signed on behalf of the Issuer by both (a) the chairman of its Board of Directors or any vice chairman of its Board of Directors or its president or any vice president and (b) by its treasurer or any assistant treasurer or its secretary or any assistant secretary, under its corporate seal which may, but need not, be attested.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215"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If the Issuer shall establish pursuant to Section 2.3 that the Securities of a series are to be issued in the form of one or more Global Securities, then the Issuer shall execute and the Trustee shall, in accordance with this Section and the Issuer Order with respect to such series, authenticate and deliver one or more Global Securities that (i) shall represent and shall be denominated in an amount equal to the aggregate principal amount of all of the Securities of such series having the same terms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such Depositary or by the Depositary or any such nominee to a successor Depositary or a nominee of such successor Depositary."</w:t>
      </w:r>
    </w:p>
    <w:p>
      <w:pPr>
        <w:spacing w:after="0" w:line="209"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Each Depositary designated pursuant to Section 2.3 must, at the time of its designation and at all times while it serves as Depositary, be a clearing agency registered under the Securities Exchange Act of 1934, as amended, and any other applicable statute or regulation.</w:t>
      </w:r>
    </w:p>
    <w:p>
      <w:pPr>
        <w:spacing w:after="0" w:line="207" w:lineRule="exact"/>
        <w:rPr>
          <w:sz w:val="20"/>
          <w:szCs w:val="20"/>
          <w:color w:val="auto"/>
        </w:rPr>
      </w:pPr>
    </w:p>
    <w:p>
      <w:pPr>
        <w:ind w:right="1999" w:firstLine="1580"/>
        <w:spacing w:after="0" w:line="290" w:lineRule="auto"/>
        <w:rPr>
          <w:sz w:val="20"/>
          <w:szCs w:val="20"/>
          <w:color w:val="auto"/>
        </w:rPr>
      </w:pPr>
      <w:r>
        <w:rPr>
          <w:rFonts w:ascii="Courier New" w:cs="Courier New" w:eastAsia="Courier New" w:hAnsi="Courier New"/>
          <w:sz w:val="16"/>
          <w:szCs w:val="16"/>
          <w:color w:val="auto"/>
        </w:rPr>
        <w:t>Notwithstanding any other provision of this Section 2.5, unless and until it is exchanged in whole or in part for Securities in definitive</w:t>
      </w:r>
    </w:p>
    <w:p>
      <w:pPr>
        <w:sectPr>
          <w:pgSz w:w="11900" w:h="16838" w:orient="portrait"/>
          <w:cols w:equalWidth="0" w:num="1">
            <w:col w:w="10219"/>
          </w:cols>
          <w:pgMar w:left="240" w:top="722" w:right="1440" w:bottom="1440" w:gutter="0" w:footer="0" w:header="0"/>
        </w:sectPr>
      </w:pPr>
    </w:p>
    <w:bookmarkStart w:id="90" w:name="page91"/>
    <w:bookmarkEnd w:id="90"/>
    <w:p>
      <w:pPr>
        <w:ind w:right="1999"/>
        <w:spacing w:after="0" w:line="237" w:lineRule="auto"/>
        <w:rPr>
          <w:sz w:val="20"/>
          <w:szCs w:val="20"/>
          <w:color w:val="auto"/>
        </w:rPr>
      </w:pPr>
      <w:r>
        <w:rPr>
          <w:rFonts w:ascii="Courier New" w:cs="Courier New" w:eastAsia="Courier New" w:hAnsi="Courier New"/>
          <w:sz w:val="18"/>
          <w:szCs w:val="18"/>
          <w:color w:val="auto"/>
        </w:rPr>
        <w:t>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210"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If at any time the Depositary for any Securities of a series represented by one or more Global Securities notifies the Issuer that it is unwilling or unable to continue as Depositary for such Securities or if at any time the Depositary for such Securities shall no longer be eligible under this Section 2.5, the Issuer shall appoint a successor Depositary eligible under this Section 2.5 with respect to such Securities. If a successor Depositary eligible under this Section 2.5 for such Securities is not appointed by the Issuer within 90 days after the Issuer receives such notice or becomes aware of such ineligibility, the Issuer's election pursuant to Section 2.3 that such Securities be represented by one or more Global Securities shall no longer be effective and the Issuer will execute, and the Trustee, upon receipt of an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Global Security or Securities representing such Securities in exchange for such Global Security or Securities.</w:t>
      </w:r>
    </w:p>
    <w:p>
      <w:pPr>
        <w:spacing w:after="0" w:line="39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Issuer Order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Global Security or Securities representing such Securities, in exchange for such Global Security or Securities.</w:t>
      </w:r>
    </w:p>
    <w:p>
      <w:pPr>
        <w:spacing w:after="0" w:line="215"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If specified by the Issuer pursuant to Section 2.3 with respect to Securities represented by a Global Security, the Depositary for such Global Security may surrender such Global Security in exchange in whole or in part for Securities of the same series in definitive registered form on such terms as are acceptable to the Issuer and such Depositary. Thereupon, the Issuer shall execute, and the Trustee shall authenticate and deliver, without service charge,</w:t>
      </w:r>
    </w:p>
    <w:p>
      <w:pPr>
        <w:spacing w:after="0" w:line="211" w:lineRule="exact"/>
        <w:rPr>
          <w:sz w:val="20"/>
          <w:szCs w:val="20"/>
          <w:color w:val="auto"/>
        </w:rPr>
      </w:pPr>
    </w:p>
    <w:p>
      <w:pPr>
        <w:jc w:val="both"/>
        <w:ind w:left="960" w:right="2099" w:firstLine="628"/>
        <w:spacing w:after="0" w:line="237" w:lineRule="auto"/>
        <w:tabs>
          <w:tab w:leader="none" w:pos="2119"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208" w:lineRule="exact"/>
        <w:rPr>
          <w:rFonts w:ascii="Courier New" w:cs="Courier New" w:eastAsia="Courier New" w:hAnsi="Courier New"/>
          <w:sz w:val="18"/>
          <w:szCs w:val="18"/>
          <w:color w:val="auto"/>
        </w:rPr>
      </w:pPr>
    </w:p>
    <w:p>
      <w:pPr>
        <w:ind w:left="960" w:right="1999" w:firstLine="628"/>
        <w:spacing w:after="0" w:line="268" w:lineRule="auto"/>
        <w:tabs>
          <w:tab w:leader="none" w:pos="2224"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w:t>
      </w:r>
    </w:p>
    <w:p>
      <w:pPr>
        <w:ind w:left="1380" w:hanging="424"/>
        <w:spacing w:after="0" w:line="238" w:lineRule="auto"/>
        <w:tabs>
          <w:tab w:leader="none" w:pos="138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w:t>
      </w:r>
    </w:p>
    <w:p>
      <w:pPr>
        <w:spacing w:after="0" w:line="207"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Upon the exchange of a Global Security for Securities in definitive registered form without coupons, in authorized denominations, such Global Security shall be cancelled by the Trustee or an agent of the Issuer or the Trustee. Securities in definitive registered form without coupons issued</w:t>
      </w:r>
    </w:p>
    <w:p>
      <w:pPr>
        <w:sectPr>
          <w:pgSz w:w="11900" w:h="16838" w:orient="portrait"/>
          <w:cols w:equalWidth="0" w:num="1">
            <w:col w:w="10219"/>
          </w:cols>
          <w:pgMar w:left="240" w:top="520" w:right="1440" w:bottom="1440" w:gutter="0" w:footer="0" w:header="0"/>
        </w:sectPr>
      </w:pPr>
    </w:p>
    <w:bookmarkStart w:id="91" w:name="page92"/>
    <w:bookmarkEnd w:id="91"/>
    <w:p>
      <w:pPr>
        <w:ind w:right="1999"/>
        <w:spacing w:after="0" w:line="237" w:lineRule="auto"/>
        <w:rPr>
          <w:sz w:val="20"/>
          <w:szCs w:val="20"/>
          <w:color w:val="auto"/>
        </w:rPr>
      </w:pPr>
      <w:r>
        <w:rPr>
          <w:rFonts w:ascii="Courier New" w:cs="Courier New" w:eastAsia="Courier New" w:hAnsi="Courier New"/>
          <w:sz w:val="18"/>
          <w:szCs w:val="18"/>
          <w:color w:val="auto"/>
        </w:rPr>
        <w:t>in exchange for a Global Security pursuant to this Section 2.5 shall be registered in such names and in such authorized denominations as the Depositary for such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211"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2.6 Certificate of Authentication.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21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2.7 Denomination and Date of Securities; Payments of Interest. The Securities shall be issuable as registered securities without coupons and in denominations as shall be specified as contemplated by Section 2.3.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with the approval of the Trustee as evidenced by the execution and authentication thereof.</w:t>
      </w:r>
    </w:p>
    <w:p>
      <w:pPr>
        <w:spacing w:after="0" w:line="215" w:lineRule="exact"/>
        <w:rPr>
          <w:sz w:val="20"/>
          <w:szCs w:val="20"/>
          <w:color w:val="auto"/>
        </w:rPr>
      </w:pPr>
    </w:p>
    <w:p>
      <w:pPr>
        <w:ind w:right="2099" w:firstLine="1580"/>
        <w:spacing w:after="0" w:line="279" w:lineRule="auto"/>
        <w:rPr>
          <w:sz w:val="20"/>
          <w:szCs w:val="20"/>
          <w:color w:val="auto"/>
        </w:rPr>
      </w:pPr>
      <w:r>
        <w:rPr>
          <w:rFonts w:ascii="Courier New" w:cs="Courier New" w:eastAsia="Courier New" w:hAnsi="Courier New"/>
          <w:sz w:val="16"/>
          <w:szCs w:val="16"/>
          <w:color w:val="auto"/>
        </w:rPr>
        <w:t>Each Security shall be dated the date of its authentication, shall bear interest, if any, from the date and shall be payable on the dates, in each case, which shall be specified as contemplated by Section 2.3.</w:t>
      </w:r>
    </w:p>
    <w:p>
      <w:pPr>
        <w:spacing w:after="0" w:line="178"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200" w:lineRule="exact"/>
        <w:rPr>
          <w:sz w:val="20"/>
          <w:szCs w:val="20"/>
          <w:color w:val="auto"/>
        </w:rPr>
      </w:pPr>
    </w:p>
    <w:p>
      <w:pPr>
        <w:spacing w:after="0" w:line="397" w:lineRule="exact"/>
        <w:rPr>
          <w:sz w:val="20"/>
          <w:szCs w:val="20"/>
          <w:color w:val="auto"/>
        </w:rPr>
      </w:pPr>
    </w:p>
    <w:p>
      <w:pPr>
        <w:ind w:right="2099" w:firstLine="1580"/>
        <w:spacing w:after="0" w:line="273" w:lineRule="auto"/>
        <w:rPr>
          <w:sz w:val="20"/>
          <w:szCs w:val="20"/>
          <w:color w:val="auto"/>
        </w:rPr>
      </w:pPr>
      <w:r>
        <w:rPr>
          <w:rFonts w:ascii="Courier New" w:cs="Courier New" w:eastAsia="Courier New" w:hAnsi="Courier New"/>
          <w:sz w:val="16"/>
          <w:szCs w:val="16"/>
          <w:color w:val="auto"/>
        </w:rPr>
        <w:t>SECTION 2.8 Registration, Transfer and Exchange. The Issuer will keep or cause to be kept at each office or agency to be maintained for the purpose as provided in Section 3.2 a register or registers in which, subject to such reasonable regulations as it may prescribe, it will register, and will register the transfer of, Securities as in this Article provided.</w:t>
      </w:r>
    </w:p>
    <w:p>
      <w:pPr>
        <w:sectPr>
          <w:pgSz w:w="11900" w:h="16838" w:orient="portrait"/>
          <w:cols w:equalWidth="0" w:num="1">
            <w:col w:w="10219"/>
          </w:cols>
          <w:pgMar w:left="240" w:top="520" w:right="1440" w:bottom="1440" w:gutter="0" w:footer="0" w:header="0"/>
        </w:sectPr>
      </w:pPr>
    </w:p>
    <w:bookmarkStart w:id="92" w:name="page93"/>
    <w:bookmarkEnd w:id="92"/>
    <w:p>
      <w:pPr>
        <w:ind w:right="1999"/>
        <w:spacing w:after="0" w:line="237" w:lineRule="auto"/>
        <w:rPr>
          <w:sz w:val="20"/>
          <w:szCs w:val="20"/>
          <w:color w:val="auto"/>
        </w:rPr>
      </w:pPr>
      <w:r>
        <w:rPr>
          <w:rFonts w:ascii="Courier New" w:cs="Courier New" w:eastAsia="Courier New" w:hAnsi="Courier New"/>
          <w:sz w:val="18"/>
          <w:szCs w:val="18"/>
          <w:color w:val="auto"/>
        </w:rPr>
        <w:t>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Upon due presentation for registration of transfer of any Security of any series at any such office or agency to be maintained for the purpose as provided in Section 3.2, the Issuer shall execute and the Trustee shall authenticate and deliver in the name of the transferee or transferees a new Security or Securities of the same series in authorized denominations for a like aggregate principal amount.</w:t>
      </w:r>
    </w:p>
    <w:p>
      <w:pPr>
        <w:spacing w:after="0" w:line="210" w:lineRule="exact"/>
        <w:rPr>
          <w:sz w:val="20"/>
          <w:szCs w:val="20"/>
          <w:color w:val="auto"/>
        </w:rPr>
      </w:pPr>
    </w:p>
    <w:p>
      <w:pPr>
        <w:ind w:right="2419" w:firstLine="1580"/>
        <w:spacing w:after="0" w:line="237" w:lineRule="auto"/>
        <w:rPr>
          <w:sz w:val="20"/>
          <w:szCs w:val="20"/>
          <w:color w:val="auto"/>
        </w:rPr>
      </w:pPr>
      <w:r>
        <w:rPr>
          <w:rFonts w:ascii="Courier New" w:cs="Courier New" w:eastAsia="Courier New" w:hAnsi="Courier New"/>
          <w:sz w:val="18"/>
          <w:szCs w:val="18"/>
          <w:color w:val="auto"/>
        </w:rPr>
        <w:t>Any Security or Securities of any series may be exchanged for a Security or Securities of the same series in other authorized denominations, in an equal aggregate principal amount. Securities of any series to be exchanged shall be surrendered at any office or agency to be maintained by the Issuer for the purpose as provided in Section 3.2, and the Issuer shall execute and the Trustee shall authenticate and deliver in exchange therefor the Security or Securities of the same series which the Securityholder making the exchange shall be entitled to receive, bearing numbers not contemporaneously outstanding.</w:t>
      </w:r>
    </w:p>
    <w:p>
      <w:pPr>
        <w:spacing w:after="0" w:line="214" w:lineRule="exact"/>
        <w:rPr>
          <w:sz w:val="20"/>
          <w:szCs w:val="20"/>
          <w:color w:val="auto"/>
        </w:rPr>
      </w:pPr>
    </w:p>
    <w:p>
      <w:pPr>
        <w:ind w:right="2419" w:firstLine="1580"/>
        <w:spacing w:after="0" w:line="273" w:lineRule="auto"/>
        <w:rPr>
          <w:sz w:val="20"/>
          <w:szCs w:val="20"/>
          <w:color w:val="auto"/>
        </w:rPr>
      </w:pPr>
      <w:r>
        <w:rPr>
          <w:rFonts w:ascii="Courier New" w:cs="Courier New" w:eastAsia="Courier New" w:hAnsi="Courier New"/>
          <w:sz w:val="16"/>
          <w:szCs w:val="16"/>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attorney duly authorized in writing.</w:t>
      </w:r>
    </w:p>
    <w:p>
      <w:pPr>
        <w:spacing w:after="0" w:line="185"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except, in the case of any Security where notice has been given that such Security is to be redeemed in part, the portion thereof not so to be redeemed.</w:t>
      </w:r>
    </w:p>
    <w:p>
      <w:pPr>
        <w:spacing w:after="0" w:line="211"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207" w:lineRule="exact"/>
        <w:rPr>
          <w:sz w:val="20"/>
          <w:szCs w:val="20"/>
          <w:color w:val="auto"/>
        </w:rPr>
      </w:pPr>
    </w:p>
    <w:p>
      <w:pPr>
        <w:ind w:right="2319" w:firstLine="1580"/>
        <w:spacing w:after="0" w:line="270" w:lineRule="auto"/>
        <w:rPr>
          <w:sz w:val="20"/>
          <w:szCs w:val="20"/>
          <w:color w:val="auto"/>
        </w:rPr>
      </w:pPr>
      <w:r>
        <w:rPr>
          <w:rFonts w:ascii="Courier New" w:cs="Courier New" w:eastAsia="Courier New" w:hAnsi="Courier New"/>
          <w:sz w:val="16"/>
          <w:szCs w:val="16"/>
          <w:color w:val="auto"/>
        </w:rPr>
        <w:t>SECTION 2.9 Mutilated, Defaced, Destroyed, Lost and Stolen Securities.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bearing a number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shall furnish evidence to their satisfaction of the destruction, loss or theft of such Security and of the ownership thereof.</w:t>
      </w:r>
    </w:p>
    <w:p>
      <w:pPr>
        <w:sectPr>
          <w:pgSz w:w="11900" w:h="16838" w:orient="portrait"/>
          <w:cols w:equalWidth="0" w:num="1">
            <w:col w:w="10219"/>
          </w:cols>
          <w:pgMar w:left="240" w:top="520" w:right="1440" w:bottom="1440" w:gutter="0" w:footer="0" w:header="0"/>
        </w:sectPr>
      </w:pPr>
    </w:p>
    <w:bookmarkStart w:id="93" w:name="page94"/>
    <w:bookmarkEnd w:id="93"/>
    <w:p>
      <w:pPr>
        <w:ind w:right="1999" w:firstLine="1580"/>
        <w:spacing w:after="0" w:line="270" w:lineRule="auto"/>
        <w:rPr>
          <w:sz w:val="20"/>
          <w:szCs w:val="20"/>
          <w:color w:val="auto"/>
        </w:rPr>
      </w:pPr>
      <w:r>
        <w:rPr>
          <w:rFonts w:ascii="Courier New" w:cs="Courier New" w:eastAsia="Courier New" w:hAnsi="Courier New"/>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38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that substitute Security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208" w:lineRule="exact"/>
        <w:rPr>
          <w:sz w:val="20"/>
          <w:szCs w:val="20"/>
          <w:color w:val="auto"/>
        </w:rPr>
      </w:pPr>
    </w:p>
    <w:p>
      <w:pPr>
        <w:ind w:right="2099" w:firstLine="1580"/>
        <w:spacing w:after="0" w:line="270" w:lineRule="auto"/>
        <w:rPr>
          <w:sz w:val="20"/>
          <w:szCs w:val="20"/>
          <w:color w:val="auto"/>
        </w:rPr>
      </w:pPr>
      <w:r>
        <w:rPr>
          <w:rFonts w:ascii="Courier New" w:cs="Courier New" w:eastAsia="Courier New" w:hAnsi="Courier New"/>
          <w:sz w:val="16"/>
          <w:szCs w:val="16"/>
          <w:color w:val="auto"/>
        </w:rPr>
        <w:t>SECTION 2.10 Cancellation of Securities; Disposition Thereof. All Securities surrendered for payment, redemption, registration of transfer or exchange, or for credit against any payment in respect of a sinking or analogous fund, if surrendered to the Issuer or any agent of the Issuer or of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in accordance with its customary procedures and deliver a certificate of disposition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389"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2.11 Temporary Securities.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w:t>
      </w:r>
    </w:p>
    <w:p>
      <w:pPr>
        <w:sectPr>
          <w:pgSz w:w="11900" w:h="16838" w:orient="portrait"/>
          <w:cols w:equalWidth="0" w:num="1">
            <w:col w:w="10219"/>
          </w:cols>
          <w:pgMar w:left="240" w:top="722" w:right="1440" w:bottom="1440" w:gutter="0" w:footer="0" w:header="0"/>
        </w:sectPr>
      </w:pPr>
    </w:p>
    <w:bookmarkStart w:id="94" w:name="page95"/>
    <w:bookmarkEnd w:id="94"/>
    <w:p>
      <w:pPr>
        <w:ind w:right="2319"/>
        <w:spacing w:after="0" w:line="270" w:lineRule="auto"/>
        <w:rPr>
          <w:sz w:val="20"/>
          <w:szCs w:val="20"/>
          <w:color w:val="auto"/>
        </w:rPr>
      </w:pPr>
      <w:r>
        <w:rPr>
          <w:rFonts w:ascii="Courier New" w:cs="Courier New" w:eastAsia="Courier New" w:hAnsi="Courier New"/>
          <w:sz w:val="16"/>
          <w:szCs w:val="16"/>
          <w:color w:val="auto"/>
        </w:rPr>
        <w:t>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392"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2.12 Computation of Interest. Except as otherwise specified as contemplated by Section 2.3 for Securities of any series, interest on the Securities of each series shall be computed on the basis of a 360 day year of twelve 30-day months.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THREE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COVENANTS OF THE ISSUER AND THE TRUSTEE</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3.1 Payment of Principal and Interest.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instalment of interest on the Securities of any series may be paid by mailing checks for such interest payable to or upon the written order of the holders of Securities entitled thereto as they shall appear on the registry books of the Issuer.</w:t>
      </w:r>
    </w:p>
    <w:p>
      <w:pPr>
        <w:spacing w:after="0" w:line="214" w:lineRule="exact"/>
        <w:rPr>
          <w:sz w:val="20"/>
          <w:szCs w:val="20"/>
          <w:color w:val="auto"/>
        </w:rPr>
      </w:pPr>
    </w:p>
    <w:p>
      <w:pPr>
        <w:ind w:right="2319" w:firstLine="1580"/>
        <w:spacing w:after="0" w:line="238" w:lineRule="auto"/>
        <w:rPr>
          <w:sz w:val="20"/>
          <w:szCs w:val="20"/>
          <w:color w:val="auto"/>
        </w:rPr>
      </w:pPr>
      <w:r>
        <w:rPr>
          <w:rFonts w:ascii="Courier New" w:cs="Courier New" w:eastAsia="Courier New" w:hAnsi="Courier New"/>
          <w:sz w:val="18"/>
          <w:szCs w:val="18"/>
          <w:color w:val="auto"/>
        </w:rPr>
        <w:t>SECTION 3.2 Offices for Payments, etc. So long as any of the Securities remain Outstanding, the Issuer will maintain in The City of New York, the following for each series: an office or agency (a) where the Securities may be presented for payment, (b) where the Securities may be presented for registration of transfer and for exchange as in this Indenture provided and (c) where notices and demands to or upon the Issuer in respect of the Securities or of this Indenture may be served. The Issuer will give to the Trustee written notice of the location of any such office or agency and of any change of location thereof. Unless otherwise specified in accordance with Section 2.3, the Issuer hereby initially designates the Corporate Trust Office of Chemical Bank,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208"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SECTION 3.3 Appointment to Fill a Vacancy in Office of Trustee. The Issuer, whenever necessary to avoid or fill a vacancy in the office of Trustee, will appoint, in the manner provided in Section 5.9, a Trustee, so that there shall at all times be a Trustee with respect to each series of Securities hereunder.</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3.4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203"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that it will hold all sums received by it as such agent</w:t>
      </w:r>
    </w:p>
    <w:p>
      <w:pPr>
        <w:sectPr>
          <w:pgSz w:w="11900" w:h="16838" w:orient="portrait"/>
          <w:cols w:equalWidth="0" w:num="1">
            <w:col w:w="10219"/>
          </w:cols>
          <w:pgMar w:left="240" w:top="520" w:right="1440" w:bottom="1440" w:gutter="0" w:footer="0" w:header="0"/>
        </w:sectPr>
      </w:pPr>
    </w:p>
    <w:bookmarkStart w:id="95" w:name="page96"/>
    <w:bookmarkEnd w:id="95"/>
    <w:p>
      <w:pPr>
        <w:ind w:left="960" w:right="1999"/>
        <w:spacing w:after="0" w:line="237" w:lineRule="auto"/>
        <w:rPr>
          <w:sz w:val="20"/>
          <w:szCs w:val="20"/>
          <w:color w:val="auto"/>
        </w:rPr>
      </w:pPr>
      <w:r>
        <w:rPr>
          <w:rFonts w:ascii="Courier New" w:cs="Courier New" w:eastAsia="Courier New" w:hAnsi="Courier New"/>
          <w:sz w:val="18"/>
          <w:szCs w:val="18"/>
          <w:color w:val="auto"/>
        </w:rPr>
        <w:t>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209" w:lineRule="exact"/>
        <w:rPr>
          <w:sz w:val="20"/>
          <w:szCs w:val="20"/>
          <w:color w:val="auto"/>
        </w:rPr>
      </w:pPr>
    </w:p>
    <w:p>
      <w:pPr>
        <w:ind w:left="960" w:right="1999" w:firstLine="628"/>
        <w:spacing w:after="0" w:line="275" w:lineRule="auto"/>
        <w:tabs>
          <w:tab w:leader="none" w:pos="211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82" w:lineRule="exact"/>
        <w:rPr>
          <w:rFonts w:ascii="Courier New" w:cs="Courier New" w:eastAsia="Courier New" w:hAnsi="Courier New"/>
          <w:sz w:val="16"/>
          <w:szCs w:val="16"/>
          <w:color w:val="auto"/>
        </w:rPr>
      </w:pPr>
    </w:p>
    <w:p>
      <w:pPr>
        <w:ind w:left="960" w:right="1999" w:firstLine="628"/>
        <w:spacing w:after="0" w:line="236" w:lineRule="auto"/>
        <w:tabs>
          <w:tab w:leader="none" w:pos="2119"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will pay any such sums so held by it in trust to the Trustee upon the Trustee's written request at any time during the continuance of the failure referred to in clause (b) above.</w:t>
      </w:r>
    </w:p>
    <w:p>
      <w:pPr>
        <w:spacing w:after="0" w:line="209"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209"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211"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211" w:lineRule="exact"/>
        <w:rPr>
          <w:sz w:val="20"/>
          <w:szCs w:val="20"/>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Anything in this Section to the contrary notwithstanding, the agreement to hold sums in trust as provided in this Section is subject to the provisions of Section 9.3 and 9.4.</w:t>
      </w:r>
    </w:p>
    <w:p>
      <w:pPr>
        <w:spacing w:after="0" w:line="209" w:lineRule="exact"/>
        <w:rPr>
          <w:sz w:val="20"/>
          <w:szCs w:val="20"/>
          <w:color w:val="auto"/>
        </w:rPr>
      </w:pPr>
    </w:p>
    <w:p>
      <w:pPr>
        <w:ind w:right="2419" w:firstLine="1580"/>
        <w:spacing w:after="0" w:line="238" w:lineRule="auto"/>
        <w:rPr>
          <w:sz w:val="20"/>
          <w:szCs w:val="20"/>
          <w:color w:val="auto"/>
        </w:rPr>
      </w:pPr>
      <w:r>
        <w:rPr>
          <w:rFonts w:ascii="Courier New" w:cs="Courier New" w:eastAsia="Courier New" w:hAnsi="Courier New"/>
          <w:sz w:val="18"/>
          <w:szCs w:val="18"/>
          <w:color w:val="auto"/>
        </w:rPr>
        <w:t>SECTION 3.5 Certificate of the Issuer. The Issuer will deliver to the Trustee, on or before a date not more than 120 days after the end of each fiscal year of the Issuer ending after the date of this Indenture, a written statement signed by the following officers (one of whom shall be the principal executive, financial or accounting officer of the Issuer): the Chairman, the President or a Vice President, and by the Treasurer, an Assistant Treasurer, the Comptroller, an Assistant Comptroller, the Secretary or the Assistant Secretary of the Issuer, stating whether or not, after a review under each signer's supervision of the activities of the Issuer during such year and of the Issuer's performance under this Indenture, to the best knowledge, based on such review, of the signers thereof, the Issuer has fulfilled all of its obligations, conditions and covenants under this Indenture throughout such year, and, if there has been a default in the fulfillment of any such obligation, condition or covenant specifying each default and the nature and status thereof.</w:t>
      </w:r>
    </w:p>
    <w:p>
      <w:pPr>
        <w:spacing w:after="0" w:line="208"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SECTION 3.6 Securityholders Lists. If and so long as the Trustee shall not be the Security registrar for the Securities of any series, the Issuer will furnish or cause to be furnished to the Trustee a list in such</w:t>
      </w:r>
    </w:p>
    <w:p>
      <w:pPr>
        <w:sectPr>
          <w:pgSz w:w="11900" w:h="16838" w:orient="portrait"/>
          <w:cols w:equalWidth="0" w:num="1">
            <w:col w:w="10219"/>
          </w:cols>
          <w:pgMar w:left="240" w:top="520"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form as the</w:t>
            </w:r>
          </w:p>
        </w:tc>
        <w:tc>
          <w:tcPr>
            <w:tcW w:w="66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Trustee may reasonably require of the names and addresses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holders</w:t>
            </w:r>
          </w:p>
        </w:tc>
        <w:tc>
          <w:tcPr>
            <w:tcW w:w="6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of the Securities of such series pursuant to Section 312 of the</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Trust Indenture Act of 1939</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 semi-annually not more than 15 days</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record</w:t>
            </w:r>
          </w:p>
        </w:tc>
        <w:tc>
          <w:tcPr>
            <w:tcW w:w="5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date for the payment of interest on such Securities, as</w:t>
            </w:r>
          </w:p>
        </w:tc>
        <w:tc>
          <w:tcPr>
            <w:tcW w:w="78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hereinabove</w:t>
            </w:r>
          </w:p>
        </w:tc>
        <w:tc>
          <w:tcPr>
            <w:tcW w:w="6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specified, as of such record date and on dates to be determined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pursuant to</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Section 2.3 for</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non-interest bearing securities in each</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and (b) at such other times</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the Trustee may request in writing, within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thirty days</w:t>
            </w:r>
          </w:p>
        </w:tc>
        <w:tc>
          <w:tcPr>
            <w:tcW w:w="5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after receipt by the Issuer of any such request as of a</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not more than 15 days prior</w:t>
            </w:r>
          </w:p>
        </w:tc>
        <w:tc>
          <w:tcPr>
            <w:tcW w:w="5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the time such information is furnished.</w:t>
            </w:r>
          </w:p>
        </w:tc>
      </w:tr>
    </w:tbl>
    <w:p>
      <w:pPr>
        <w:spacing w:after="0" w:line="207"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SECTION 3.7 Reports by the Issuer. The Issuer covenants to file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 or pursuant to Section 314 of the Trust Indenture Act of 1939.</w:t>
      </w:r>
    </w:p>
    <w:p>
      <w:pPr>
        <w:spacing w:after="0" w:line="186"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3.8 Reports by the Trustee. Any Trustee's report required under Section 313(a) of the Trust Indenture Act of 1939 shall be transmitted on or before July 15 in each year following the date hereof, so long as any Securities are Outstanding hereunder, and shall be dated as of a date convenient to the Trustee no more than 60 nor less than 45 days prior thereto. At the time it delivers such report, the Trustee shall deliver a copy thereof to the Issuer.</w:t>
      </w:r>
    </w:p>
    <w:p>
      <w:pPr>
        <w:spacing w:after="0" w:line="211"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SECTION 3.9 Limitation on Liens. The Issuer will not, nor will it permit any Restricted Subsidiary to, incur, assume, guarantee or suffer to exist any Indebtedness for money borrowed (herein referred to as "Debt") if such Debt is secured, directly or indirectly, by any mortgage, pledge, security interest or lien of any kind (hereinafter referred to as a "Mortgage") upon any Principal Property or upon any Indebtedness or share of capital stock of any Restricted Subsidiary which owns any Principal Property, now owned or hereafter acquired, without making effective provision, and the Issuer in such case will make or cause to be made effective provision, whereby the Securities of each series will be secured by such Mortgage equally and ratably with (or prior to) any other Debt thereby secured so long as such Debt shall be so secured, except that the foregoing provisions shall not apply to:</w:t>
      </w:r>
    </w:p>
    <w:p>
      <w:pPr>
        <w:spacing w:after="0" w:line="2" w:lineRule="exact"/>
        <w:rPr>
          <w:sz w:val="20"/>
          <w:szCs w:val="20"/>
          <w:color w:val="auto"/>
        </w:rPr>
      </w:pPr>
    </w:p>
    <w:p>
      <w:pPr>
        <w:ind w:right="1879" w:firstLine="8"/>
        <w:spacing w:after="0" w:line="269" w:lineRule="auto"/>
        <w:tabs>
          <w:tab w:leader="none" w:pos="42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existing at the time of acquisition of the property, shares of stock or Indebtedness affected thereby or incurred to secure payment of all or part of the purchase price of such property, shares of stock or Indebtedness or to secure Debt incurred prior to, at the time of or within 120 days after the acquisition or completion of construction of such property, shares of stock or Indebtedness for the purpose of financing all or part of the purchase price or cost of construction thereof, as the case may be (provided that such Mortgages are limited to such property and improvements thereon or the shares of stock or Indebtedness so acquired), (ii) Mortgages affecting property, shares of stock or Indebtedness of a Person existing at the time it becomes a Restricted Subsidiary (provided that any such Mortgage shall attach only to the properties and improvements thereon or the shares of stock or Indebtedness so acquired), (iii) Mortgages which secure only Debt of a Restricted Subsidiary owing to the Issuer or a Subsidiary, (iv) Mortgages or easements on property of the Issuer or any Restricted Subsidiary related to the financing of such property on a tax-exempt basis pursuant to Section 103(b)(4) or (b)(6) of the Internal Revenue Code of 1986, as amended (or any successor section thereto), that do not in the aggregate materially detract from the value of property or assets or materially impair the use thereof in the operation of the business of the Issuer or any Restricted Subsidiary, (v) Mortgages in favor of the United States of America or any instrumentality thereof, or in favor of any foreign government or any department, agency, instrumentality or political subdivision thereof, to secure partial, progress, advance or other payments</w:t>
      </w:r>
    </w:p>
    <w:p>
      <w:pPr>
        <w:sectPr>
          <w:pgSz w:w="11900" w:h="16838" w:orient="portrait"/>
          <w:cols w:equalWidth="0" w:num="1">
            <w:col w:w="10219"/>
          </w:cols>
          <w:pgMar w:left="240" w:top="514" w:right="1440" w:bottom="1440" w:gutter="0" w:footer="0" w:header="0"/>
        </w:sectPr>
      </w:pPr>
    </w:p>
    <w:bookmarkStart w:id="97" w:name="page98"/>
    <w:bookmarkEnd w:id="97"/>
    <w:p>
      <w:pPr>
        <w:ind w:right="1999"/>
        <w:spacing w:after="0" w:line="238" w:lineRule="auto"/>
        <w:rPr>
          <w:sz w:val="20"/>
          <w:szCs w:val="20"/>
          <w:color w:val="auto"/>
        </w:rPr>
      </w:pPr>
      <w:r>
        <w:rPr>
          <w:rFonts w:ascii="Courier New" w:cs="Courier New" w:eastAsia="Courier New" w:hAnsi="Courier New"/>
          <w:sz w:val="18"/>
          <w:szCs w:val="18"/>
          <w:color w:val="auto"/>
        </w:rPr>
        <w:t>pursuant to any contract or statute, (vi) Mortgages existing at the date of this Indenture, (vii) liens on property or assets of the Issuer or any Restricted Subsidiary consisting of marine Mortgages provided for in Title XI of the Merchant Marine Act of 1936 or foreign equivalents, (viii) Mortgages on property of the Issuer or any Restricted Subsidiary securing Debt incurred in connection with the financing of operating, constructing or acquiring projects, provided that the recourse for such Debt is limited to the assets of such projects, and (ix) any extension, renewal or replacement (or successive extensions, renewals or replacements), in whole or in part, of any Mortgage referred to in the foregoing clauses (i) to (viii) inclusive or of any Debt secured thereby, provided that the principal amount of Debt secured thereby shall not exceed the principal amount of Debt so secured at the time of such extension, renewal or replacement, and; provided, further, that such Mortgage shall be limited to all or part of substantially the same property which secured the Mortgage extended, renewed or replaced (plus improvements on such property).</w:t>
      </w:r>
    </w:p>
    <w:p>
      <w:pPr>
        <w:spacing w:after="0" w:line="208"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Notwithstanding the foregoing, the Issuer or any Restricted Subsidiary may create or permit to exist Mortgages on any Principal Property, or upon any indebtedness or share of capital stock of any Restricted Subsidiary so long as the aggregate amount of Debt secured by all such Mortgages (excluding therefrom the Debt secured by Mortgages set forth in clauses (i) through (ix), inclusive, above) does not exceed 5% of the Consolidated Net Tangible Assets of the Issuer.</w:t>
      </w:r>
    </w:p>
    <w:p>
      <w:pPr>
        <w:spacing w:after="0" w:line="211" w:lineRule="exact"/>
        <w:rPr>
          <w:sz w:val="20"/>
          <w:szCs w:val="20"/>
          <w:color w:val="auto"/>
        </w:rPr>
      </w:pPr>
    </w:p>
    <w:p>
      <w:pPr>
        <w:ind w:right="2319" w:firstLine="1580"/>
        <w:spacing w:after="0" w:line="269" w:lineRule="auto"/>
        <w:rPr>
          <w:sz w:val="20"/>
          <w:szCs w:val="20"/>
          <w:color w:val="auto"/>
        </w:rPr>
      </w:pPr>
      <w:r>
        <w:rPr>
          <w:rFonts w:ascii="Courier New" w:cs="Courier New" w:eastAsia="Courier New" w:hAnsi="Courier New"/>
          <w:sz w:val="16"/>
          <w:szCs w:val="16"/>
          <w:color w:val="auto"/>
        </w:rPr>
        <w:t>SECTION 3.10. Limitation on Sale and Lease-Back Transactions. The Issuer will not, nor will it permit any Restricted Subsidiary to, enter into any arrangement with any Person providing for the leasing by the Issuer or a Restricted Subsidiary as lessee of any Principal Property (except for temporary leases for a term of not more than three years), which property has been or is to be sold or transferred by the Issuer or such Restricted Subsidiary to such person (herein referred to as a "Sale and Lease-Back Transaction"), unless (i) the Issuer or such Restricted Subsidiary would be entitled to incur Debt secured by a Mortgage on the property to be leased without violation of Section 3.9 and without equally and ratably securing the Securities of each series or (ii) the Issuer shall, and in any such case the Issuer covenants that it will, apply an amount equal to the greater of (a) the proceeds of such sale or transfer or (b) the fair value (as determined by the Board of Directors) of the property so leased to the defeasance or retirement (other than any mandatory retirement), within 120 days of the effective date of any such arrangement, of Senior Funded Indebtedness; provided, however, that the amount to be so applied to the defeasance or retirement of such Senior Funded Indebtedness will be reduced by an amount (not previously used to reduce the amount of such defeasance or retirement) equal to the lesser of</w:t>
      </w:r>
    </w:p>
    <w:p>
      <w:pPr>
        <w:spacing w:after="0" w:line="192" w:lineRule="exact"/>
        <w:rPr>
          <w:sz w:val="20"/>
          <w:szCs w:val="20"/>
          <w:color w:val="auto"/>
        </w:rPr>
      </w:pPr>
    </w:p>
    <w:p>
      <w:pPr>
        <w:ind w:right="2319" w:firstLine="8"/>
        <w:spacing w:after="0" w:line="237" w:lineRule="auto"/>
        <w:tabs>
          <w:tab w:leader="none" w:pos="421"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expended by the Issuer since the date of this Indenture and within twelve months prior to the effective date of any such arrangement or within 120 days thereafter for the acquisition by it of unencumbered Principal Properties or (y) the fair value (as determined by the Board of Directors) of unencumbered Principal Properties so acquired by the Issuer during such twelve-month period and 120-day period.</w:t>
      </w: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FOUR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REMEDIES OF THE TRUSTEE AND SECURITYHOLDERS</w:t>
      </w:r>
    </w:p>
    <w:p>
      <w:pPr>
        <w:jc w:val="center"/>
        <w:ind w:right="1879"/>
        <w:spacing w:after="0" w:line="238" w:lineRule="auto"/>
        <w:rPr>
          <w:sz w:val="20"/>
          <w:szCs w:val="20"/>
          <w:color w:val="auto"/>
        </w:rPr>
      </w:pPr>
      <w:r>
        <w:rPr>
          <w:rFonts w:ascii="Courier New" w:cs="Courier New" w:eastAsia="Courier New" w:hAnsi="Courier New"/>
          <w:sz w:val="18"/>
          <w:szCs w:val="18"/>
          <w:color w:val="auto"/>
        </w:rPr>
        <w:t>ON EVENT OF DEFAULT</w:t>
      </w:r>
    </w:p>
    <w:p>
      <w:pPr>
        <w:spacing w:after="0" w:line="207" w:lineRule="exact"/>
        <w:rPr>
          <w:sz w:val="20"/>
          <w:szCs w:val="20"/>
          <w:color w:val="auto"/>
        </w:rPr>
      </w:pPr>
    </w:p>
    <w:p>
      <w:pPr>
        <w:ind w:right="2099" w:firstLine="1580"/>
        <w:spacing w:after="0" w:line="279" w:lineRule="auto"/>
        <w:rPr>
          <w:sz w:val="20"/>
          <w:szCs w:val="20"/>
          <w:color w:val="auto"/>
        </w:rPr>
      </w:pPr>
      <w:r>
        <w:rPr>
          <w:rFonts w:ascii="Courier New" w:cs="Courier New" w:eastAsia="Courier New" w:hAnsi="Courier New"/>
          <w:sz w:val="16"/>
          <w:szCs w:val="16"/>
          <w:color w:val="auto"/>
        </w:rPr>
        <w:t>SECTION 4.1 Event of Default Defined; Acceleration of Maturity; Waiver of Default. "Event of Default" with respect to Securities of any series wherever used herein, means each one of the following events which</w:t>
      </w:r>
    </w:p>
    <w:p>
      <w:pPr>
        <w:sectPr>
          <w:pgSz w:w="11900" w:h="16838" w:orient="portrait"/>
          <w:cols w:equalWidth="0" w:num="1">
            <w:col w:w="10219"/>
          </w:cols>
          <w:pgMar w:left="240" w:top="520" w:right="1440" w:bottom="1440" w:gutter="0" w:footer="0" w:header="0"/>
        </w:sectPr>
      </w:pPr>
    </w:p>
    <w:bookmarkStart w:id="98" w:name="page99"/>
    <w:bookmarkEnd w:id="98"/>
    <w:p>
      <w:pPr>
        <w:ind w:right="2099"/>
        <w:spacing w:after="0" w:line="275" w:lineRule="auto"/>
        <w:rPr>
          <w:sz w:val="20"/>
          <w:szCs w:val="20"/>
          <w:color w:val="auto"/>
        </w:rPr>
      </w:pPr>
      <w:r>
        <w:rPr>
          <w:rFonts w:ascii="Courier New" w:cs="Courier New" w:eastAsia="Courier New" w:hAnsi="Courier New"/>
          <w:sz w:val="16"/>
          <w:szCs w:val="16"/>
          <w:color w:val="auto"/>
        </w:rPr>
        <w:t>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2" w:lineRule="exact"/>
        <w:rPr>
          <w:sz w:val="20"/>
          <w:szCs w:val="20"/>
          <w:color w:val="auto"/>
        </w:rPr>
      </w:pPr>
    </w:p>
    <w:p>
      <w:pPr>
        <w:ind w:left="960" w:right="1999" w:firstLine="628"/>
        <w:spacing w:after="0" w:line="237" w:lineRule="auto"/>
        <w:tabs>
          <w:tab w:leader="none" w:pos="211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installment of interest upon any of the Securities of such series as and when the same shall become due and payable, and continuance of such default for a period of 30 days; or</w:t>
      </w:r>
    </w:p>
    <w:p>
      <w:pPr>
        <w:spacing w:after="0" w:line="207" w:lineRule="exact"/>
        <w:rPr>
          <w:rFonts w:ascii="Courier New" w:cs="Courier New" w:eastAsia="Courier New" w:hAnsi="Courier New"/>
          <w:sz w:val="18"/>
          <w:szCs w:val="18"/>
          <w:color w:val="auto"/>
        </w:rPr>
      </w:pPr>
    </w:p>
    <w:p>
      <w:pPr>
        <w:ind w:left="960" w:right="1999" w:firstLine="628"/>
        <w:spacing w:after="0" w:line="237" w:lineRule="auto"/>
        <w:tabs>
          <w:tab w:leader="none" w:pos="211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all or any part of the principal on any of the Securities of such series as and when the same shall become due and payable either at maturity, upon redemption, by declaration or otherwise; or</w:t>
      </w:r>
    </w:p>
    <w:p>
      <w:pPr>
        <w:spacing w:after="0" w:line="207" w:lineRule="exact"/>
        <w:rPr>
          <w:rFonts w:ascii="Courier New" w:cs="Courier New" w:eastAsia="Courier New" w:hAnsi="Courier New"/>
          <w:sz w:val="18"/>
          <w:szCs w:val="18"/>
          <w:color w:val="auto"/>
        </w:rPr>
      </w:pPr>
    </w:p>
    <w:p>
      <w:pPr>
        <w:ind w:left="960" w:right="2099" w:firstLine="628"/>
        <w:spacing w:after="0" w:line="236" w:lineRule="auto"/>
        <w:tabs>
          <w:tab w:leader="none" w:pos="211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sinking fund installment as and when the same shall become due and payable by the terms of the Securities of such series; or</w:t>
      </w:r>
    </w:p>
    <w:p>
      <w:pPr>
        <w:spacing w:after="0" w:line="208" w:lineRule="exact"/>
        <w:rPr>
          <w:rFonts w:ascii="Courier New" w:cs="Courier New" w:eastAsia="Courier New" w:hAnsi="Courier New"/>
          <w:sz w:val="18"/>
          <w:szCs w:val="18"/>
          <w:color w:val="auto"/>
        </w:rPr>
      </w:pPr>
    </w:p>
    <w:p>
      <w:pPr>
        <w:ind w:left="960" w:right="1999" w:firstLine="628"/>
        <w:spacing w:after="0" w:line="270" w:lineRule="auto"/>
        <w:tabs>
          <w:tab w:leader="none" w:pos="2119"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Issuer in respect of the Securities of such series (other than a covenant or warranty in respect of the Securities of such series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aggregate principal amount of the Outstanding Securities of all series affected thereby, a written notice specifying such default or breach and requiring it to be remedied and stating that such notice is a "Notice of Default" hereunder; or</w:t>
      </w:r>
    </w:p>
    <w:p>
      <w:pPr>
        <w:spacing w:after="0" w:line="384" w:lineRule="exact"/>
        <w:rPr>
          <w:rFonts w:ascii="Courier New" w:cs="Courier New" w:eastAsia="Courier New" w:hAnsi="Courier New"/>
          <w:sz w:val="16"/>
          <w:szCs w:val="16"/>
          <w:color w:val="auto"/>
        </w:rPr>
      </w:pPr>
    </w:p>
    <w:p>
      <w:pPr>
        <w:ind w:left="2000" w:hanging="412"/>
        <w:spacing w:after="0"/>
        <w:tabs>
          <w:tab w:leader="none" w:pos="200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court having jurisdiction in the premises shall enter</w:t>
      </w:r>
    </w:p>
    <w:p>
      <w:pPr>
        <w:spacing w:after="0" w:line="4" w:lineRule="exact"/>
        <w:rPr>
          <w:sz w:val="20"/>
          <w:szCs w:val="20"/>
          <w:color w:val="auto"/>
        </w:rPr>
      </w:pPr>
    </w:p>
    <w:p>
      <w:pPr>
        <w:ind w:left="960" w:right="2319"/>
        <w:spacing w:after="0" w:line="271" w:lineRule="auto"/>
        <w:rPr>
          <w:sz w:val="20"/>
          <w:szCs w:val="20"/>
          <w:color w:val="auto"/>
        </w:rPr>
      </w:pPr>
      <w:r>
        <w:rPr>
          <w:rFonts w:ascii="Courier New" w:cs="Courier New" w:eastAsia="Courier New" w:hAnsi="Courier New"/>
          <w:sz w:val="16"/>
          <w:szCs w:val="16"/>
          <w:color w:val="auto"/>
        </w:rPr>
        <w:t>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any substantial part of its property or ordering the winding up or liquidation of the Issuer's affairs, and such decree or order shall remain unstayed and in effect for a period of 60 consecutive days; or</w:t>
      </w:r>
    </w:p>
    <w:p>
      <w:pPr>
        <w:spacing w:after="0" w:line="186" w:lineRule="exact"/>
        <w:rPr>
          <w:sz w:val="20"/>
          <w:szCs w:val="20"/>
          <w:color w:val="auto"/>
        </w:rPr>
      </w:pPr>
    </w:p>
    <w:p>
      <w:pPr>
        <w:ind w:left="960" w:right="1999" w:firstLine="628"/>
        <w:spacing w:after="0" w:line="237" w:lineRule="auto"/>
        <w:tabs>
          <w:tab w:leader="none" w:pos="2119"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w:t>
      </w:r>
    </w:p>
    <w:p>
      <w:pPr>
        <w:spacing w:after="0" w:line="212" w:lineRule="exact"/>
        <w:rPr>
          <w:rFonts w:ascii="Courier New" w:cs="Courier New" w:eastAsia="Courier New" w:hAnsi="Courier New"/>
          <w:sz w:val="18"/>
          <w:szCs w:val="18"/>
          <w:color w:val="auto"/>
        </w:rPr>
      </w:pPr>
    </w:p>
    <w:p>
      <w:pPr>
        <w:ind w:left="960" w:right="2199" w:firstLine="628"/>
        <w:spacing w:after="0" w:line="268" w:lineRule="auto"/>
        <w:tabs>
          <w:tab w:leader="none" w:pos="2119"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event of default, as defined in any indenture or instrument evidencing or securing or under which the Issuer has at the date of this Indenture or shall hereafter have outstanding, any Debt in an amount exceeding $5,000,000, which default shall involve</w:t>
      </w:r>
    </w:p>
    <w:p>
      <w:pPr>
        <w:ind w:left="960" w:right="2099" w:hanging="4"/>
        <w:spacing w:after="0" w:line="273" w:lineRule="auto"/>
        <w:tabs>
          <w:tab w:leader="none" w:pos="138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Issuer to make any payment when such Debt is due and payable after demand has been made and the passage of any applicable grace period and such failure shall have continued for a period of thirty days after written notice thereof to the Issuer and the Trustee by the holders of not less than 25% in aggregate</w:t>
      </w:r>
    </w:p>
    <w:p>
      <w:pPr>
        <w:sectPr>
          <w:pgSz w:w="11900" w:h="16838" w:orient="portrait"/>
          <w:cols w:equalWidth="0" w:num="1">
            <w:col w:w="10219"/>
          </w:cols>
          <w:pgMar w:left="240" w:top="520" w:right="1440" w:bottom="1440" w:gutter="0" w:footer="0" w:header="0"/>
        </w:sectPr>
      </w:pPr>
    </w:p>
    <w:bookmarkStart w:id="99" w:name="page100"/>
    <w:bookmarkEnd w:id="99"/>
    <w:p>
      <w:pPr>
        <w:ind w:left="960" w:right="2099"/>
        <w:spacing w:after="0" w:line="269" w:lineRule="auto"/>
        <w:rPr>
          <w:sz w:val="20"/>
          <w:szCs w:val="20"/>
          <w:color w:val="auto"/>
        </w:rPr>
      </w:pPr>
      <w:r>
        <w:rPr>
          <w:rFonts w:ascii="Courier New" w:cs="Courier New" w:eastAsia="Courier New" w:hAnsi="Courier New"/>
          <w:sz w:val="16"/>
          <w:szCs w:val="16"/>
          <w:color w:val="auto"/>
        </w:rPr>
        <w:t>principal amount of the Securities of such series or (ii) a default in the payment of interest, premium, principal or a default in the payment of a sinking fund or redemption payment, which shall have resulted in such Debt having been accelerated so that the same shall be or become due and payable prior to the date on which the same would otherwise become due and payable, and such acceleration shall not be stayed, rescinded or annulled within ten days after written notice thereof to the Issuer and the Trustee by the holders of at least 25% in aggregate principal amount of the Securities of such series; provided, however, that if such event of default under such indenture or instrument shall be remedied or cured by the Issuer or be waived by the holders of such Debt before any judgment or decree for the payment of the moneys due shall have been obtained or entered, then the Event of Default hereunder by reason thereof shall be deemed likewise to have been thereupon remedied, cured or waived without further action upon the part of either the Trustee or any of the holders of the Securities of such series; or</w:t>
      </w:r>
    </w:p>
    <w:p>
      <w:pPr>
        <w:spacing w:after="0" w:line="396" w:lineRule="exact"/>
        <w:rPr>
          <w:sz w:val="20"/>
          <w:szCs w:val="20"/>
          <w:color w:val="auto"/>
        </w:rPr>
      </w:pPr>
    </w:p>
    <w:p>
      <w:pPr>
        <w:ind w:left="960" w:right="2199" w:firstLine="628"/>
        <w:spacing w:after="0" w:line="237" w:lineRule="auto"/>
        <w:tabs>
          <w:tab w:leader="none" w:pos="211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in the supplemental indenture or provided in or pursuant to the resolution of the Board of Directors under which such series of Securities is issued or in the form of Security for such series.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If an Event of Default with respect to Securities of such series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Securities of such series, each series voting as a separate class, then Outstanding, by written notice to the Issuer and to the Trustee, may waive all defaults with</w:t>
      </w:r>
    </w:p>
    <w:p>
      <w:pPr>
        <w:sectPr>
          <w:pgSz w:w="11900" w:h="16838" w:orient="portrait"/>
          <w:cols w:equalWidth="0" w:num="1">
            <w:col w:w="10219"/>
          </w:cols>
          <w:pgMar w:left="240" w:top="520" w:right="1440" w:bottom="1440" w:gutter="0" w:footer="0" w:header="0"/>
        </w:sectPr>
      </w:pPr>
    </w:p>
    <w:bookmarkStart w:id="100" w:name="page101"/>
    <w:bookmarkEnd w:id="100"/>
    <w:p>
      <w:pPr>
        <w:ind w:right="2199"/>
        <w:spacing w:after="0" w:line="237" w:lineRule="auto"/>
        <w:rPr>
          <w:sz w:val="20"/>
          <w:szCs w:val="20"/>
          <w:color w:val="auto"/>
        </w:rPr>
      </w:pPr>
      <w:r>
        <w:rPr>
          <w:rFonts w:ascii="Courier New" w:cs="Courier New" w:eastAsia="Courier New" w:hAnsi="Courier New"/>
          <w:sz w:val="18"/>
          <w:szCs w:val="18"/>
          <w:color w:val="auto"/>
        </w:rPr>
        <w:t>respect to such series and rescind and annul such declaration and its consequences, but no such waiver or rescission and annulment shall extend to or shall affect any subsequent default or shall impair any right consequent thereon.</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216"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The Trustee shall not be charged with notice of any event of default referred to in Section 4.1(g) unless (i) an officer of the Trustee assigned to its Corporate Trustee Administration Department shall have actual knowledge thereof or (ii) the Trustee shall have received written notice thereof from the Issuer, the holder of any Debt referred to in Section 4.1(g) or the holders of not less than 25% in aggregate principal amount of the Securities of any series.</w:t>
      </w:r>
    </w:p>
    <w:p>
      <w:pPr>
        <w:spacing w:after="0" w:line="211"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4.2 Collection of Indebtedness by Trustee; Trustee May Prove Debt. The Issuer covenants that (a) in case default shall be made in the payment of any instalment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393"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207" w:lineRule="exact"/>
        <w:rPr>
          <w:sz w:val="20"/>
          <w:szCs w:val="20"/>
          <w:color w:val="auto"/>
        </w:rPr>
      </w:pPr>
    </w:p>
    <w:p>
      <w:pPr>
        <w:ind w:right="2099" w:firstLine="1580"/>
        <w:spacing w:after="0" w:line="271" w:lineRule="auto"/>
        <w:rPr>
          <w:sz w:val="20"/>
          <w:szCs w:val="20"/>
          <w:color w:val="auto"/>
        </w:rPr>
      </w:pPr>
      <w:r>
        <w:rPr>
          <w:rFonts w:ascii="Courier New" w:cs="Courier New" w:eastAsia="Courier New" w:hAnsi="Courier New"/>
          <w:sz w:val="16"/>
          <w:szCs w:val="16"/>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w:t>
      </w:r>
    </w:p>
    <w:p>
      <w:pPr>
        <w:sectPr>
          <w:pgSz w:w="11900" w:h="16838" w:orient="portrait"/>
          <w:cols w:equalWidth="0" w:num="1">
            <w:col w:w="10219"/>
          </w:cols>
          <w:pgMar w:left="240" w:top="520" w:right="1440" w:bottom="1440" w:gutter="0" w:footer="0" w:header="0"/>
        </w:sectPr>
      </w:pPr>
    </w:p>
    <w:bookmarkStart w:id="101" w:name="page102"/>
    <w:bookmarkEnd w:id="101"/>
    <w:p>
      <w:pPr>
        <w:ind w:right="2839"/>
        <w:spacing w:after="0" w:line="235" w:lineRule="auto"/>
        <w:rPr>
          <w:sz w:val="20"/>
          <w:szCs w:val="20"/>
          <w:color w:val="auto"/>
        </w:rPr>
      </w:pPr>
      <w:r>
        <w:rPr>
          <w:rFonts w:ascii="Courier New" w:cs="Courier New" w:eastAsia="Courier New" w:hAnsi="Courier New"/>
          <w:sz w:val="18"/>
          <w:szCs w:val="18"/>
          <w:color w:val="auto"/>
        </w:rPr>
        <w:t>property of the Issuer or other obligor upon such Securities, wherever situated, the moneys adjudged or decreed to be payable.</w:t>
      </w:r>
    </w:p>
    <w:p>
      <w:pPr>
        <w:spacing w:after="0" w:line="208"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208" w:lineRule="exact"/>
        <w:rPr>
          <w:sz w:val="20"/>
          <w:szCs w:val="20"/>
          <w:color w:val="auto"/>
        </w:rPr>
      </w:pPr>
    </w:p>
    <w:p>
      <w:pPr>
        <w:ind w:left="960" w:right="1999" w:firstLine="628"/>
        <w:spacing w:after="0" w:line="238" w:lineRule="auto"/>
        <w:tabs>
          <w:tab w:leader="none" w:pos="211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208" w:lineRule="exact"/>
        <w:rPr>
          <w:rFonts w:ascii="Courier New" w:cs="Courier New" w:eastAsia="Courier New" w:hAnsi="Courier New"/>
          <w:sz w:val="18"/>
          <w:szCs w:val="18"/>
          <w:color w:val="auto"/>
        </w:rPr>
      </w:pPr>
    </w:p>
    <w:p>
      <w:pPr>
        <w:ind w:left="960" w:right="2099" w:firstLine="628"/>
        <w:spacing w:after="0" w:line="237" w:lineRule="auto"/>
        <w:tabs>
          <w:tab w:leader="none" w:pos="211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209" w:lineRule="exact"/>
        <w:rPr>
          <w:rFonts w:ascii="Courier New" w:cs="Courier New" w:eastAsia="Courier New" w:hAnsi="Courier New"/>
          <w:sz w:val="18"/>
          <w:szCs w:val="18"/>
          <w:color w:val="auto"/>
        </w:rPr>
      </w:pPr>
    </w:p>
    <w:p>
      <w:pPr>
        <w:ind w:left="960" w:right="1999" w:firstLine="628"/>
        <w:spacing w:after="0" w:line="238" w:lineRule="auto"/>
        <w:tabs>
          <w:tab w:leader="none" w:pos="211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5.6.</w:t>
      </w:r>
    </w:p>
    <w:p>
      <w:pPr>
        <w:spacing w:after="0" w:line="208"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Nothing herein contained shall be deemed to authorize the Trustee to authorize or consent to or vote for or accept or adopt on behalf of any Securityholder any plan or reorganization, arrangement, adjustment or</w:t>
      </w:r>
    </w:p>
    <w:p>
      <w:pPr>
        <w:sectPr>
          <w:pgSz w:w="11900" w:h="16838" w:orient="portrait"/>
          <w:cols w:equalWidth="0" w:num="1">
            <w:col w:w="10219"/>
          </w:cols>
          <w:pgMar w:left="240" w:top="520" w:right="1440" w:bottom="1440" w:gutter="0" w:footer="0" w:header="0"/>
        </w:sectPr>
      </w:pPr>
    </w:p>
    <w:bookmarkStart w:id="102" w:name="page103"/>
    <w:bookmarkEnd w:id="102"/>
    <w:p>
      <w:pPr>
        <w:ind w:right="1999"/>
        <w:spacing w:after="0" w:line="237" w:lineRule="auto"/>
        <w:rPr>
          <w:sz w:val="20"/>
          <w:szCs w:val="20"/>
          <w:color w:val="auto"/>
        </w:rPr>
      </w:pPr>
      <w:r>
        <w:rPr>
          <w:rFonts w:ascii="Courier New" w:cs="Courier New" w:eastAsia="Courier New" w:hAnsi="Courier New"/>
          <w:sz w:val="18"/>
          <w:szCs w:val="18"/>
          <w:color w:val="auto"/>
        </w:rPr>
        <w:t>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liabilities incurred, disbursements and compensation of the Trustee, each predecessor Trustee and their respective agents and attorneys, shall be for the ratable benefit of the holders of the Securities in respect of which such action was taken.</w:t>
      </w:r>
    </w:p>
    <w:p>
      <w:pPr>
        <w:spacing w:after="0" w:line="215"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4.3 Application of Proceeds.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214" w:lineRule="exact"/>
        <w:rPr>
          <w:sz w:val="20"/>
          <w:szCs w:val="20"/>
          <w:color w:val="auto"/>
        </w:rPr>
      </w:pPr>
    </w:p>
    <w:p>
      <w:pPr>
        <w:ind w:left="960" w:right="1999" w:firstLine="632"/>
        <w:spacing w:after="0" w:line="237" w:lineRule="auto"/>
        <w:rPr>
          <w:sz w:val="20"/>
          <w:szCs w:val="20"/>
          <w:color w:val="auto"/>
        </w:rPr>
      </w:pPr>
      <w:r>
        <w:rPr>
          <w:rFonts w:ascii="Courier New" w:cs="Courier New" w:eastAsia="Courier New" w:hAnsi="Courier New"/>
          <w:sz w:val="18"/>
          <w:szCs w:val="18"/>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5.6;</w:t>
      </w:r>
    </w:p>
    <w:p>
      <w:pPr>
        <w:spacing w:after="0" w:line="212" w:lineRule="exact"/>
        <w:rPr>
          <w:sz w:val="20"/>
          <w:szCs w:val="20"/>
          <w:color w:val="auto"/>
        </w:rPr>
      </w:pPr>
    </w:p>
    <w:p>
      <w:pPr>
        <w:ind w:left="960" w:right="1999" w:firstLine="632"/>
        <w:spacing w:after="0" w:line="270" w:lineRule="auto"/>
        <w:rPr>
          <w:sz w:val="20"/>
          <w:szCs w:val="20"/>
          <w:color w:val="auto"/>
        </w:rPr>
      </w:pPr>
      <w:r>
        <w:rPr>
          <w:rFonts w:ascii="Courier New" w:cs="Courier New" w:eastAsia="Courier New" w:hAnsi="Courier New"/>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89" w:lineRule="exact"/>
        <w:rPr>
          <w:sz w:val="20"/>
          <w:szCs w:val="20"/>
          <w:color w:val="auto"/>
        </w:rPr>
      </w:pPr>
    </w:p>
    <w:p>
      <w:pPr>
        <w:ind w:left="960" w:right="1999" w:firstLine="632"/>
        <w:spacing w:after="0" w:line="271" w:lineRule="auto"/>
        <w:rPr>
          <w:sz w:val="20"/>
          <w:szCs w:val="20"/>
          <w:color w:val="auto"/>
        </w:rPr>
      </w:pPr>
      <w:r>
        <w:rPr>
          <w:rFonts w:ascii="Courier New" w:cs="Courier New" w:eastAsia="Courier New" w:hAnsi="Courier New"/>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w:t>
      </w:r>
    </w:p>
    <w:p>
      <w:pPr>
        <w:sectPr>
          <w:pgSz w:w="11900" w:h="16838" w:orient="portrait"/>
          <w:cols w:equalWidth="0" w:num="1">
            <w:col w:w="10219"/>
          </w:cols>
          <w:pgMar w:left="240" w:top="520" w:right="1440" w:bottom="1440" w:gutter="0" w:footer="0" w:header="0"/>
        </w:sectPr>
      </w:pPr>
    </w:p>
    <w:bookmarkStart w:id="103" w:name="page104"/>
    <w:bookmarkEnd w:id="103"/>
    <w:p>
      <w:pPr>
        <w:ind w:left="960" w:right="1999"/>
        <w:spacing w:after="0" w:line="237" w:lineRule="auto"/>
        <w:rPr>
          <w:sz w:val="20"/>
          <w:szCs w:val="20"/>
          <w:color w:val="auto"/>
        </w:rPr>
      </w:pPr>
      <w:r>
        <w:rPr>
          <w:rFonts w:ascii="Courier New" w:cs="Courier New" w:eastAsia="Courier New" w:hAnsi="Courier New"/>
          <w:sz w:val="18"/>
          <w:szCs w:val="18"/>
          <w:color w:val="auto"/>
        </w:rPr>
        <w:t>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instalment of interest over any other instalment of interest, or of any Security of such series over any other Security of such series, ratably to the aggregate of such principal and accrued and unpaid interest or Yield to Maturity; and</w:t>
      </w:r>
    </w:p>
    <w:p>
      <w:pPr>
        <w:spacing w:after="0" w:line="216" w:lineRule="exact"/>
        <w:rPr>
          <w:sz w:val="20"/>
          <w:szCs w:val="20"/>
          <w:color w:val="auto"/>
        </w:rPr>
      </w:pPr>
    </w:p>
    <w:p>
      <w:pPr>
        <w:ind w:left="960" w:right="1999" w:firstLine="632"/>
        <w:spacing w:after="0" w:line="235" w:lineRule="auto"/>
        <w:rPr>
          <w:sz w:val="20"/>
          <w:szCs w:val="20"/>
          <w:color w:val="auto"/>
        </w:rPr>
      </w:pPr>
      <w:r>
        <w:rPr>
          <w:rFonts w:ascii="Courier New" w:cs="Courier New" w:eastAsia="Courier New" w:hAnsi="Courier New"/>
          <w:sz w:val="18"/>
          <w:szCs w:val="18"/>
          <w:color w:val="auto"/>
        </w:rPr>
        <w:t>FOURTH: To the payment of the remainder, if any, to the Issuer or any other person lawfully entitled thereto.</w:t>
      </w:r>
    </w:p>
    <w:p>
      <w:pPr>
        <w:spacing w:after="0" w:line="208"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4.4 Suits for Enforcement.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4.5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212"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SECTION 4.6 Limitations on Suits by Securityholders.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4.9; it being understood and intended, and being expressly covenanted by the taker and Holder of every Security with every other taker and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w:t>
      </w:r>
    </w:p>
    <w:p>
      <w:pPr>
        <w:sectPr>
          <w:pgSz w:w="11900" w:h="16838" w:orient="portrait"/>
          <w:cols w:equalWidth="0" w:num="1">
            <w:col w:w="10219"/>
          </w:cols>
          <w:pgMar w:left="240" w:top="520" w:right="1440" w:bottom="1440" w:gutter="0" w:footer="0" w:header="0"/>
        </w:sectPr>
      </w:pPr>
    </w:p>
    <w:bookmarkStart w:id="104" w:name="page105"/>
    <w:bookmarkEnd w:id="104"/>
    <w:p>
      <w:pPr>
        <w:ind w:right="2199"/>
        <w:spacing w:after="0" w:line="236" w:lineRule="auto"/>
        <w:rPr>
          <w:sz w:val="20"/>
          <w:szCs w:val="20"/>
          <w:color w:val="auto"/>
        </w:rPr>
      </w:pPr>
      <w:r>
        <w:rPr>
          <w:rFonts w:ascii="Courier New" w:cs="Courier New" w:eastAsia="Courier New" w:hAnsi="Courier New"/>
          <w:sz w:val="18"/>
          <w:szCs w:val="18"/>
          <w:color w:val="auto"/>
        </w:rPr>
        <w:t>protection and enforcement of the provisions of this Section, each and every Securityholder and the Trustee shall be entitled to such relief as can be given either at law or in equity.</w:t>
      </w:r>
    </w:p>
    <w:p>
      <w:pPr>
        <w:spacing w:after="0" w:line="209"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4.7 Unconditional Right of Securityholders to Institute Certain Suits. Notwithstanding any other provision in this Indenture and any provision of any Security, the right of any Holder of any Security to receive payment of the principal of and interest on such Security on or after the respective due dates expressed or provided for in such Security, or to institute suit for the enforcement of any such payment on or after such respective dates, shall not be impaired or affected without the consent of such Holder.</w:t>
      </w:r>
    </w:p>
    <w:p>
      <w:pPr>
        <w:spacing w:after="0" w:line="212"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4.8 Powers and Remedies Cumulative; Delay or Omission Not Waiver of Default. Except as provided in Sections 2.9 and 4.6,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15"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4.6, every power and remedy given by this Indenture or by law to the Trustee or to the Securityholders may be exercised from time to time, and as often as shall be deemed expedient, by the Trustee or by the Securityholders.</w:t>
      </w:r>
    </w:p>
    <w:p>
      <w:pPr>
        <w:spacing w:after="0" w:line="212"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4.9 Control by Securityholders.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forebearances specified in or pursuant to such direction would be unduly prejudicial to the interests of Holders of the Securities of all series so affected not joining in the giving of said direction, it being understood that (subject to Section 5.1) the Trustee shall have no duty to ascertain whether or not such actions or forebearances are unduly prejudicial to such Holders.</w:t>
      </w:r>
    </w:p>
    <w:p>
      <w:pPr>
        <w:spacing w:after="0" w:line="200" w:lineRule="exact"/>
        <w:rPr>
          <w:sz w:val="20"/>
          <w:szCs w:val="20"/>
          <w:color w:val="auto"/>
        </w:rPr>
      </w:pPr>
    </w:p>
    <w:p>
      <w:pPr>
        <w:spacing w:after="0" w:line="397" w:lineRule="exact"/>
        <w:rPr>
          <w:sz w:val="20"/>
          <w:szCs w:val="20"/>
          <w:color w:val="auto"/>
        </w:rPr>
      </w:pPr>
    </w:p>
    <w:p>
      <w:pPr>
        <w:jc w:val="both"/>
        <w:ind w:right="1999" w:firstLine="1580"/>
        <w:spacing w:after="0" w:line="279" w:lineRule="auto"/>
        <w:rPr>
          <w:sz w:val="20"/>
          <w:szCs w:val="20"/>
          <w:color w:val="auto"/>
        </w:rPr>
      </w:pPr>
      <w:r>
        <w:rPr>
          <w:rFonts w:ascii="Courier New" w:cs="Courier New" w:eastAsia="Courier New" w:hAnsi="Courier New"/>
          <w:sz w:val="16"/>
          <w:szCs w:val="16"/>
          <w:color w:val="auto"/>
        </w:rPr>
        <w:t>Nothing in this Indenture shall impair the right of the Trustee in its discretion to take any action deemed proper by the Trustee and which is not inconsistent with such direction or directions by Securityholders.</w:t>
      </w:r>
    </w:p>
    <w:p>
      <w:pPr>
        <w:spacing w:after="0" w:line="173" w:lineRule="exact"/>
        <w:rPr>
          <w:sz w:val="20"/>
          <w:szCs w:val="20"/>
          <w:color w:val="auto"/>
        </w:rPr>
      </w:pPr>
    </w:p>
    <w:p>
      <w:pPr>
        <w:ind w:left="1580"/>
        <w:spacing w:after="0"/>
        <w:tabs>
          <w:tab w:leader="none" w:pos="3040" w:val="left"/>
          <w:tab w:leader="none" w:pos="5780" w:val="left"/>
        </w:tabs>
        <w:rPr>
          <w:sz w:val="20"/>
          <w:szCs w:val="20"/>
          <w:color w:val="auto"/>
        </w:rPr>
      </w:pPr>
      <w:r>
        <w:rPr>
          <w:rFonts w:ascii="Courier New" w:cs="Courier New" w:eastAsia="Courier New" w:hAnsi="Courier New"/>
          <w:sz w:val="18"/>
          <w:szCs w:val="18"/>
          <w:color w:val="auto"/>
        </w:rPr>
        <w:t>SECTION 4.10</w:t>
        <w:tab/>
        <w:t>Waiver of Past Defaults.</w:t>
      </w:r>
      <w:r>
        <w:rPr>
          <w:sz w:val="20"/>
          <w:szCs w:val="20"/>
          <w:color w:val="auto"/>
        </w:rPr>
        <w:tab/>
      </w:r>
      <w:r>
        <w:rPr>
          <w:rFonts w:ascii="Courier New" w:cs="Courier New" w:eastAsia="Courier New" w:hAnsi="Courier New"/>
          <w:sz w:val="16"/>
          <w:szCs w:val="16"/>
          <w:color w:val="auto"/>
        </w:rPr>
        <w:t>Prior to a declaration</w:t>
      </w:r>
    </w:p>
    <w:p>
      <w:pPr>
        <w:sectPr>
          <w:pgSz w:w="11900" w:h="16838" w:orient="portrait"/>
          <w:cols w:equalWidth="0" w:num="1">
            <w:col w:w="10219"/>
          </w:cols>
          <w:pgMar w:left="240" w:top="520" w:right="1440" w:bottom="1440" w:gutter="0" w:footer="0" w:header="0"/>
        </w:sectPr>
      </w:pPr>
    </w:p>
    <w:bookmarkStart w:id="105" w:name="page106"/>
    <w:bookmarkEnd w:id="105"/>
    <w:p>
      <w:pPr>
        <w:ind w:right="2319"/>
        <w:spacing w:after="0" w:line="238" w:lineRule="auto"/>
        <w:rPr>
          <w:sz w:val="20"/>
          <w:szCs w:val="20"/>
          <w:color w:val="auto"/>
        </w:rPr>
      </w:pPr>
      <w:r>
        <w:rPr>
          <w:rFonts w:ascii="Courier New" w:cs="Courier New" w:eastAsia="Courier New" w:hAnsi="Courier New"/>
          <w:sz w:val="18"/>
          <w:szCs w:val="18"/>
          <w:color w:val="auto"/>
        </w:rPr>
        <w:t>of the acceleration of the maturity of the Securities of any series as provided in Section 4.1, the Holders of a majority in aggregate principal amount of the Securities of such series at the time Outstanding (each such series voting as a separate class) may on behalf of the Holders of all the Securities of such series waive any past default or Event of Default described in clause (d) or (g) of Section 4.1 which relates to less than all series of Securities then Outstanding, except a default in respect of a covenant or provision hereof which cannot be modified or amended without the consent of each Holder affected as provided in Section 7.2. Prior to a declaration of acceleration of the maturity of the Securities of any series as provided in Section 4.1, the Holders of Securities of a majority in principal amount of all the Securities then Outstanding (voting as one class) may on behalf of all Holders waive any past default or Event of Default referred to in said clause (d) or (g) which relates to all series of Securities then Outstanding, or described in clause (e) or (f) of Section 4.1, except a default in respect of a covenant or provision hereof which cannot be modified or amended without the consent of the Holder of each Security affected as provided in Section 7.2. In the case of any such waiver, the Issuer, the Trustee and the Holders of the Securities of each series affected shall be restored to their former positions and rights hereunder, respectively.</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210" w:lineRule="exact"/>
        <w:rPr>
          <w:sz w:val="20"/>
          <w:szCs w:val="20"/>
          <w:color w:val="auto"/>
        </w:rPr>
      </w:pPr>
    </w:p>
    <w:p>
      <w:pPr>
        <w:ind w:right="2099" w:firstLine="1580"/>
        <w:spacing w:after="0" w:line="238" w:lineRule="auto"/>
        <w:rPr>
          <w:sz w:val="20"/>
          <w:szCs w:val="20"/>
          <w:color w:val="auto"/>
        </w:rPr>
      </w:pPr>
      <w:r>
        <w:rPr>
          <w:rFonts w:ascii="Courier New" w:cs="Courier New" w:eastAsia="Courier New" w:hAnsi="Courier New"/>
          <w:sz w:val="18"/>
          <w:szCs w:val="18"/>
          <w:color w:val="auto"/>
        </w:rPr>
        <w:t>SECTION 4.11 Trustee to Give Notice of Default, But May Withhold in Certain Circumstances. The Trustee shall give to the Securityholders of any series, as the names and addresses of such Holders appear on the registry books, notice by mail of all defaults known to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209"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4.12 Right of Court to Require Filing of Undertaking to Pay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w:t>
      </w:r>
    </w:p>
    <w:p>
      <w:pPr>
        <w:sectPr>
          <w:pgSz w:w="11900" w:h="16838" w:orient="portrait"/>
          <w:cols w:equalWidth="0" w:num="1">
            <w:col w:w="10219"/>
          </w:cols>
          <w:pgMar w:left="240" w:top="520" w:right="1440" w:bottom="1440" w:gutter="0" w:footer="0" w:header="0"/>
        </w:sectPr>
      </w:pPr>
    </w:p>
    <w:bookmarkStart w:id="106" w:name="page107"/>
    <w:bookmarkEnd w:id="106"/>
    <w:p>
      <w:pPr>
        <w:ind w:right="2319"/>
        <w:spacing w:after="0" w:line="237" w:lineRule="auto"/>
        <w:rPr>
          <w:sz w:val="20"/>
          <w:szCs w:val="20"/>
          <w:color w:val="auto"/>
        </w:rPr>
      </w:pPr>
      <w:r>
        <w:rPr>
          <w:rFonts w:ascii="Courier New" w:cs="Courier New" w:eastAsia="Courier New" w:hAnsi="Courier New"/>
          <w:sz w:val="18"/>
          <w:szCs w:val="18"/>
          <w:color w:val="auto"/>
        </w:rPr>
        <w:t>in aggregate principal amount of the Securities of such series, or, in the case of any suit relating to or arising under clauses (d) or (g) of Section 4.1 (if the suit relates to Securities of more than one but less than all series), 10% in aggregate principal amount of Securities Outstanding affected thereby, or in the case of any suit relating to or arising under clauses (d) or (g) (if the suit relates to all the Securities then Outstanding), (e) or (f) of Section 4.1, 10% in aggregate principal amount of all Securities Outstanding, or to any suit instituted by any Securityholder for the enforcement of the payment of the principal of or interest on any Security on or after the due date expressed in such Security.</w:t>
      </w:r>
    </w:p>
    <w:p>
      <w:pPr>
        <w:spacing w:after="0" w:line="200" w:lineRule="exact"/>
        <w:rPr>
          <w:sz w:val="20"/>
          <w:szCs w:val="20"/>
          <w:color w:val="auto"/>
        </w:rPr>
      </w:pPr>
    </w:p>
    <w:p>
      <w:pPr>
        <w:spacing w:after="0" w:line="21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FIVE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CONCERNING THE TRUSTEE</w:t>
      </w:r>
    </w:p>
    <w:p>
      <w:pPr>
        <w:spacing w:after="0" w:line="207"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5.1 Duties and Responsibilities of the Trustee; During Default; Prior to Default.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with respect to such series of Securities exercise such of the rights and powers vested in it by this Indenture, and use the same degree of care and skill in their exercise, as a prudent man would exercise or use under the circumstances in the conduct of his own affairs.</w:t>
      </w:r>
    </w:p>
    <w:p>
      <w:pPr>
        <w:spacing w:after="0" w:line="391"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No provision of this Indenture shall be construed to relieve the Trustee from liability for its own negligent action, its own negligent failure to act or its own wilful misconduct, except that</w:t>
      </w:r>
    </w:p>
    <w:p>
      <w:pPr>
        <w:spacing w:after="0" w:line="209" w:lineRule="exact"/>
        <w:rPr>
          <w:sz w:val="20"/>
          <w:szCs w:val="20"/>
          <w:color w:val="auto"/>
        </w:rPr>
      </w:pPr>
    </w:p>
    <w:p>
      <w:pPr>
        <w:ind w:left="960" w:right="2419" w:firstLine="628"/>
        <w:spacing w:after="0" w:line="237" w:lineRule="auto"/>
        <w:tabs>
          <w:tab w:leader="none" w:pos="211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occurrence of an Event of Default with respect to the Securities of any series and after the curing or waiving of all such Events of Default with respect to such series which may have occurred:</w:t>
      </w:r>
    </w:p>
    <w:p>
      <w:pPr>
        <w:spacing w:after="0" w:line="207" w:lineRule="exact"/>
        <w:rPr>
          <w:rFonts w:ascii="Courier New" w:cs="Courier New" w:eastAsia="Courier New" w:hAnsi="Courier New"/>
          <w:sz w:val="18"/>
          <w:szCs w:val="18"/>
          <w:color w:val="auto"/>
        </w:rPr>
      </w:pPr>
    </w:p>
    <w:p>
      <w:pPr>
        <w:ind w:left="1580" w:right="2099" w:firstLine="640"/>
        <w:spacing w:after="0" w:line="237" w:lineRule="auto"/>
        <w:tabs>
          <w:tab w:leader="none" w:pos="2739"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duties and obligations of the Trustee with respect to the Securities of such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211" w:lineRule="exact"/>
        <w:rPr>
          <w:rFonts w:ascii="Courier New" w:cs="Courier New" w:eastAsia="Courier New" w:hAnsi="Courier New"/>
          <w:sz w:val="18"/>
          <w:szCs w:val="18"/>
          <w:color w:val="auto"/>
        </w:rPr>
      </w:pPr>
    </w:p>
    <w:p>
      <w:pPr>
        <w:ind w:left="1580" w:right="2099" w:firstLine="640"/>
        <w:spacing w:after="0" w:line="237" w:lineRule="auto"/>
        <w:tabs>
          <w:tab w:leader="none" w:pos="2844" w:val="left"/>
        </w:tabs>
        <w:numPr>
          <w:ilvl w:val="1"/>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215" w:lineRule="exact"/>
        <w:rPr>
          <w:rFonts w:ascii="Courier New" w:cs="Courier New" w:eastAsia="Courier New" w:hAnsi="Courier New"/>
          <w:sz w:val="18"/>
          <w:szCs w:val="18"/>
          <w:color w:val="auto"/>
        </w:rPr>
      </w:pPr>
    </w:p>
    <w:p>
      <w:pPr>
        <w:ind w:left="960" w:right="2099" w:firstLine="628"/>
        <w:spacing w:after="0" w:line="290" w:lineRule="auto"/>
        <w:tabs>
          <w:tab w:leader="none" w:pos="211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error of judgment made in good faith by a Responsible Officer or Responsible Officers</w:t>
      </w:r>
    </w:p>
    <w:p>
      <w:pPr>
        <w:sectPr>
          <w:pgSz w:w="11900" w:h="16838" w:orient="portrait"/>
          <w:cols w:equalWidth="0" w:num="1">
            <w:col w:w="10219"/>
          </w:cols>
          <w:pgMar w:left="240" w:top="520" w:right="1440" w:bottom="1440" w:gutter="0" w:footer="0" w:header="0"/>
        </w:sectPr>
      </w:pPr>
    </w:p>
    <w:bookmarkStart w:id="107" w:name="page108"/>
    <w:bookmarkEnd w:id="107"/>
    <w:p>
      <w:pPr>
        <w:ind w:left="960" w:right="2739"/>
        <w:spacing w:after="0" w:line="235" w:lineRule="auto"/>
        <w:rPr>
          <w:sz w:val="20"/>
          <w:szCs w:val="20"/>
          <w:color w:val="auto"/>
        </w:rPr>
      </w:pPr>
      <w:r>
        <w:rPr>
          <w:rFonts w:ascii="Courier New" w:cs="Courier New" w:eastAsia="Courier New" w:hAnsi="Courier New"/>
          <w:sz w:val="18"/>
          <w:szCs w:val="18"/>
          <w:color w:val="auto"/>
        </w:rPr>
        <w:t>of the Trustee, unless it shall be proved that the Trustee was negligent in ascertaining the pertinent facts; and</w:t>
      </w:r>
    </w:p>
    <w:p>
      <w:pPr>
        <w:spacing w:after="0" w:line="208" w:lineRule="exact"/>
        <w:rPr>
          <w:sz w:val="20"/>
          <w:szCs w:val="20"/>
          <w:color w:val="auto"/>
        </w:rPr>
      </w:pPr>
    </w:p>
    <w:p>
      <w:pPr>
        <w:ind w:left="960" w:right="1999" w:firstLine="628"/>
        <w:spacing w:after="0" w:line="272" w:lineRule="auto"/>
        <w:tabs>
          <w:tab w:leader="none" w:pos="2119"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with respect to any action taken or omitted to be taken by it in good faith in accordance with the direction of the Holders pursuant to Section 4.9 relating to the time, method and place of conducting any proceeding for any remedy available to the Trustee, or exercising any trust or power conferred upon the Trustee, under this Indenture.</w:t>
      </w:r>
    </w:p>
    <w:p>
      <w:pPr>
        <w:spacing w:after="0" w:line="18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210"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The provisions of this Section 5.1 are in furtherance of and subject to Sections 315 and 316 of the Trust Indenture Act of 1939.</w:t>
      </w:r>
    </w:p>
    <w:p>
      <w:pPr>
        <w:spacing w:after="0" w:line="208"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SECTION 5.2 Certain Rights of the Trustee. In furtherance of and subject to the Trust Indenture Act of 1939, and subject to Section 5.1:</w:t>
      </w:r>
    </w:p>
    <w:p>
      <w:pPr>
        <w:spacing w:after="0" w:line="208" w:lineRule="exact"/>
        <w:rPr>
          <w:sz w:val="20"/>
          <w:szCs w:val="20"/>
          <w:color w:val="auto"/>
        </w:rPr>
      </w:pPr>
    </w:p>
    <w:p>
      <w:pPr>
        <w:ind w:left="960" w:right="2099" w:firstLine="628"/>
        <w:spacing w:after="0" w:line="272" w:lineRule="auto"/>
        <w:tabs>
          <w:tab w:leader="none" w:pos="211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Officers'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85" w:lineRule="exact"/>
        <w:rPr>
          <w:rFonts w:ascii="Courier New" w:cs="Courier New" w:eastAsia="Courier New" w:hAnsi="Courier New"/>
          <w:sz w:val="16"/>
          <w:szCs w:val="16"/>
          <w:color w:val="auto"/>
        </w:rPr>
      </w:pPr>
    </w:p>
    <w:p>
      <w:pPr>
        <w:ind w:left="960" w:right="1999" w:firstLine="628"/>
        <w:spacing w:after="0" w:line="237" w:lineRule="auto"/>
        <w:tabs>
          <w:tab w:leader="none" w:pos="211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209" w:lineRule="exact"/>
        <w:rPr>
          <w:rFonts w:ascii="Courier New" w:cs="Courier New" w:eastAsia="Courier New" w:hAnsi="Courier New"/>
          <w:sz w:val="18"/>
          <w:szCs w:val="18"/>
          <w:color w:val="auto"/>
        </w:rPr>
      </w:pPr>
    </w:p>
    <w:p>
      <w:pPr>
        <w:ind w:left="960" w:right="2099" w:firstLine="628"/>
        <w:spacing w:after="0" w:line="237" w:lineRule="auto"/>
        <w:tabs>
          <w:tab w:leader="none" w:pos="211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208" w:lineRule="exact"/>
        <w:rPr>
          <w:rFonts w:ascii="Courier New" w:cs="Courier New" w:eastAsia="Courier New" w:hAnsi="Courier New"/>
          <w:sz w:val="18"/>
          <w:szCs w:val="18"/>
          <w:color w:val="auto"/>
        </w:rPr>
      </w:pPr>
    </w:p>
    <w:p>
      <w:pPr>
        <w:ind w:left="960" w:right="1999" w:firstLine="628"/>
        <w:spacing w:after="0" w:line="237" w:lineRule="auto"/>
        <w:tabs>
          <w:tab w:leader="none" w:pos="211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therein or thereby;</w:t>
      </w:r>
    </w:p>
    <w:p>
      <w:pPr>
        <w:spacing w:after="0" w:line="211" w:lineRule="exact"/>
        <w:rPr>
          <w:rFonts w:ascii="Courier New" w:cs="Courier New" w:eastAsia="Courier New" w:hAnsi="Courier New"/>
          <w:sz w:val="18"/>
          <w:szCs w:val="18"/>
          <w:color w:val="auto"/>
        </w:rPr>
      </w:pPr>
    </w:p>
    <w:p>
      <w:pPr>
        <w:jc w:val="both"/>
        <w:ind w:left="960" w:right="2319" w:firstLine="628"/>
        <w:spacing w:after="0" w:line="237" w:lineRule="auto"/>
        <w:tabs>
          <w:tab w:leader="none" w:pos="211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207" w:lineRule="exact"/>
        <w:rPr>
          <w:rFonts w:ascii="Courier New" w:cs="Courier New" w:eastAsia="Courier New" w:hAnsi="Courier New"/>
          <w:sz w:val="18"/>
          <w:szCs w:val="18"/>
          <w:color w:val="auto"/>
        </w:rPr>
      </w:pPr>
    </w:p>
    <w:p>
      <w:pPr>
        <w:ind w:left="960" w:right="2319" w:firstLine="628"/>
        <w:spacing w:after="0" w:line="273" w:lineRule="auto"/>
        <w:tabs>
          <w:tab w:leader="none" w:pos="2013"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w:t>
      </w:r>
    </w:p>
    <w:p>
      <w:pPr>
        <w:sectPr>
          <w:pgSz w:w="11900" w:h="16838" w:orient="portrait"/>
          <w:cols w:equalWidth="0" w:num="1">
            <w:col w:w="10219"/>
          </w:cols>
          <w:pgMar w:left="240" w:top="520" w:right="1440" w:bottom="1440" w:gutter="0" w:footer="0" w:header="0"/>
        </w:sectPr>
      </w:pPr>
    </w:p>
    <w:bookmarkStart w:id="108" w:name="page109"/>
    <w:bookmarkEnd w:id="108"/>
    <w:p>
      <w:pPr>
        <w:ind w:left="960" w:right="2319"/>
        <w:spacing w:after="0" w:line="238" w:lineRule="auto"/>
        <w:rPr>
          <w:sz w:val="20"/>
          <w:szCs w:val="20"/>
          <w:color w:val="auto"/>
        </w:rPr>
      </w:pPr>
      <w:r>
        <w:rPr>
          <w:rFonts w:ascii="Courier New" w:cs="Courier New" w:eastAsia="Courier New" w:hAnsi="Courier New"/>
          <w:sz w:val="18"/>
          <w:szCs w:val="18"/>
          <w:color w:val="auto"/>
        </w:rPr>
        <w:t>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208" w:lineRule="exact"/>
        <w:rPr>
          <w:sz w:val="20"/>
          <w:szCs w:val="20"/>
          <w:color w:val="auto"/>
        </w:rPr>
      </w:pPr>
    </w:p>
    <w:p>
      <w:pPr>
        <w:ind w:left="960" w:right="2099" w:firstLine="628"/>
        <w:spacing w:after="0" w:line="237" w:lineRule="auto"/>
        <w:tabs>
          <w:tab w:leader="none" w:pos="211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210"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SECTION 5.3 Trustee Not Responsible for Recitals, Disposition of Securities or Application of Proceeds Thereof.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214"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5.4 Trustee and Agents May Hold Securities; Collections, etc.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211"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5.5 Moneys Held by Trustee. Subject to the provisions of Section 9.4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211" w:lineRule="exact"/>
        <w:rPr>
          <w:sz w:val="20"/>
          <w:szCs w:val="20"/>
          <w:color w:val="auto"/>
        </w:rPr>
      </w:pPr>
    </w:p>
    <w:p>
      <w:pPr>
        <w:ind w:right="1879" w:firstLine="1580"/>
        <w:spacing w:after="0" w:line="270" w:lineRule="auto"/>
        <w:rPr>
          <w:sz w:val="20"/>
          <w:szCs w:val="20"/>
          <w:color w:val="auto"/>
        </w:rPr>
      </w:pPr>
      <w:r>
        <w:rPr>
          <w:rFonts w:ascii="Courier New" w:cs="Courier New" w:eastAsia="Courier New" w:hAnsi="Courier New"/>
          <w:sz w:val="16"/>
          <w:szCs w:val="16"/>
          <w:color w:val="auto"/>
        </w:rPr>
        <w:t>SECTION 5.6 Compensation and Indemnification of Trustee and Its Prior Claim. The Issuer covenants and agrees to pay to the Trustee from time to time, and the Trustee shall be entitled to, reasonable compensation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to indemnify the Trustee and each predecessor Trustee for, and to hold it harmless</w:t>
      </w:r>
    </w:p>
    <w:p>
      <w:pPr>
        <w:sectPr>
          <w:pgSz w:w="11900" w:h="16838" w:orient="portrait"/>
          <w:cols w:equalWidth="0" w:num="1">
            <w:col w:w="10219"/>
          </w:cols>
          <w:pgMar w:left="240" w:top="723" w:right="1440" w:bottom="1440" w:gutter="0" w:footer="0" w:header="0"/>
        </w:sectPr>
      </w:pPr>
    </w:p>
    <w:bookmarkStart w:id="109" w:name="page110"/>
    <w:bookmarkEnd w:id="109"/>
    <w:p>
      <w:pPr>
        <w:ind w:right="1999"/>
        <w:spacing w:after="0" w:line="238" w:lineRule="auto"/>
        <w:rPr>
          <w:sz w:val="20"/>
          <w:szCs w:val="20"/>
          <w:color w:val="auto"/>
        </w:rPr>
      </w:pPr>
      <w:r>
        <w:rPr>
          <w:rFonts w:ascii="Courier New" w:cs="Courier New" w:eastAsia="Courier New" w:hAnsi="Courier New"/>
          <w:sz w:val="18"/>
          <w:szCs w:val="18"/>
          <w:color w:val="auto"/>
        </w:rPr>
        <w:t>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208"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5.7 Right of Trustee to Rely on Officers' Certificate, etc. Subject to Sections 5.1 and 5.2,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5.8 Persons Eligible for Appointment as Trustee. The Trustee for each series of Securities hereunder shall at all times be a corporation having a combined capital and surplus of at least $50,000,000, and which is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215"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5.9 Resignation and Removal; Appointment of Successor Trustee. (a) The Trustee, or any trustee or trustees hereafter appointed, may at any time resign with respect to one or more or all series of Securities by giving written notice of resignation to the Issuer and by mailing notice thereof by first class mail to Holders of the applicable series of Securities at their last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ectPr>
          <w:pgSz w:w="11900" w:h="16838" w:orient="portrait"/>
          <w:cols w:equalWidth="0" w:num="1">
            <w:col w:w="10219"/>
          </w:cols>
          <w:pgMar w:left="240" w:top="520" w:right="1440" w:bottom="1440" w:gutter="0" w:footer="0" w:header="0"/>
        </w:sectPr>
      </w:pPr>
    </w:p>
    <w:bookmarkStart w:id="110" w:name="page111"/>
    <w:bookmarkEnd w:id="110"/>
    <w:p>
      <w:pPr>
        <w:ind w:left="2120" w:hanging="532"/>
        <w:spacing w:after="0"/>
        <w:tabs>
          <w:tab w:leader="none" w:pos="21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any of the following shall occur:</w:t>
      </w:r>
    </w:p>
    <w:p>
      <w:pPr>
        <w:spacing w:after="0" w:line="207" w:lineRule="exact"/>
        <w:rPr>
          <w:sz w:val="20"/>
          <w:szCs w:val="20"/>
          <w:color w:val="auto"/>
        </w:rPr>
      </w:pPr>
    </w:p>
    <w:p>
      <w:pPr>
        <w:ind w:left="960" w:right="1999" w:firstLine="628"/>
        <w:spacing w:after="0" w:line="237" w:lineRule="auto"/>
        <w:tabs>
          <w:tab w:leader="none" w:pos="2119"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208" w:lineRule="exact"/>
        <w:rPr>
          <w:rFonts w:ascii="Courier New" w:cs="Courier New" w:eastAsia="Courier New" w:hAnsi="Courier New"/>
          <w:sz w:val="18"/>
          <w:szCs w:val="18"/>
          <w:color w:val="auto"/>
        </w:rPr>
      </w:pPr>
    </w:p>
    <w:p>
      <w:pPr>
        <w:ind w:left="960" w:right="1999" w:firstLine="628"/>
        <w:spacing w:after="0" w:line="237" w:lineRule="auto"/>
        <w:tabs>
          <w:tab w:leader="none" w:pos="2224"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207" w:lineRule="exact"/>
        <w:rPr>
          <w:rFonts w:ascii="Courier New" w:cs="Courier New" w:eastAsia="Courier New" w:hAnsi="Courier New"/>
          <w:sz w:val="18"/>
          <w:szCs w:val="18"/>
          <w:color w:val="auto"/>
        </w:rPr>
      </w:pPr>
    </w:p>
    <w:p>
      <w:pPr>
        <w:ind w:left="960" w:right="2099" w:firstLine="628"/>
        <w:spacing w:after="0" w:line="272" w:lineRule="auto"/>
        <w:tabs>
          <w:tab w:leader="none" w:pos="2329"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86"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207" w:lineRule="exact"/>
        <w:rPr>
          <w:sz w:val="20"/>
          <w:szCs w:val="20"/>
          <w:color w:val="auto"/>
        </w:rPr>
      </w:pPr>
    </w:p>
    <w:p>
      <w:pPr>
        <w:ind w:right="1999" w:firstLine="1588"/>
        <w:spacing w:after="0" w:line="237" w:lineRule="auto"/>
        <w:tabs>
          <w:tab w:leader="none" w:pos="2107"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6.1 of the action in that regard taken by the Securityholders.</w:t>
      </w:r>
    </w:p>
    <w:p>
      <w:pPr>
        <w:spacing w:after="0" w:line="211"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resignation or removal of the Trustee with respect to any series and any appointment of a successor trustee with respect to such series pursuant to any of the provisions of this Section 5.9 shall become effective upon acceptance of appointment by the successor trustee as provided in Section 5.10.</w:t>
      </w:r>
    </w:p>
    <w:p>
      <w:pPr>
        <w:spacing w:after="0" w:line="209"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5.10 Acceptance of Appointment by Successor Trustee. Any successor trustee appointed as provided in Section 5.9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9.4, pay over to the successor trustee all moneys at</w:t>
      </w:r>
    </w:p>
    <w:p>
      <w:pPr>
        <w:sectPr>
          <w:pgSz w:w="11900" w:h="16838" w:orient="portrait"/>
          <w:cols w:equalWidth="0" w:num="1">
            <w:col w:w="10219"/>
          </w:cols>
          <w:pgMar w:left="240" w:top="717" w:right="1440" w:bottom="1440" w:gutter="0" w:footer="0" w:header="0"/>
        </w:sectPr>
      </w:pPr>
    </w:p>
    <w:bookmarkStart w:id="111" w:name="page112"/>
    <w:bookmarkEnd w:id="111"/>
    <w:p>
      <w:pPr>
        <w:ind w:right="2419"/>
        <w:spacing w:after="0" w:line="271" w:lineRule="auto"/>
        <w:rPr>
          <w:sz w:val="20"/>
          <w:szCs w:val="20"/>
          <w:color w:val="auto"/>
        </w:rPr>
      </w:pPr>
      <w:r>
        <w:rPr>
          <w:rFonts w:ascii="Courier New" w:cs="Courier New" w:eastAsia="Courier New" w:hAnsi="Courier New"/>
          <w:sz w:val="16"/>
          <w:szCs w:val="16"/>
          <w:color w:val="auto"/>
        </w:rPr>
        <w:t>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5.6.</w:t>
      </w:r>
    </w:p>
    <w:p>
      <w:pPr>
        <w:spacing w:after="0" w:line="186" w:lineRule="exact"/>
        <w:rPr>
          <w:sz w:val="20"/>
          <w:szCs w:val="20"/>
          <w:color w:val="auto"/>
        </w:rPr>
      </w:pPr>
    </w:p>
    <w:p>
      <w:pPr>
        <w:ind w:right="2099" w:firstLine="1580"/>
        <w:spacing w:after="0" w:line="270" w:lineRule="auto"/>
        <w:rPr>
          <w:sz w:val="20"/>
          <w:szCs w:val="20"/>
          <w:color w:val="auto"/>
        </w:rPr>
      </w:pPr>
      <w:r>
        <w:rPr>
          <w:rFonts w:ascii="Courier New" w:cs="Courier New" w:eastAsia="Courier New" w:hAnsi="Courier New"/>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38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5.9. If the Issuer fails to mail such notice within ten days after acceptance of appointment by the successor trustee, the successor trustee shall cause such notice to be mailed at the expense of the Issuer.</w:t>
      </w:r>
    </w:p>
    <w:p>
      <w:pPr>
        <w:spacing w:after="0" w:line="215"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5.11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eligible under the provisions of Section 5.8, without the execution or filing of any paper or any further act on the part of any of the parties hereto, anything herein to the contrary notwithstanding.</w:t>
      </w:r>
    </w:p>
    <w:p>
      <w:pPr>
        <w:spacing w:after="0" w:line="215"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ectPr>
          <w:pgSz w:w="11900" w:h="16838" w:orient="portrait"/>
          <w:cols w:equalWidth="0" w:num="1">
            <w:col w:w="10219"/>
          </w:cols>
          <w:pgMar w:left="240" w:top="520" w:right="1440" w:bottom="1440" w:gutter="0" w:footer="0" w:header="0"/>
        </w:sectPr>
      </w:pPr>
    </w:p>
    <w:bookmarkStart w:id="112" w:name="page113"/>
    <w:bookmarkEnd w:id="112"/>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SECTION 5.12. Preferential Collection of Claims Against the Issuer. Reference is made to Section 311 of the Trust Indenture Act of 1939, as amended.</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SIX</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CONCERNING THE SECURITYHOLDERS</w:t>
      </w:r>
    </w:p>
    <w:p>
      <w:pPr>
        <w:spacing w:after="0" w:line="207" w:lineRule="exact"/>
        <w:rPr>
          <w:sz w:val="20"/>
          <w:szCs w:val="20"/>
          <w:color w:val="auto"/>
        </w:rPr>
      </w:pPr>
    </w:p>
    <w:p>
      <w:pPr>
        <w:ind w:right="1999" w:firstLine="1369"/>
        <w:spacing w:after="0" w:line="238" w:lineRule="auto"/>
        <w:rPr>
          <w:sz w:val="20"/>
          <w:szCs w:val="20"/>
          <w:color w:val="auto"/>
        </w:rPr>
      </w:pPr>
      <w:r>
        <w:rPr>
          <w:rFonts w:ascii="Courier New" w:cs="Courier New" w:eastAsia="Courier New" w:hAnsi="Courier New"/>
          <w:sz w:val="18"/>
          <w:szCs w:val="18"/>
          <w:color w:val="auto"/>
        </w:rPr>
        <w:t>SECTION 6.1 Evidence of Action Taken by Securityholders.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5.1 and 5.2) conclusive in favor of the Trustee and the Issuer, if made in the manner provided in this Article.</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6.2 Proof of Execution of Instruments and of Holding of Securities; Record Date. Subject to Sections 5.1 and 5.2, the execution of any instrument by a Securityholder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208"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6.3 Holders to be Treated as Owners.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207" w:lineRule="exact"/>
        <w:rPr>
          <w:sz w:val="20"/>
          <w:szCs w:val="20"/>
          <w:color w:val="auto"/>
        </w:rPr>
      </w:pPr>
    </w:p>
    <w:p>
      <w:pPr>
        <w:ind w:right="1999" w:firstLine="1580"/>
        <w:spacing w:after="0" w:line="273" w:lineRule="auto"/>
        <w:rPr>
          <w:sz w:val="20"/>
          <w:szCs w:val="20"/>
          <w:color w:val="auto"/>
        </w:rPr>
      </w:pPr>
      <w:r>
        <w:rPr>
          <w:rFonts w:ascii="Courier New" w:cs="Courier New" w:eastAsia="Courier New" w:hAnsi="Courier New"/>
          <w:sz w:val="16"/>
          <w:szCs w:val="16"/>
          <w:color w:val="auto"/>
        </w:rPr>
        <w:t>SECTION 6.4 Securities Owned by Issuer Deemed Not Outstanding. In determining whether the Holders of the requisite aggregate principal amount of Outstanding Securities of any or all series have concurred in any direction, consent or waiver under this Indenture, Securities which are owned by the Issuer or any other obligor on the Securities or by any person directly</w:t>
      </w:r>
    </w:p>
    <w:p>
      <w:pPr>
        <w:sectPr>
          <w:pgSz w:w="11900" w:h="16838" w:orient="portrait"/>
          <w:cols w:equalWidth="0" w:num="1">
            <w:col w:w="10219"/>
          </w:cols>
          <w:pgMar w:left="240" w:top="723" w:right="1440" w:bottom="1440" w:gutter="0" w:footer="0" w:header="0"/>
        </w:sectPr>
      </w:pPr>
    </w:p>
    <w:bookmarkStart w:id="113" w:name="page114"/>
    <w:bookmarkEnd w:id="113"/>
    <w:p>
      <w:pPr>
        <w:ind w:right="1999"/>
        <w:spacing w:after="0" w:line="238" w:lineRule="auto"/>
        <w:rPr>
          <w:sz w:val="20"/>
          <w:szCs w:val="20"/>
          <w:color w:val="auto"/>
        </w:rPr>
      </w:pPr>
      <w:r>
        <w:rPr>
          <w:rFonts w:ascii="Courier New" w:cs="Courier New" w:eastAsia="Courier New" w:hAnsi="Courier New"/>
          <w:sz w:val="18"/>
          <w:szCs w:val="18"/>
          <w:color w:val="auto"/>
        </w:rPr>
        <w:t>or indirectly controlling or controlled by or under direct or indirect common control with the Issuer or any other obligor on the Securities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5.1 and 5.2, the Trustee shall be entitled to accept such Officers' Certificate as conclusive evidence of the facts therein set forth and of the fact that all Securities not listed therein are Outstanding for the purpose of any such determination.</w:t>
      </w:r>
    </w:p>
    <w:p>
      <w:pPr>
        <w:spacing w:after="0" w:line="211"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SECTION 6.5 Right of Revocation of Action Taken. At any time prior to (but not after) the evidencing to the Trustee, as provided in Section 6.1, of the taking of any action by the Holders of the percentage</w:t>
      </w:r>
    </w:p>
    <w:p>
      <w:pPr>
        <w:spacing w:after="0" w:line="6"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SEVEN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SUPPLEMENTAL INDENTURES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7.1 Supplemental Indentures Without Consent of Securityholders. The Issuer, when authorized by a resolution of its Board of Directors (which resolution may provide general terms or parameters for such action and may provide that the specific terms of such action may be determined in accordance with or pursuant to an Issuer Order), and the Trustee may from time to time and at any time enter into an indenture or indentures supplemental hereto for one or more of the following purposes:</w:t>
      </w:r>
    </w:p>
    <w:p>
      <w:pPr>
        <w:spacing w:after="0" w:line="211" w:lineRule="exact"/>
        <w:rPr>
          <w:sz w:val="20"/>
          <w:szCs w:val="20"/>
          <w:color w:val="auto"/>
        </w:rPr>
      </w:pPr>
    </w:p>
    <w:p>
      <w:pPr>
        <w:ind w:left="960" w:right="2419" w:firstLine="628"/>
        <w:spacing w:after="0" w:line="236" w:lineRule="auto"/>
        <w:tabs>
          <w:tab w:leader="none" w:pos="2119"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convey, transfer, assign, mortgage or pledge to the Trustee as security for the Securities of one or more series any property or assets;</w:t>
      </w:r>
    </w:p>
    <w:p>
      <w:pPr>
        <w:sectPr>
          <w:pgSz w:w="11900" w:h="16838" w:orient="portrait"/>
          <w:cols w:equalWidth="0" w:num="1">
            <w:col w:w="10219"/>
          </w:cols>
          <w:pgMar w:left="240" w:top="520" w:right="1440" w:bottom="1440" w:gutter="0" w:footer="0" w:header="0"/>
        </w:sectPr>
      </w:pPr>
    </w:p>
    <w:bookmarkStart w:id="114" w:name="page115"/>
    <w:bookmarkEnd w:id="114"/>
    <w:p>
      <w:pPr>
        <w:ind w:left="960" w:right="1999" w:firstLine="628"/>
        <w:spacing w:after="0" w:line="237" w:lineRule="auto"/>
        <w:tabs>
          <w:tab w:leader="none" w:pos="211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another corporation to the Issuer, or successive successions, and the assumption by the successor corporation of the covenants, agreements and obligations of the Issuer pursuant to Article Eight;</w:t>
      </w:r>
    </w:p>
    <w:p>
      <w:pPr>
        <w:spacing w:after="0" w:line="207" w:lineRule="exact"/>
        <w:rPr>
          <w:rFonts w:ascii="Courier New" w:cs="Courier New" w:eastAsia="Courier New" w:hAnsi="Courier New"/>
          <w:sz w:val="18"/>
          <w:szCs w:val="18"/>
          <w:color w:val="auto"/>
        </w:rPr>
      </w:pPr>
    </w:p>
    <w:p>
      <w:pPr>
        <w:ind w:left="960" w:right="1999" w:firstLine="628"/>
        <w:spacing w:after="0" w:line="238" w:lineRule="auto"/>
        <w:tabs>
          <w:tab w:leader="none" w:pos="211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208" w:lineRule="exact"/>
        <w:rPr>
          <w:rFonts w:ascii="Courier New" w:cs="Courier New" w:eastAsia="Courier New" w:hAnsi="Courier New"/>
          <w:sz w:val="18"/>
          <w:szCs w:val="18"/>
          <w:color w:val="auto"/>
        </w:rPr>
      </w:pPr>
    </w:p>
    <w:p>
      <w:pPr>
        <w:ind w:left="960" w:right="2199" w:firstLine="628"/>
        <w:spacing w:after="0" w:line="237" w:lineRule="auto"/>
        <w:tabs>
          <w:tab w:leader="none" w:pos="211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of Directors may deem necessary or desirable; provided that no such action shall adversely affect the interests of the Holders of the Securities in any material respect;</w:t>
      </w:r>
    </w:p>
    <w:p>
      <w:pPr>
        <w:spacing w:after="0" w:line="213" w:lineRule="exact"/>
        <w:rPr>
          <w:rFonts w:ascii="Courier New" w:cs="Courier New" w:eastAsia="Courier New" w:hAnsi="Courier New"/>
          <w:sz w:val="18"/>
          <w:szCs w:val="18"/>
          <w:color w:val="auto"/>
        </w:rPr>
      </w:pPr>
    </w:p>
    <w:p>
      <w:pPr>
        <w:ind w:left="960" w:right="1999" w:firstLine="628"/>
        <w:spacing w:after="0" w:line="235" w:lineRule="auto"/>
        <w:tabs>
          <w:tab w:leader="none" w:pos="211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the form or terms of Securities of any series as permitted by Sections 2.1 and 2.3; and</w:t>
      </w:r>
    </w:p>
    <w:p>
      <w:pPr>
        <w:spacing w:after="0" w:line="208" w:lineRule="exact"/>
        <w:rPr>
          <w:rFonts w:ascii="Courier New" w:cs="Courier New" w:eastAsia="Courier New" w:hAnsi="Courier New"/>
          <w:sz w:val="18"/>
          <w:szCs w:val="18"/>
          <w:color w:val="auto"/>
        </w:rPr>
      </w:pPr>
    </w:p>
    <w:p>
      <w:pPr>
        <w:ind w:left="960" w:right="1999" w:firstLine="628"/>
        <w:spacing w:after="0" w:line="237" w:lineRule="auto"/>
        <w:tabs>
          <w:tab w:leader="none" w:pos="211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211"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Any supplemental indenture authorized by the provisions of this Section may be executed without the consent of the Holders of any of the Securities at the time Outstanding, notwithstanding any of the provisions of Section 7.2.</w:t>
      </w:r>
    </w:p>
    <w:p>
      <w:pPr>
        <w:spacing w:after="0" w:line="207"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SECTION 7.2 Supplemental Indentures With Consent of Securityholders. With the consent (evidenced as provided in Article Six) of the Holders of not less than a majority in aggregate principal amount of the Securities at the time Outstanding of all series affected by such supplemental</w:t>
      </w:r>
    </w:p>
    <w:p>
      <w:pPr>
        <w:sectPr>
          <w:pgSz w:w="11900" w:h="16838" w:orient="portrait"/>
          <w:cols w:equalWidth="0" w:num="1">
            <w:col w:w="10219"/>
          </w:cols>
          <w:pgMar w:left="240" w:top="520" w:right="1440" w:bottom="1440" w:gutter="0" w:footer="0" w:header="0"/>
        </w:sectPr>
      </w:pPr>
    </w:p>
    <w:bookmarkStart w:id="115" w:name="page116"/>
    <w:bookmarkEnd w:id="115"/>
    <w:p>
      <w:pPr>
        <w:ind w:right="2319"/>
        <w:spacing w:after="0" w:line="238" w:lineRule="auto"/>
        <w:rPr>
          <w:sz w:val="20"/>
          <w:szCs w:val="20"/>
          <w:color w:val="auto"/>
        </w:rPr>
      </w:pPr>
      <w:r>
        <w:rPr>
          <w:rFonts w:ascii="Courier New" w:cs="Courier New" w:eastAsia="Courier New" w:hAnsi="Courier New"/>
          <w:sz w:val="18"/>
          <w:szCs w:val="18"/>
          <w:color w:val="auto"/>
        </w:rPr>
        <w:t>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(a) extend the final maturity of any Security, or reduce the principal amount thereof, or reduce the rate or extend the time of payment of interest thereon, or reduce any amount payable on redemption thereof or reduce the amount of the principal of an Original Issue Discount Security that would be due and payable upon an acceleration of the maturity thereof pursuant to Section 4.1 or the amount thereof provable in bankruptcy pursuant to Section 4.2, or impair or affect the right of any Securityholder to institute suit for the payment thereof or, if the Securities provide therefor, any right of repayment at the option of the Securityholder without the consent of the Holder of each Security so affected, or (b) reduce the aforesaid percentage of Securities of any series, the consent of the Holders of which is required for any such supplemental indenture, without the consent of the Holders of each Security so affected.</w:t>
      </w:r>
    </w:p>
    <w:p>
      <w:pPr>
        <w:spacing w:after="0" w:line="210" w:lineRule="exact"/>
        <w:rPr>
          <w:sz w:val="20"/>
          <w:szCs w:val="20"/>
          <w:color w:val="auto"/>
        </w:rPr>
      </w:pPr>
    </w:p>
    <w:p>
      <w:pPr>
        <w:ind w:right="2419" w:firstLine="1580"/>
        <w:spacing w:after="0" w:line="237" w:lineRule="auto"/>
        <w:rPr>
          <w:sz w:val="20"/>
          <w:szCs w:val="20"/>
          <w:color w:val="auto"/>
        </w:rPr>
      </w:pPr>
      <w:r>
        <w:rPr>
          <w:rFonts w:ascii="Courier New" w:cs="Courier New" w:eastAsia="Courier New" w:hAnsi="Courier New"/>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211"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Upon the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215"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212"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7.3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w:t>
      </w:r>
    </w:p>
    <w:p>
      <w:pPr>
        <w:sectPr>
          <w:pgSz w:w="11900" w:h="16838" w:orient="portrait"/>
          <w:cols w:equalWidth="0" w:num="1">
            <w:col w:w="10219"/>
          </w:cols>
          <w:pgMar w:left="240" w:top="520" w:right="1440" w:bottom="1440" w:gutter="0" w:footer="0" w:header="0"/>
        </w:sectPr>
      </w:pPr>
    </w:p>
    <w:bookmarkStart w:id="116" w:name="page117"/>
    <w:bookmarkEnd w:id="116"/>
    <w:p>
      <w:pPr>
        <w:jc w:val="both"/>
        <w:ind w:right="2419"/>
        <w:spacing w:after="0" w:line="236" w:lineRule="auto"/>
        <w:rPr>
          <w:sz w:val="20"/>
          <w:szCs w:val="20"/>
          <w:color w:val="auto"/>
        </w:rPr>
      </w:pPr>
      <w:r>
        <w:rPr>
          <w:rFonts w:ascii="Courier New" w:cs="Courier New" w:eastAsia="Courier New" w:hAnsi="Courier New"/>
          <w:sz w:val="18"/>
          <w:szCs w:val="18"/>
          <w:color w:val="auto"/>
        </w:rPr>
        <w:t>modifications and amendments, and all the terms and conditions of any such supplemental indenture shall be and be deemed to be part of the terms and conditions of this Indenture for any and all purposes.</w:t>
      </w:r>
    </w:p>
    <w:p>
      <w:pPr>
        <w:spacing w:after="0" w:line="209"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7.4 Documents to Be Given to Trustee. The Trustee, subject to the provisions of Sections 5.1 and 5.2, may receive an Officers' Certificate and an Opinion of Counsel as conclusive evidence that any supplemental indenture executed pursuant to this Article Seven complies with the applicable provisions of this Indenture.</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7.5 Notation on Securities in Respect of Supplemental Indentures. Securities of any series authenticated and delivered after the execution of any supplemental indenture pursuant to the provisions of this Article may bear a notation in form approved by the Trustee for such series as to any matter provided for by such supplemental indenture.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EIGHT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CONSOLIDATION, MERGER, SALE OR CONVEYANCE</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8.1 Issuer May Consolidate, etc., on Certain Terms. The Issuer covenants that it will not merge or consolidate with any other corporation or sell or convey all or substantially all of its assets to any Person, unless (i) either the Issuer shall be the continuing corporation, or the successor corporation or the Person which acquires by sale or conveyance substantially all the assets of the Issuer (if other than the Issuer) shall be a corporation organized under the laws of the United States of America or any State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in form satisfactory to the Trustee, executed and delivered to the Trustee by such corporation, and (ii) the Issuer or such successor corporation, as the case may be, shall not, immediately after such merger or consolidation, or such sale or conveyance, be in default in the performance of any such covenant or condition of this Indenture.</w:t>
      </w:r>
    </w:p>
    <w:p>
      <w:pPr>
        <w:spacing w:after="0" w:line="39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8.2 Successor Corporation Substituted. In case of any such consolidation, merger, sale or conveyance, and following such an assumption by the successor corporation, such successor corporation shall succeed to and be substituted for the Issuer, with the same effect as if it had been named herein. Such successor corporation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w:t>
      </w:r>
    </w:p>
    <w:p>
      <w:pPr>
        <w:sectPr>
          <w:pgSz w:w="11900" w:h="16838" w:orient="portrait"/>
          <w:cols w:equalWidth="0" w:num="1">
            <w:col w:w="10219"/>
          </w:cols>
          <w:pgMar w:left="240" w:top="520" w:right="1440" w:bottom="1440" w:gutter="0" w:footer="0" w:header="0"/>
        </w:sectPr>
      </w:pPr>
    </w:p>
    <w:bookmarkStart w:id="117" w:name="page118"/>
    <w:bookmarkEnd w:id="117"/>
    <w:p>
      <w:pPr>
        <w:ind w:right="2099"/>
        <w:spacing w:after="0" w:line="236" w:lineRule="auto"/>
        <w:rPr>
          <w:sz w:val="20"/>
          <w:szCs w:val="20"/>
          <w:color w:val="auto"/>
        </w:rPr>
      </w:pPr>
      <w:r>
        <w:rPr>
          <w:rFonts w:ascii="Courier New" w:cs="Courier New" w:eastAsia="Courier New" w:hAnsi="Courier New"/>
          <w:sz w:val="18"/>
          <w:szCs w:val="18"/>
          <w:color w:val="auto"/>
        </w:rPr>
        <w:t>theretofore or thereafter issued in accordance with the terms of this Indenture as though all of such Securities had been issued at the date of the execution hereof.</w:t>
      </w:r>
    </w:p>
    <w:p>
      <w:pPr>
        <w:spacing w:after="0" w:line="209"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209"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In the event of any such sale or conveyance (other than a conveyance by way of lease) the Issuer or any successor corporation which shall theretofore have become such in the manner described in this Article shall be discharged from all obligations and covenants under this Indenture and the Securities and may be liquidated and dissolved.</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8.3 Opinion of Counsel to Trustee. The Trustee, subject to the provisions of Sections 5.1 and 5.2, may receive an Opinion of Counsel, prepared in accordance with Section 10.5, as conclusive evidence that any such consolidation, merger, sale, lease or conveyance, and any such assumption, and any such liquidation or dissolution, complies with the applicable provisions of this Indenture.</w:t>
      </w: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NINE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SATISFACTION AND DISCHARGE OF INDENTURE;</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UNCLAIMED MONEYS.</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9.1 Satisfaction and Discharge of Indenture. If at any time (a) the Issuer shall have paid or caused to be paid the principal of and interest on all the Securities of any series Outstanding hereunder (other than Securities of such series which have been destroyed, lost or stolen and which have been replaced or paid as provided in Section 2.9) as and when the same shall have become due and payable, or (b) the Issuer shall have delivered to the Trustee for cancellation all Securities of any series theretofore authenticated (other than any Securities of such series which shall have been destroyed, lost or stolen and which shall have been replaced or paid as provided in Section 2.9) or (c) (i)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(ii) the Issuer shall have irrevocably deposited or caused to be deposited with the Trustee as trust funds the entire amount in cash (other than moneys repaid by the Trustee or any paying agent to the Issuer in accordance with Section 9.4) or direct obligations of the United States of America, backed by its full faith and credit ("U.S. Government Obligations"), maturing as to principal and interest in such amounts and at such times as will insure the availability of cash sufficient (in case U.S. Government Obligations have been so deposited, in the opinion of a nationally recognized firm of independent public accountants expressed in a written certification thereof delivered to the Trustee) to pay at maturity or upon redemption all Securities of such series (other than any Securities of such series which shall have been destroyed, lost or stolen and which shall have been replaced or paid as provided in Section 2.9) not theretofore delivered to the Trustee for cancellation, including principal and interest due or to become due on or prior to such date of maturity as the case may be, and if, in any such case, the Issuer shall also pay or cause to be paid all other sums payable hereunder by the Issuer with respect to Securities of such series, then this Indenture shall cease to be of further effect with respect to Securities of such series (except as to</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rights of registration of transfer and exchange of Securities of such</w:t>
      </w:r>
    </w:p>
    <w:p>
      <w:pPr>
        <w:sectPr>
          <w:pgSz w:w="11900" w:h="16838" w:orient="portrait"/>
          <w:cols w:equalWidth="0" w:num="1">
            <w:col w:w="10219"/>
          </w:cols>
          <w:pgMar w:left="240" w:top="520" w:right="1440" w:bottom="1440" w:gutter="0" w:footer="0" w:header="0"/>
        </w:sectPr>
      </w:pPr>
    </w:p>
    <w:bookmarkStart w:id="118" w:name="page119"/>
    <w:bookmarkEnd w:id="118"/>
    <w:p>
      <w:pPr>
        <w:ind w:right="2519"/>
        <w:spacing w:after="0" w:line="268" w:lineRule="auto"/>
        <w:rPr>
          <w:sz w:val="20"/>
          <w:szCs w:val="20"/>
          <w:color w:val="auto"/>
        </w:rPr>
      </w:pPr>
      <w:r>
        <w:rPr>
          <w:rFonts w:ascii="Courier New" w:cs="Courier New" w:eastAsia="Courier New" w:hAnsi="Courier New"/>
          <w:sz w:val="16"/>
          <w:szCs w:val="16"/>
          <w:color w:val="auto"/>
        </w:rPr>
        <w:t>series, and the Issuer's right of optional redemption, if any, (ii) substitution of mutilated, defaced, destroyed, lost or stolen Securities,</w:t>
      </w:r>
    </w:p>
    <w:p>
      <w:pPr>
        <w:ind w:right="1999" w:firstLine="8"/>
        <w:spacing w:after="0" w:line="269" w:lineRule="auto"/>
        <w:tabs>
          <w:tab w:leader="none" w:pos="63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(v) the rights of the Securityholders of such series as beneficiaries hereof with respect to the property so deposited with the Trustee payable to all or any of them and (vi) the obligations of the Issuer under Section 3.2), and the Trustee, on demand of the Issuer accompanied by an Officers' Certificate and an Opinion of Counsel and at the cost and expense of the Issuer,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200" w:lineRule="exact"/>
        <w:rPr>
          <w:sz w:val="20"/>
          <w:szCs w:val="20"/>
          <w:color w:val="auto"/>
        </w:rPr>
      </w:pPr>
    </w:p>
    <w:p>
      <w:pPr>
        <w:spacing w:after="0" w:line="398"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SECTION 9.2 Application by Trustee of Funds Deposited for Payment of Securities. Subject to Section 9.4, all moneys deposited with the Trustee pursuant to Section 9.1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214"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9.3 Repayment of Moneys Held by Paying Agent. In connection with the satisfaction and discharge of this Indenture or any defeasance under Article Twelve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8"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9.4 Return of Moneys Held by Trustee and Paying Agent Unclaimed for Two Years.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Security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provided, however, that the Trustee or such paying agent, before being required to make any such repayment, may at the expense of the Issuer cause to be published once, in a newspaper published in the English language, customarily published on each Business Day and of general circulation in the Borough of Manhattan, The City and State of New York, notice that such money remains unclaimed and that, after a date specified therein, which shall not be less than 30 days from the date of such publication, any unclaimed balance of</w:t>
      </w:r>
    </w:p>
    <w:p>
      <w:pPr>
        <w:sectPr>
          <w:pgSz w:w="11900" w:h="16838" w:orient="portrait"/>
          <w:cols w:equalWidth="0" w:num="1">
            <w:col w:w="10219"/>
          </w:cols>
          <w:pgMar w:left="240" w:top="520"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8"/>
          <w:szCs w:val="18"/>
          <w:color w:val="auto"/>
        </w:rPr>
        <w:t>such money then remaining will be repaid to the Issuer.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TEN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MISCELLANEOUS PROVISIONS</w:t>
      </w:r>
    </w:p>
    <w:p>
      <w:pPr>
        <w:spacing w:after="0" w:line="207"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10.1 Incorporators, Stockholders, Officers and Directors of Issuer Exempt from Individual Liability.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207"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SECTION 10.2 Provisions of Indenture for the Sole Benefit of Parties and Securityholders.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214"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10.3 Successors and Assigns of Issuer Bound by Indenture. All the covenants, stipulations, promises and agreements in this Indenture contained by or in behalf of the Issuer shall bind its successors and assigns, whether so expressed or not.</w:t>
      </w:r>
    </w:p>
    <w:p>
      <w:pPr>
        <w:spacing w:after="0" w:line="207"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10.4 Notices and Demands on Issuer, Trustee and Securityholders.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Murphy Oil Corporation, 200 Peach Street, P.O. Box 7000, El Dorado, Arkansas 71731-7000. Any notice, direction, request or demand by the Issuer or any Securityholder to or upon the Trustee shall be deemed to have been sufficiently given or made, for all purposes if in writing and by being deposited postage prepaid, first-class mail (except as otherwise specifically provided herein) addressed to the Corporate Trust Office, Attention: Corporate Trustee Administration Department.</w:t>
      </w:r>
    </w:p>
    <w:p>
      <w:pPr>
        <w:spacing w:after="0" w:line="389"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w:t>
      </w:r>
    </w:p>
    <w:p>
      <w:pPr>
        <w:spacing w:after="0" w:line="212"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Where this Indenture provides for notice in any manner, such notice may be waived in writing by the person entitled to receive such notice, either before or after the event, and such waiver shall be the equivalent of</w:t>
      </w:r>
    </w:p>
    <w:p>
      <w:pPr>
        <w:sectPr>
          <w:pgSz w:w="11900" w:h="16838" w:orient="portrait"/>
          <w:cols w:equalWidth="0" w:num="1">
            <w:col w:w="10219"/>
          </w:cols>
          <w:pgMar w:left="240" w:top="514" w:right="1440" w:bottom="1440" w:gutter="0" w:footer="0" w:header="0"/>
        </w:sectPr>
      </w:pPr>
    </w:p>
    <w:bookmarkStart w:id="120" w:name="page121"/>
    <w:bookmarkEnd w:id="120"/>
    <w:p>
      <w:pPr>
        <w:ind w:right="2319"/>
        <w:spacing w:after="0" w:line="236" w:lineRule="auto"/>
        <w:rPr>
          <w:sz w:val="20"/>
          <w:szCs w:val="20"/>
          <w:color w:val="auto"/>
        </w:rPr>
      </w:pPr>
      <w:r>
        <w:rPr>
          <w:rFonts w:ascii="Courier New" w:cs="Courier New" w:eastAsia="Courier New" w:hAnsi="Courier New"/>
          <w:sz w:val="18"/>
          <w:szCs w:val="18"/>
          <w:color w:val="auto"/>
        </w:rPr>
        <w:t>such notice. Waivers of notice by Holders shall be filed with the Trustee, but such filing shall not be a condition precedent to the validity of any action taken in reliance upon such waiver.</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210"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10.5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8"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Each certificate or opinion provided for in this Indenture and delivered to the Trustee with respect to compliance with a condition or covenant provided for in this Indenture (other than the certificate required by Section 3.5)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207"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388" w:lineRule="exact"/>
        <w:rPr>
          <w:sz w:val="20"/>
          <w:szCs w:val="20"/>
          <w:color w:val="auto"/>
        </w:rPr>
      </w:pPr>
    </w:p>
    <w:p>
      <w:pPr>
        <w:ind w:right="2099" w:firstLine="1580"/>
        <w:spacing w:after="0" w:line="271" w:lineRule="auto"/>
        <w:rPr>
          <w:sz w:val="20"/>
          <w:szCs w:val="20"/>
          <w:color w:val="auto"/>
        </w:rPr>
      </w:pPr>
      <w:r>
        <w:rPr>
          <w:rFonts w:ascii="Courier New" w:cs="Courier New" w:eastAsia="Courier New" w:hAnsi="Courier New"/>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ectPr>
          <w:pgSz w:w="11900" w:h="16838" w:orient="portrait"/>
          <w:cols w:equalWidth="0" w:num="1">
            <w:col w:w="10219"/>
          </w:cols>
          <w:pgMar w:left="240" w:top="520" w:right="1440" w:bottom="1440" w:gutter="0" w:footer="0" w:header="0"/>
        </w:sectPr>
      </w:pPr>
    </w:p>
    <w:bookmarkStart w:id="121" w:name="page122"/>
    <w:bookmarkEnd w:id="121"/>
    <w:p>
      <w:pPr>
        <w:ind w:right="1999" w:firstLine="1580"/>
        <w:spacing w:after="0" w:line="236" w:lineRule="auto"/>
        <w:rPr>
          <w:sz w:val="20"/>
          <w:szCs w:val="20"/>
          <w:color w:val="auto"/>
        </w:rPr>
      </w:pPr>
      <w:r>
        <w:rPr>
          <w:rFonts w:ascii="Courier New" w:cs="Courier New" w:eastAsia="Courier New" w:hAnsi="Courier New"/>
          <w:sz w:val="18"/>
          <w:szCs w:val="18"/>
          <w:color w:val="auto"/>
        </w:rPr>
        <w:t>Any certificate or opinion of any independent firm of public accountants filed with the Trustee shall contain a statement that such firm is independent.</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10.6 Payments Due on Saturdays, Sundays and Holidays.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or repayment, and no interest shall accrue on the payment so deferred for the period after such date.</w:t>
      </w:r>
    </w:p>
    <w:p>
      <w:pPr>
        <w:spacing w:after="0" w:line="212"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10.7 Conflict of Any Provision of Indenture with Trust Indenture Act of 1939. If and to the extent that any provision of this Indenture limits, qualifies or conflicts with the duties imposed by or with another provision (an "incorporated provision") included in this Indenture by operation of Sections 310 to 318, inclusive, of the Trust Indenture Act of 1939, such imposed duties or incorporated provision shall control.</w:t>
      </w:r>
    </w:p>
    <w:p>
      <w:pPr>
        <w:spacing w:after="0" w:line="210"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SECTION 10.8 New York Law to Govern. This Indenture and each Security shall be deemed to be a contract under the laws of the State of New York, and for all purposes shall be construed in accordance with the laws of such State, except as may otherwise be required by mandatory provisions of law.</w:t>
      </w:r>
    </w:p>
    <w:p>
      <w:pPr>
        <w:spacing w:after="0" w:line="209"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SECTION 10.9 Counterparts. This Indenture may be executed in any number of counterparts, each of which shall be an original; but such counterparts shall together constitute but one and the same instrument.</w:t>
      </w:r>
    </w:p>
    <w:p>
      <w:pPr>
        <w:spacing w:after="0" w:line="209"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SECTION 10.10 Effect of Headings. The Article and Section headings herein and the Table of Contents are for convenience only and shall not affect the construction hereof.</w:t>
      </w:r>
    </w:p>
    <w:p>
      <w:pPr>
        <w:spacing w:after="0" w:line="209"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10.11 Separability Clause. In case any provision of this Indenture or in the Securities shall be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ELEVEN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REDEMPTION OF SECURITIES AND SINKING FUNDS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11.1 Applicability of Article. The provisions of this Article shall be applicable to the Securities of any series which are redeemable before their maturity or to any sinking fund for the retirement of Securities of a series except as otherwise specified as contemplated by Section 2.3 for Securities of such series.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SECTION 11.2</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Notice of</w:t>
            </w:r>
          </w:p>
        </w:tc>
        <w:tc>
          <w:tcPr>
            <w:tcW w:w="2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Redemption; Partial</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Redemptions.</w:t>
            </w:r>
          </w:p>
        </w:tc>
      </w:tr>
      <w:tr>
        <w:trPr>
          <w:trHeight w:val="203"/>
        </w:trPr>
        <w:tc>
          <w:tcPr>
            <w:tcW w:w="4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Notice of redemption to the Holders of</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Securities of any series to be redeemed</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whole</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in part at</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option of</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Issuer shall be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given by mailing</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notice of such</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redemption</w:t>
            </w: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w:t>
            </w:r>
          </w:p>
        </w:tc>
        <w:tc>
          <w:tcPr>
            <w:tcW w:w="2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first class mail, postage</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prepaid, at least 30</w:t>
            </w:r>
          </w:p>
        </w:tc>
      </w:tr>
      <w:tr>
        <w:trPr>
          <w:trHeight w:val="203"/>
        </w:trPr>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days and not more than 60</w:t>
            </w:r>
          </w:p>
        </w:tc>
        <w:tc>
          <w:tcPr>
            <w:tcW w:w="31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days prior to the date fixed</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redemption to such</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Holders of</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Securities of</w:t>
            </w:r>
          </w:p>
        </w:tc>
        <w:tc>
          <w:tcPr>
            <w:tcW w:w="5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such series at their last addresses as they shall</w:t>
            </w:r>
          </w:p>
        </w:tc>
      </w:tr>
      <w:tr>
        <w:trPr>
          <w:trHeight w:val="203"/>
        </w:trPr>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appear upon the registry</w:t>
            </w:r>
          </w:p>
        </w:tc>
        <w:tc>
          <w:tcPr>
            <w:tcW w:w="5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books.  Any notice which is mailed in the manner</w:t>
            </w:r>
          </w:p>
        </w:tc>
      </w:tr>
      <w:tr>
        <w:trPr>
          <w:trHeight w:val="203"/>
        </w:trPr>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herein provided shall be</w:t>
            </w:r>
          </w:p>
        </w:tc>
        <w:tc>
          <w:tcPr>
            <w:tcW w:w="3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conclusively presumed to have</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been duly given,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whether 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Holder</w:t>
            </w: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receives the</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notice.  Failure to</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give notice by</w:t>
            </w:r>
          </w:p>
        </w:tc>
      </w:tr>
      <w:tr>
        <w:trPr>
          <w:trHeight w:val="203"/>
        </w:trPr>
        <w:tc>
          <w:tcPr>
            <w:tcW w:w="57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mail, or any defect in the notice to the Holder of any</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Security of a series</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designated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redemption</w:t>
            </w: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w:t>
            </w:r>
          </w:p>
        </w:tc>
        <w:tc>
          <w:tcPr>
            <w:tcW w:w="5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a whole or in part shall not affect the validity</w:t>
            </w:r>
          </w:p>
        </w:tc>
      </w:tr>
    </w:tbl>
    <w:p>
      <w:pPr>
        <w:sectPr>
          <w:pgSz w:w="11900" w:h="16838" w:orient="portrait"/>
          <w:cols w:equalWidth="0" w:num="1">
            <w:col w:w="10219"/>
          </w:cols>
          <w:pgMar w:left="240" w:top="520"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8"/>
          <w:szCs w:val="18"/>
          <w:color w:val="auto"/>
        </w:rPr>
        <w:t>of the proceedings for the redemption of any other Security of such series.</w:t>
      </w:r>
    </w:p>
    <w:p>
      <w:pPr>
        <w:spacing w:after="0" w:line="207" w:lineRule="exact"/>
        <w:rPr>
          <w:sz w:val="20"/>
          <w:szCs w:val="20"/>
          <w:color w:val="auto"/>
        </w:rPr>
      </w:pPr>
    </w:p>
    <w:p>
      <w:pPr>
        <w:ind w:right="2099" w:firstLine="1580"/>
        <w:spacing w:after="0" w:line="238" w:lineRule="auto"/>
        <w:rPr>
          <w:sz w:val="20"/>
          <w:szCs w:val="20"/>
          <w:color w:val="auto"/>
        </w:rPr>
      </w:pPr>
      <w:r>
        <w:rPr>
          <w:rFonts w:ascii="Courier New" w:cs="Courier New" w:eastAsia="Courier New" w:hAnsi="Courier New"/>
          <w:sz w:val="18"/>
          <w:szCs w:val="18"/>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208"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The notice of redemption of Securities of any series to be redeemed at the option of the Issuer shall be given by the Issuer or, at the Issuer's request, by the Trustee in the name and at the expense of the Issuer.</w:t>
      </w:r>
    </w:p>
    <w:p>
      <w:pPr>
        <w:spacing w:after="0" w:line="178"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On or prior to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3.4)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prior to the date on which notice of redemption is to be issued an Officers' Certificate stating the aggregate principal amount of Securities to be redeemed.</w:t>
      </w:r>
    </w:p>
    <w:p>
      <w:pPr>
        <w:spacing w:after="0" w:line="207"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If less than all the Securities of a series are to be redeemed, the Trustee shall select, in such manner as it shall deem appropriate and fair, Securities of such Series to be redeemed in whole or in part.</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215" w:lineRule="exact"/>
        <w:rPr>
          <w:sz w:val="20"/>
          <w:szCs w:val="20"/>
          <w:color w:val="auto"/>
        </w:rPr>
      </w:pPr>
    </w:p>
    <w:p>
      <w:pPr>
        <w:ind w:right="1999" w:firstLine="1580"/>
        <w:spacing w:after="0" w:line="270" w:lineRule="auto"/>
        <w:rPr>
          <w:sz w:val="20"/>
          <w:szCs w:val="20"/>
          <w:color w:val="auto"/>
        </w:rPr>
      </w:pPr>
      <w:r>
        <w:rPr>
          <w:rFonts w:ascii="Courier New" w:cs="Courier New" w:eastAsia="Courier New" w:hAnsi="Courier New"/>
          <w:sz w:val="16"/>
          <w:szCs w:val="16"/>
          <w:color w:val="auto"/>
        </w:rPr>
        <w:t>SECTION 11.3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5.5 and 9.4, such Securities shall cease from and after the date fixed for redemption to be entitled to any benefit or security under this Indenture, and the Holders thereof shall have no right in respect of such</w:t>
      </w:r>
    </w:p>
    <w:p>
      <w:pPr>
        <w:sectPr>
          <w:pgSz w:w="11900" w:h="16838" w:orient="portrait"/>
          <w:cols w:equalWidth="0" w:num="1">
            <w:col w:w="10219"/>
          </w:cols>
          <w:pgMar w:left="240" w:top="514" w:right="1440" w:bottom="1440" w:gutter="0" w:footer="0" w:header="0"/>
        </w:sectPr>
      </w:pPr>
    </w:p>
    <w:bookmarkStart w:id="123" w:name="page124"/>
    <w:bookmarkEnd w:id="123"/>
    <w:p>
      <w:pPr>
        <w:ind w:right="1999"/>
        <w:spacing w:after="0" w:line="271" w:lineRule="auto"/>
        <w:rPr>
          <w:sz w:val="20"/>
          <w:szCs w:val="20"/>
          <w:color w:val="auto"/>
        </w:rPr>
      </w:pPr>
      <w:r>
        <w:rPr>
          <w:rFonts w:ascii="Courier New" w:cs="Courier New" w:eastAsia="Courier New" w:hAnsi="Courier New"/>
          <w:sz w:val="16"/>
          <w:szCs w:val="16"/>
          <w:color w:val="auto"/>
        </w:rPr>
        <w:t>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or prior to the date fixed for redemption shall be payable to the Holders of such Securities registered as such on the relevant record date subject to the terms and provisions of Section 2.4 hereof.</w:t>
      </w:r>
    </w:p>
    <w:p>
      <w:pPr>
        <w:spacing w:after="0" w:line="18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209" w:lineRule="exact"/>
        <w:rPr>
          <w:sz w:val="20"/>
          <w:szCs w:val="20"/>
          <w:color w:val="auto"/>
        </w:rPr>
      </w:pPr>
    </w:p>
    <w:p>
      <w:pPr>
        <w:ind w:right="2099" w:firstLine="1580"/>
        <w:spacing w:after="0" w:line="273" w:lineRule="auto"/>
        <w:rPr>
          <w:sz w:val="20"/>
          <w:szCs w:val="20"/>
          <w:color w:val="auto"/>
        </w:rPr>
      </w:pPr>
      <w:r>
        <w:rPr>
          <w:rFonts w:ascii="Courier New" w:cs="Courier New" w:eastAsia="Courier New" w:hAnsi="Courier New"/>
          <w:sz w:val="16"/>
          <w:szCs w:val="16"/>
          <w:color w:val="auto"/>
        </w:rPr>
        <w:t>Upon presentation of any Security redeemed in part only, the Issuer shall execute and the Trustee shall authenticate and deliver to or on the order of the Holder thereof, at the expense of the Issuer, a new Security or Securities of such series , of authorized denominations, in principal amount equal to the unredeemed portion of the Security so presented.</w:t>
      </w:r>
    </w:p>
    <w:p>
      <w:pPr>
        <w:spacing w:after="0" w:line="185" w:lineRule="exact"/>
        <w:rPr>
          <w:sz w:val="20"/>
          <w:szCs w:val="20"/>
          <w:color w:val="auto"/>
        </w:rPr>
      </w:pPr>
    </w:p>
    <w:p>
      <w:pPr>
        <w:ind w:right="2099" w:firstLine="1580"/>
        <w:spacing w:after="0" w:line="268" w:lineRule="auto"/>
        <w:rPr>
          <w:sz w:val="20"/>
          <w:szCs w:val="20"/>
          <w:color w:val="auto"/>
        </w:rPr>
      </w:pPr>
      <w:r>
        <w:rPr>
          <w:rFonts w:ascii="Courier New" w:cs="Courier New" w:eastAsia="Courier New" w:hAnsi="Courier New"/>
          <w:sz w:val="16"/>
          <w:szCs w:val="16"/>
          <w:color w:val="auto"/>
        </w:rPr>
        <w:t>SECTION 11.4 Exclusion of Certain Securities from Eligibility for Selection for Redemption.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w:t>
      </w:r>
    </w:p>
    <w:p>
      <w:pPr>
        <w:spacing w:after="0" w:line="1" w:lineRule="exact"/>
        <w:rPr>
          <w:sz w:val="20"/>
          <w:szCs w:val="20"/>
          <w:color w:val="auto"/>
        </w:rPr>
      </w:pPr>
    </w:p>
    <w:p>
      <w:pPr>
        <w:ind w:right="2319" w:firstLine="8"/>
        <w:spacing w:after="0" w:line="236" w:lineRule="auto"/>
        <w:tabs>
          <w:tab w:leader="none" w:pos="42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entity specifically identified in such written statement directly or indirectly controlling or controlled by or under direct or indirect common control with the Issuer.</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11.5 Mandatory and Optional Sinking Funds. 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The date on which a sinking fund payment is to be made is herein referred to as the "sinking fund payment date".</w:t>
      </w:r>
    </w:p>
    <w:p>
      <w:pPr>
        <w:spacing w:after="0" w:line="211" w:lineRule="exact"/>
        <w:rPr>
          <w:sz w:val="20"/>
          <w:szCs w:val="20"/>
          <w:color w:val="auto"/>
        </w:rPr>
      </w:pPr>
    </w:p>
    <w:p>
      <w:pPr>
        <w:ind w:right="2319" w:firstLine="1580"/>
        <w:spacing w:after="0" w:line="238" w:lineRule="auto"/>
        <w:rPr>
          <w:sz w:val="20"/>
          <w:szCs w:val="20"/>
          <w:color w:val="auto"/>
        </w:rPr>
      </w:pPr>
      <w:r>
        <w:rPr>
          <w:rFonts w:ascii="Courier New" w:cs="Courier New" w:eastAsia="Courier New" w:hAnsi="Courier New"/>
          <w:sz w:val="18"/>
          <w:szCs w:val="18"/>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208" w:lineRule="exact"/>
        <w:rPr>
          <w:sz w:val="20"/>
          <w:szCs w:val="20"/>
          <w:color w:val="auto"/>
        </w:rPr>
      </w:pPr>
    </w:p>
    <w:p>
      <w:pPr>
        <w:ind w:right="2099" w:firstLine="1580"/>
        <w:spacing w:after="0" w:line="275" w:lineRule="auto"/>
        <w:rPr>
          <w:sz w:val="20"/>
          <w:szCs w:val="20"/>
          <w:color w:val="auto"/>
        </w:rPr>
      </w:pPr>
      <w:r>
        <w:rPr>
          <w:rFonts w:ascii="Courier New" w:cs="Courier New" w:eastAsia="Courier New" w:hAnsi="Courier New"/>
          <w:sz w:val="16"/>
          <w:szCs w:val="16"/>
          <w:color w:val="auto"/>
        </w:rPr>
        <w:t>On or before the sixtieth day next preceding each sinking fund payment date for any series, the Issuer will deliver to the Trustee a written statement (which need not contain the statements required by Section 10.5) signed by an authorized officer of the Issuer (a) specifying the portion of</w:t>
      </w:r>
    </w:p>
    <w:p>
      <w:pPr>
        <w:sectPr>
          <w:pgSz w:w="11900" w:h="16838" w:orient="portrait"/>
          <w:cols w:equalWidth="0" w:num="1">
            <w:col w:w="10219"/>
          </w:cols>
          <w:pgMar w:left="240" w:top="520" w:right="1440" w:bottom="1440" w:gutter="0" w:footer="0" w:header="0"/>
        </w:sectPr>
      </w:pPr>
    </w:p>
    <w:bookmarkStart w:id="124" w:name="page125"/>
    <w:bookmarkEnd w:id="124"/>
    <w:p>
      <w:pPr>
        <w:ind w:right="2099"/>
        <w:spacing w:after="0" w:line="268" w:lineRule="auto"/>
        <w:rPr>
          <w:sz w:val="20"/>
          <w:szCs w:val="20"/>
          <w:color w:val="auto"/>
        </w:rPr>
      </w:pPr>
      <w:r>
        <w:rPr>
          <w:rFonts w:ascii="Courier New" w:cs="Courier New" w:eastAsia="Courier New" w:hAnsi="Courier New"/>
          <w:sz w:val="16"/>
          <w:szCs w:val="16"/>
          <w:color w:val="auto"/>
        </w:rPr>
        <w:t>the mandatory sinking fund payment to be satisfied by payment of cash and the portion to be satisfied by credit of Securities of such series, (b) stating that none of the Securities of such series has theretofore been so credited,</w:t>
      </w:r>
    </w:p>
    <w:p>
      <w:pPr>
        <w:spacing w:after="0" w:line="1" w:lineRule="exact"/>
        <w:rPr>
          <w:sz w:val="20"/>
          <w:szCs w:val="20"/>
          <w:color w:val="auto"/>
        </w:rPr>
      </w:pPr>
    </w:p>
    <w:p>
      <w:pPr>
        <w:ind w:right="1999" w:firstLine="8"/>
        <w:spacing w:after="0" w:line="269" w:lineRule="auto"/>
        <w:tabs>
          <w:tab w:leader="none" w:pos="42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written statement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200" w:lineRule="exact"/>
        <w:rPr>
          <w:sz w:val="20"/>
          <w:szCs w:val="20"/>
          <w:color w:val="auto"/>
        </w:rPr>
      </w:pPr>
    </w:p>
    <w:p>
      <w:pPr>
        <w:spacing w:after="0" w:line="396"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 Issuer makes no such request then it shall be carried over until a sum in excess of $50,000 is available. The Trustee shall select, in the manner provided in Section 11.2,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11.2 (and with the effect provided in Section 11.3)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200" w:lineRule="exact"/>
        <w:rPr>
          <w:sz w:val="20"/>
          <w:szCs w:val="20"/>
          <w:color w:val="auto"/>
        </w:rPr>
      </w:pPr>
    </w:p>
    <w:p>
      <w:pPr>
        <w:spacing w:after="0" w:line="392"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On or prior to each sinking fund payment date, the Issuer shall pay to the Trustee in cash or shall otherwise provide for the payment of all interest accrued to the date fixed for redemption on Securities to be redeemed</w:t>
      </w:r>
    </w:p>
    <w:p>
      <w:pPr>
        <w:sectPr>
          <w:pgSz w:w="11900" w:h="16838" w:orient="portrait"/>
          <w:cols w:equalWidth="0" w:num="1">
            <w:col w:w="10219"/>
          </w:cols>
          <w:pgMar w:left="240" w:top="520"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8"/>
          <w:szCs w:val="18"/>
          <w:color w:val="auto"/>
        </w:rPr>
        <w:t>on such sinking fund payment date.</w:t>
      </w:r>
    </w:p>
    <w:p>
      <w:pPr>
        <w:spacing w:after="0" w:line="207" w:lineRule="exact"/>
        <w:rPr>
          <w:sz w:val="20"/>
          <w:szCs w:val="20"/>
          <w:color w:val="auto"/>
        </w:rPr>
      </w:pPr>
    </w:p>
    <w:p>
      <w:pPr>
        <w:ind w:right="2319" w:firstLine="1580"/>
        <w:spacing w:after="0" w:line="269" w:lineRule="auto"/>
        <w:rPr>
          <w:sz w:val="20"/>
          <w:szCs w:val="20"/>
          <w:color w:val="auto"/>
        </w:rPr>
      </w:pPr>
      <w:r>
        <w:rPr>
          <w:rFonts w:ascii="Courier New" w:cs="Courier New" w:eastAsia="Courier New" w:hAnsi="Courier New"/>
          <w:sz w:val="16"/>
          <w:szCs w:val="16"/>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Four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200" w:lineRule="exact"/>
        <w:rPr>
          <w:sz w:val="20"/>
          <w:szCs w:val="20"/>
          <w:color w:val="auto"/>
        </w:rPr>
      </w:pPr>
    </w:p>
    <w:p>
      <w:pPr>
        <w:spacing w:after="0" w:line="39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TWELVE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DEFEASANCE</w:t>
      </w:r>
    </w:p>
    <w:p>
      <w:pPr>
        <w:spacing w:after="0" w:line="200" w:lineRule="exact"/>
        <w:rPr>
          <w:sz w:val="20"/>
          <w:szCs w:val="20"/>
          <w:color w:val="auto"/>
        </w:rPr>
      </w:pP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12.1 Issuer's Option to Effect Defeasance. The Issuer may at its option, by Board Resolution, at any time, elect to defease the Issuer's obligations under the Outstanding Securities of any series and this Indenture in accordance with either Section 12.2 or Section 12.3 upon compliance with the conditions set forth below in this Article Twelve. Notwithstanding any such election, the terms of the Securities of such series shall remain in full force and effect.</w:t>
      </w:r>
    </w:p>
    <w:p>
      <w:pPr>
        <w:spacing w:after="0" w:line="211" w:lineRule="exact"/>
        <w:rPr>
          <w:sz w:val="20"/>
          <w:szCs w:val="20"/>
          <w:color w:val="auto"/>
        </w:rPr>
      </w:pPr>
    </w:p>
    <w:p>
      <w:pPr>
        <w:ind w:right="2319" w:firstLine="1053"/>
        <w:spacing w:after="0" w:line="269" w:lineRule="auto"/>
        <w:rPr>
          <w:sz w:val="20"/>
          <w:szCs w:val="20"/>
          <w:color w:val="auto"/>
        </w:rPr>
      </w:pPr>
      <w:r>
        <w:rPr>
          <w:rFonts w:ascii="Courier New" w:cs="Courier New" w:eastAsia="Courier New" w:hAnsi="Courier New"/>
          <w:sz w:val="16"/>
          <w:szCs w:val="16"/>
          <w:color w:val="auto"/>
        </w:rPr>
        <w:t>SECTION 12.2 Defeasances and Discharge. Upon the Issuer's exercise of the option set forth in Section 12.1 applicable to this Section, and after the expiration of the 90-day (or other) period referred to in clause (6)(ii) of Section 12.4, the Issuer shall be deemed to have been discharged from its obligations with respect to the Outstanding Securities of such series on the date the conditions set forth below are satisfied (hereinafter, "defeasance"). For this purpose, such defeasance means that the Issuer shall be deemed to have paid and discharged the entire indebtedness represented by the Outstanding Securities of such series and to have satisfied all its other obligations under the Securities of such series and this Indenture insofar as the Securities of such series are concerned (and the Trustee, upon an Issuer Order and at the expense of the Issuer, shall execute proper instruments acknowledging the same), except for the following which shall survive until otherwise terminated or discharged hereunder: (A) the rights of holders of Outstanding Securities of such series to receive, solely from the trust fund described in Section 12.4 and as more fully set forth in such Section, payments in respect of the principal of and interest on the Securities of such series when such payments are due, (B) the Issuer's obligations with respect to such Securities of such series under Sections 2.8, 2.9 and 3.2, (C) the rights, powers, trusts, duties, and immunities of the Trustee hereunder, including but not limited to Article Five, (D) the Issuer's right of optional redemption, if any, (E) the rights of Holders to receive mandatory sinking fund payments, if any, and (F) this Article Twelve. Subject to compliance with this Article Twelve, the Issuer may exercise its option under this Section 12.2 notwithstanding the prior exercise of its option under Section 12.3 with respect to the Securities of such series.</w:t>
      </w:r>
    </w:p>
    <w:p>
      <w:pPr>
        <w:sectPr>
          <w:pgSz w:w="11900" w:h="16838" w:orient="portrait"/>
          <w:cols w:equalWidth="0" w:num="1">
            <w:col w:w="10219"/>
          </w:cols>
          <w:pgMar w:left="240" w:top="514" w:right="1440" w:bottom="1440" w:gutter="0" w:footer="0" w:header="0"/>
        </w:sectPr>
      </w:pPr>
    </w:p>
    <w:bookmarkStart w:id="126" w:name="page127"/>
    <w:bookmarkEnd w:id="126"/>
    <w:p>
      <w:pPr>
        <w:ind w:right="1999" w:firstLine="1053"/>
        <w:spacing w:after="0" w:line="238" w:lineRule="auto"/>
        <w:rPr>
          <w:sz w:val="20"/>
          <w:szCs w:val="20"/>
          <w:color w:val="auto"/>
        </w:rPr>
      </w:pPr>
      <w:r>
        <w:rPr>
          <w:rFonts w:ascii="Courier New" w:cs="Courier New" w:eastAsia="Courier New" w:hAnsi="Courier New"/>
          <w:sz w:val="18"/>
          <w:szCs w:val="18"/>
          <w:color w:val="auto"/>
        </w:rPr>
        <w:t>SECTION 12.3 Covenant Defeasance. Upon the Issuer's exercise of the option set forth in Section 12.1 applicable to this Section, and after the expiration of the 90-day (or other) period referred to in clause (6)(ii) of Section 12.4, the Issuer shall be released from its obligations under Sections 3.9 and 3.10, with respect to the Outstanding Securities of any series on and after the date the conditions set forth below are satisfied (hereinafter, "covenant defeasance"). For this purpose, such covenant defeasance means that, with respect to the Outstanding Securities of such series, the Issuer may omit to comply with and shall have no liability in respect of any term, condition or limitation set forth in any such Section, whether directly or indirectly by reason of any reference elsewhere herein to any such Section or by reason of any reference in any such Section to any other provision herein or in any other document, and such omission to comply shall not constitute a default or Event of Default under Section 4.1(d), but, except as specified above, the remainder of this Indenture and the Securities of such series shall be unaffected thereby.</w:t>
      </w:r>
    </w:p>
    <w:p>
      <w:pPr>
        <w:spacing w:after="0" w:line="20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SECTION 12.4 Conditions to Defeasance. The following shall be the conditions to application of either Section 12.2 or Section 12.3 to the Outstanding Securities of any series.</w:t>
      </w:r>
    </w:p>
    <w:p>
      <w:pPr>
        <w:spacing w:after="0" w:line="209" w:lineRule="exact"/>
        <w:rPr>
          <w:sz w:val="20"/>
          <w:szCs w:val="20"/>
          <w:color w:val="auto"/>
        </w:rPr>
      </w:pPr>
    </w:p>
    <w:p>
      <w:pPr>
        <w:ind w:left="960" w:right="1999" w:firstLine="628"/>
        <w:spacing w:after="0" w:line="238" w:lineRule="auto"/>
        <w:tabs>
          <w:tab w:leader="none" w:pos="2119"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shall irrevocably have deposited or caused to be deposited with the Trustee as trust funds in trust for the purpose of making the following payments, specifically pledged as security for, and dedicated solely to, the benefit of the holders of Securities of such series (A) money in an amount, or (B) U.S. Government Obligations which through the scheduled payment of principal and interest, if any, in respect thereof in accordance with their terms will provide, not later than one day before the due date of any payment, money in an amount, or (C) a combination thereof, sufficient, in each case, in the opinion of a nationally recognized firm of independent public accountants expressed in a written certification thereof delivered to the Trustee, to pay and discharge, and which shall be applied by the Trustee to pay and discharge the principal of and interest, if any, on the Outstanding Securities of such series on the stated maturity of such principal or interest or earlier date of redemption.</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Default or event which after notice or</w:t>
      </w:r>
    </w:p>
    <w:p>
      <w:pPr>
        <w:spacing w:after="0" w:line="4" w:lineRule="exact"/>
        <w:rPr>
          <w:sz w:val="20"/>
          <w:szCs w:val="20"/>
          <w:color w:val="auto"/>
        </w:rPr>
      </w:pPr>
    </w:p>
    <w:p>
      <w:pPr>
        <w:ind w:left="960" w:right="2519"/>
        <w:spacing w:after="0" w:line="236" w:lineRule="auto"/>
        <w:rPr>
          <w:sz w:val="20"/>
          <w:szCs w:val="20"/>
          <w:color w:val="auto"/>
        </w:rPr>
      </w:pPr>
      <w:r>
        <w:rPr>
          <w:rFonts w:ascii="Courier New" w:cs="Courier New" w:eastAsia="Courier New" w:hAnsi="Courier New"/>
          <w:sz w:val="18"/>
          <w:szCs w:val="18"/>
          <w:color w:val="auto"/>
        </w:rPr>
        <w:t>lapse of time or both would become an Event of Default with respect to the Securities of such series shall have occurred and be continuing on the date of such deposit.</w:t>
      </w:r>
    </w:p>
    <w:p>
      <w:pPr>
        <w:spacing w:after="0" w:line="209" w:lineRule="exact"/>
        <w:rPr>
          <w:sz w:val="20"/>
          <w:szCs w:val="20"/>
          <w:color w:val="auto"/>
        </w:rPr>
      </w:pPr>
    </w:p>
    <w:p>
      <w:pPr>
        <w:ind w:left="960" w:right="2099" w:firstLine="523"/>
        <w:spacing w:after="0" w:line="275" w:lineRule="auto"/>
        <w:tabs>
          <w:tab w:leader="none" w:pos="2013"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cause the Trustee for the Securities of such series to have a conflicting interest as defined in Section 310(b) of the Trust Indenture Act of 1939 with respect to any Securities of the Issuer.</w:t>
      </w:r>
    </w:p>
    <w:p>
      <w:pPr>
        <w:spacing w:after="0" w:line="182" w:lineRule="exact"/>
        <w:rPr>
          <w:rFonts w:ascii="Courier New" w:cs="Courier New" w:eastAsia="Courier New" w:hAnsi="Courier New"/>
          <w:sz w:val="16"/>
          <w:szCs w:val="16"/>
          <w:color w:val="auto"/>
        </w:rPr>
      </w:pPr>
    </w:p>
    <w:p>
      <w:pPr>
        <w:jc w:val="both"/>
        <w:ind w:left="960" w:right="1999" w:firstLine="523"/>
        <w:spacing w:after="0" w:line="237" w:lineRule="auto"/>
        <w:tabs>
          <w:tab w:leader="none" w:pos="201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be permitted by, and shall not result in breach or violation of, or constitute a default under, this Indenture or any other agreement or instrument to which the Issuer is a party or by which it is bound.</w:t>
      </w:r>
    </w:p>
    <w:p>
      <w:pPr>
        <w:spacing w:after="0" w:line="207" w:lineRule="exact"/>
        <w:rPr>
          <w:rFonts w:ascii="Courier New" w:cs="Courier New" w:eastAsia="Courier New" w:hAnsi="Courier New"/>
          <w:sz w:val="18"/>
          <w:szCs w:val="18"/>
          <w:color w:val="auto"/>
        </w:rPr>
      </w:pPr>
    </w:p>
    <w:p>
      <w:pPr>
        <w:ind w:left="960" w:right="2099" w:firstLine="523"/>
        <w:spacing w:after="0" w:line="237" w:lineRule="auto"/>
        <w:tabs>
          <w:tab w:leader="none" w:pos="201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defeasance or covenant defeasance shall not cause any Securities of such series then listed on any registered national securities exchange under the Securities Exchange Act of 1934, as amended, to be delisted.</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election under Section 12.2, the Issuer</w:t>
      </w:r>
    </w:p>
    <w:p>
      <w:pPr>
        <w:sectPr>
          <w:pgSz w:w="11900" w:h="16838" w:orient="portrait"/>
          <w:cols w:equalWidth="0" w:num="1">
            <w:col w:w="10219"/>
          </w:cols>
          <w:pgMar w:left="240" w:top="520" w:right="1440" w:bottom="1440" w:gutter="0" w:footer="0" w:header="0"/>
        </w:sectPr>
      </w:pPr>
    </w:p>
    <w:bookmarkStart w:id="127" w:name="page128"/>
    <w:bookmarkEnd w:id="127"/>
    <w:p>
      <w:pPr>
        <w:ind w:left="960"/>
        <w:spacing w:after="0"/>
        <w:rPr>
          <w:sz w:val="20"/>
          <w:szCs w:val="20"/>
          <w:color w:val="auto"/>
        </w:rPr>
      </w:pPr>
      <w:r>
        <w:rPr>
          <w:rFonts w:ascii="Courier New" w:cs="Courier New" w:eastAsia="Courier New" w:hAnsi="Courier New"/>
          <w:sz w:val="18"/>
          <w:szCs w:val="18"/>
          <w:color w:val="auto"/>
        </w:rPr>
        <w:t>shall have delivered to the Trustee an Opinion of Counsel stating</w:t>
      </w:r>
    </w:p>
    <w:p>
      <w:pPr>
        <w:spacing w:after="0" w:line="4" w:lineRule="exact"/>
        <w:rPr>
          <w:sz w:val="20"/>
          <w:szCs w:val="20"/>
          <w:color w:val="auto"/>
        </w:rPr>
      </w:pPr>
    </w:p>
    <w:p>
      <w:pPr>
        <w:ind w:left="960" w:right="2319" w:hanging="4"/>
        <w:spacing w:after="0" w:line="269" w:lineRule="auto"/>
        <w:tabs>
          <w:tab w:leader="none" w:pos="138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Issuer has received from, or there has been published by, the Internal Revenue Service a ruling to the effect that, and based thereon such opinion shall confirm that, the Holders of the Outstanding Securities of such series will not recognize income, gain or loss for Federal income tax purposes as a result of such defeasance and will be subject to Federal income tax on the same amounts, in the same manner and at the same times as would have been the case if such defeasance had not occurred, and (ii) that after the passage of 90 days (or such other period of time as then required by the non-insider preference provisions of any applicable federal bankruptcy laws) following the deposit, the trust funds will not be subject to the effect of any applicable bankruptcy, insolvency, reorganization or similar laws affecting creditors' rights generally, and (iii) that there would not occur any violation of the Investment Company Act of 1940, as amended, on the part of the Issuer, the trust funds representing such deposit or the Trustee as a result of such deposit and the related exercise of the Issuer's election under this Article Twelve.</w:t>
      </w:r>
    </w:p>
    <w:p>
      <w:pPr>
        <w:spacing w:after="0" w:line="395" w:lineRule="exact"/>
        <w:rPr>
          <w:rFonts w:ascii="Courier New" w:cs="Courier New" w:eastAsia="Courier New" w:hAnsi="Courier New"/>
          <w:sz w:val="16"/>
          <w:szCs w:val="16"/>
          <w:color w:val="auto"/>
        </w:rPr>
      </w:pPr>
    </w:p>
    <w:p>
      <w:pPr>
        <w:ind w:left="960" w:right="2419" w:firstLine="523"/>
        <w:spacing w:after="0" w:line="237" w:lineRule="auto"/>
        <w:tabs>
          <w:tab w:leader="none" w:pos="2013"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election under Section 12.3, the Issuer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Such Opinion shall also cover the matters referred to in clauses (ii) and (iii) of Section 12.4(6).</w:t>
      </w:r>
    </w:p>
    <w:p>
      <w:pPr>
        <w:spacing w:after="0" w:line="214" w:lineRule="exact"/>
        <w:rPr>
          <w:rFonts w:ascii="Courier New" w:cs="Courier New" w:eastAsia="Courier New" w:hAnsi="Courier New"/>
          <w:sz w:val="18"/>
          <w:szCs w:val="18"/>
          <w:color w:val="auto"/>
        </w:rPr>
      </w:pPr>
    </w:p>
    <w:p>
      <w:pPr>
        <w:ind w:left="960" w:right="1999" w:firstLine="523"/>
        <w:spacing w:after="0" w:line="237" w:lineRule="auto"/>
        <w:tabs>
          <w:tab w:leader="none" w:pos="2013"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Issuer shall have delivered to the Trustee an irrevocable Issuer Order to apply the monies so deposited towards payment of all indebtedness on the Securities of such series at their stated maturity or earlier date of redemption, and an Officers' Certificate and an Opinion of Counsel, each stating that all conditions precedent provided for relating to either the defeasance under Section 12.2 or the covenant defeasance under Section 12.3 (as the case may be) have been complied with.</w:t>
      </w:r>
    </w:p>
    <w:p>
      <w:pPr>
        <w:spacing w:after="0" w:line="212" w:lineRule="exact"/>
        <w:rPr>
          <w:sz w:val="20"/>
          <w:szCs w:val="20"/>
          <w:color w:val="auto"/>
        </w:rPr>
      </w:pPr>
    </w:p>
    <w:p>
      <w:pPr>
        <w:ind w:right="1999" w:firstLine="1053"/>
        <w:spacing w:after="0" w:line="238" w:lineRule="auto"/>
        <w:rPr>
          <w:sz w:val="20"/>
          <w:szCs w:val="20"/>
          <w:color w:val="auto"/>
        </w:rPr>
      </w:pPr>
      <w:r>
        <w:rPr>
          <w:rFonts w:ascii="Courier New" w:cs="Courier New" w:eastAsia="Courier New" w:hAnsi="Courier New"/>
          <w:sz w:val="18"/>
          <w:szCs w:val="18"/>
          <w:color w:val="auto"/>
        </w:rPr>
        <w:t>SECTION 12.5. Deposited Money and U.S. Government Obligations to Be Held in Trust; Reinstatement; Miscellaneous. Subject to the provisions of Section 9.4, all money and U.S. Government Obligations (including the proceeds thereof) deposited with the Trustee pursuant to Section 12.4 in respect of the Outstanding Securities of any series shall be held in trust and applied by the Trustee, in accordance with the provisions of the Securities of such series and this Indenture, to the payment, either directly or through any paying agent (including the Issuer acting as its own paying agent), as the Trustee may determine, to the holders of Securities of such series, of all sums due and to become due thereon in respect of principal and interest, if any, but such money need not be segregated from other funds except to the extent required by law.</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Issuer shall pay and indemnify the Trustee against any tax, fee or other charge imposed on or assessed against the U.S. Government Obligations deposited pursuant to Section 9.1 or 12.4 or the principal and interest received in respect thereof other than any such tax, fee or other charge which by law is for the account of the Holders of the Outstanding Securities of such series.</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the Trustee is unable to apply any money or U.S. Government</w:t>
      </w:r>
    </w:p>
    <w:p>
      <w:pPr>
        <w:sectPr>
          <w:pgSz w:w="11900" w:h="16838" w:orient="portrait"/>
          <w:cols w:equalWidth="0" w:num="1">
            <w:col w:w="10219"/>
          </w:cols>
          <w:pgMar w:left="240" w:top="514" w:right="1440" w:bottom="1440" w:gutter="0" w:footer="0" w:header="0"/>
        </w:sectPr>
      </w:pPr>
    </w:p>
    <w:bookmarkStart w:id="128" w:name="page129"/>
    <w:bookmarkEnd w:id="128"/>
    <w:p>
      <w:pPr>
        <w:ind w:right="1999"/>
        <w:spacing w:after="0" w:line="270" w:lineRule="auto"/>
        <w:rPr>
          <w:sz w:val="20"/>
          <w:szCs w:val="20"/>
          <w:color w:val="auto"/>
        </w:rPr>
      </w:pPr>
      <w:r>
        <w:rPr>
          <w:rFonts w:ascii="Courier New" w:cs="Courier New" w:eastAsia="Courier New" w:hAnsi="Courier New"/>
          <w:sz w:val="16"/>
          <w:szCs w:val="16"/>
          <w:color w:val="auto"/>
        </w:rPr>
        <w:t>Obligations in accordance with Section 9.1 or 12.4 by reason of any legal proceeding or by reason of any order or judgment of any court or governmental authority enjoining, restraining or otherwise prohibiting such application, the Issuer's obligations under this Indenture and the Securities of such series shall be revived and reinstated as though no deposit had occurred pursuant to Section 9.1 or 12.4; provided that if the Issuer has made any payment of principal of or interest on any Securities of such series because of the reinstatement of its obligations, the Issuer shall be subrogated to the rights of the Holders of such Securities of such series to receive such payment from the money or U.S. Government Obligations held by the Trustee.</w:t>
      </w:r>
    </w:p>
    <w:p>
      <w:pPr>
        <w:spacing w:after="0" w:line="189" w:lineRule="exact"/>
        <w:rPr>
          <w:sz w:val="20"/>
          <w:szCs w:val="20"/>
          <w:color w:val="auto"/>
        </w:rPr>
      </w:pPr>
    </w:p>
    <w:p>
      <w:pPr>
        <w:ind w:right="2519" w:firstLine="1580"/>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Indenture to be duly executed, and their respective corporate seals to be hereunto affixed and attested, all as of October 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MURPHY OIL 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w:t>
      </w:r>
    </w:p>
    <w:p>
      <w:pPr>
        <w:spacing w:after="0" w:line="238" w:lineRule="auto"/>
        <w:rPr>
          <w:sz w:val="20"/>
          <w:szCs w:val="20"/>
          <w:color w:val="auto"/>
        </w:rPr>
      </w:pPr>
      <w:r>
        <w:rPr>
          <w:rFonts w:ascii="Courier New" w:cs="Courier New" w:eastAsia="Courier New" w:hAnsi="Courier New"/>
          <w:sz w:val="18"/>
          <w:szCs w:val="18"/>
          <w:color w:val="auto"/>
        </w:rPr>
        <w:t>[CORPORATE SEAL]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CHEMICAL BANK, as Trustee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w:t>
      </w:r>
    </w:p>
    <w:p>
      <w:pPr>
        <w:spacing w:after="0" w:line="238" w:lineRule="auto"/>
        <w:rPr>
          <w:sz w:val="20"/>
          <w:szCs w:val="20"/>
          <w:color w:val="auto"/>
        </w:rPr>
      </w:pPr>
      <w:r>
        <w:rPr>
          <w:rFonts w:ascii="Courier New" w:cs="Courier New" w:eastAsia="Courier New" w:hAnsi="Courier New"/>
          <w:sz w:val="18"/>
          <w:szCs w:val="18"/>
          <w:color w:val="auto"/>
        </w:rPr>
        <w:t>[CORPORATE SEAL]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558" w:lineRule="auto"/>
        <w:rPr>
          <w:sz w:val="20"/>
          <w:szCs w:val="20"/>
          <w:color w:val="auto"/>
        </w:rPr>
      </w:pPr>
      <w:r>
        <w:rPr>
          <w:rFonts w:ascii="Courier New" w:cs="Courier New" w:eastAsia="Courier New" w:hAnsi="Courier New"/>
          <w:sz w:val="16"/>
          <w:szCs w:val="16"/>
          <w:color w:val="auto"/>
        </w:rPr>
        <w:t>STATE OF ARKANSAS 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03" w:lineRule="exact"/>
        <w:rPr>
          <w:sz w:val="20"/>
          <w:szCs w:val="20"/>
          <w:color w:val="auto"/>
        </w:rPr>
      </w:pPr>
    </w:p>
    <w:p>
      <w:pPr>
        <w:sectPr>
          <w:pgSz w:w="11900" w:h="16838" w:orient="portrait"/>
          <w:cols w:equalWidth="0" w:num="2">
            <w:col w:w="1820" w:space="720"/>
            <w:col w:w="7679"/>
          </w:cols>
          <w:pgMar w:left="240" w:top="520" w:right="1440"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320" w:type="dxa"/>
            <w:vAlign w:val="bottom"/>
          </w:tcPr>
          <w:p>
            <w:pPr>
              <w:ind w:left="1580"/>
              <w:spacing w:after="0"/>
              <w:rPr>
                <w:sz w:val="20"/>
                <w:szCs w:val="20"/>
                <w:color w:val="auto"/>
              </w:rPr>
            </w:pPr>
            <w:r>
              <w:rPr>
                <w:rFonts w:ascii="Courier New" w:cs="Courier New" w:eastAsia="Courier New" w:hAnsi="Courier New"/>
                <w:sz w:val="18"/>
                <w:szCs w:val="18"/>
                <w:color w:val="auto"/>
                <w:w w:val="95"/>
              </w:rPr>
              <w:t>On this</w:t>
            </w:r>
          </w:p>
        </w:tc>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day of</w:t>
            </w:r>
          </w:p>
        </w:tc>
        <w:tc>
          <w:tcPr>
            <w:tcW w:w="2220" w:type="dxa"/>
            <w:vAlign w:val="bottom"/>
            <w:gridSpan w:val="2"/>
          </w:tcPr>
          <w:p>
            <w:pPr>
              <w:ind w:left="1220"/>
              <w:spacing w:after="0"/>
              <w:rPr>
                <w:sz w:val="20"/>
                <w:szCs w:val="20"/>
                <w:color w:val="auto"/>
              </w:rPr>
            </w:pPr>
            <w:r>
              <w:rPr>
                <w:rFonts w:ascii="Courier New" w:cs="Courier New" w:eastAsia="Courier New" w:hAnsi="Courier New"/>
                <w:sz w:val="18"/>
                <w:szCs w:val="18"/>
                <w:color w:val="auto"/>
              </w:rPr>
              <w:t>before me</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personally came</w:t>
            </w:r>
          </w:p>
        </w:tc>
      </w:tr>
      <w:tr>
        <w:trPr>
          <w:trHeight w:val="203"/>
        </w:trPr>
        <w:tc>
          <w:tcPr>
            <w:tcW w:w="232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to me</w:t>
            </w:r>
          </w:p>
        </w:tc>
        <w:tc>
          <w:tcPr>
            <w:tcW w:w="4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personally known, who, being by me duly</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sworn, did</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depose and say that he resides at</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that he is a</w:t>
            </w:r>
          </w:p>
        </w:tc>
      </w:tr>
      <w:tr>
        <w:trPr>
          <w:trHeight w:val="203"/>
        </w:trPr>
        <w:tc>
          <w:tcPr>
            <w:tcW w:w="8340" w:type="dxa"/>
            <w:vAlign w:val="bottom"/>
            <w:gridSpan w:val="6"/>
          </w:tcPr>
          <w:p>
            <w:pPr>
              <w:ind w:left="640"/>
              <w:spacing w:after="0" w:line="203" w:lineRule="exact"/>
              <w:rPr>
                <w:sz w:val="20"/>
                <w:szCs w:val="20"/>
                <w:color w:val="auto"/>
              </w:rPr>
            </w:pPr>
            <w:r>
              <w:rPr>
                <w:rFonts w:ascii="Courier New" w:cs="Courier New" w:eastAsia="Courier New" w:hAnsi="Courier New"/>
                <w:sz w:val="18"/>
                <w:szCs w:val="18"/>
                <w:color w:val="auto"/>
                <w:w w:val="97"/>
              </w:rPr>
              <w:t>of MURPHY OIL CORPORATION, one of the corporations described in and which</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executed the above instrument; that</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 knows the</w:t>
            </w:r>
          </w:p>
        </w:tc>
        <w:tc>
          <w:tcPr>
            <w:tcW w:w="32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corporate seal of said</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that the</w:t>
            </w:r>
          </w:p>
        </w:tc>
        <w:tc>
          <w:tcPr>
            <w:tcW w:w="4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seal affixed to said instrument is such</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corporate seal;</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that it was so affixed by authority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Board</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Directors</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said</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and that</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he signed his</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thereto</w:t>
            </w:r>
          </w:p>
        </w:tc>
        <w:tc>
          <w:tcPr>
            <w:tcW w:w="32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by like authority.</w:t>
            </w:r>
          </w:p>
        </w:tc>
      </w:tr>
    </w:tbl>
    <w:p>
      <w:pPr>
        <w:sectPr>
          <w:pgSz w:w="11900" w:h="16838" w:orient="portrait"/>
          <w:cols w:equalWidth="0" w:num="1">
            <w:col w:w="10219"/>
          </w:cols>
          <w:pgMar w:left="240" w:top="520" w:right="1440" w:bottom="1440" w:gutter="0" w:footer="0" w:header="0"/>
          <w:type w:val="continuous"/>
        </w:sectPr>
      </w:pPr>
    </w:p>
    <w:bookmarkStart w:id="129" w:name="page130"/>
    <w:bookmarkEnd w:id="129"/>
    <w:p>
      <w:pPr>
        <w:spacing w:after="0"/>
        <w:rPr>
          <w:sz w:val="20"/>
          <w:szCs w:val="20"/>
          <w:color w:val="auto"/>
        </w:rPr>
      </w:pPr>
      <w:r>
        <w:rPr>
          <w:rFonts w:ascii="Courier New" w:cs="Courier New" w:eastAsia="Courier New" w:hAnsi="Courier New"/>
          <w:sz w:val="18"/>
          <w:szCs w:val="18"/>
          <w:color w:val="auto"/>
        </w:rPr>
        <w:t>[NOTARIAL SEAL]</w:t>
      </w:r>
    </w:p>
    <w:p>
      <w:pPr>
        <w:spacing w:after="0" w:line="20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Notary Public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558" w:lineRule="auto"/>
        <w:rPr>
          <w:sz w:val="20"/>
          <w:szCs w:val="20"/>
          <w:color w:val="auto"/>
        </w:rPr>
      </w:pPr>
      <w:r>
        <w:rPr>
          <w:rFonts w:ascii="Courier New" w:cs="Courier New" w:eastAsia="Courier New" w:hAnsi="Courier New"/>
          <w:sz w:val="16"/>
          <w:szCs w:val="16"/>
          <w:color w:val="auto"/>
        </w:rPr>
        <w:t>STATE OF NEW YORK COUNTY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09" w:lineRule="exact"/>
        <w:rPr>
          <w:sz w:val="20"/>
          <w:szCs w:val="20"/>
          <w:color w:val="auto"/>
        </w:rPr>
      </w:pPr>
    </w:p>
    <w:p>
      <w:pPr>
        <w:sectPr>
          <w:pgSz w:w="11900" w:h="16838" w:orient="portrait"/>
          <w:cols w:equalWidth="0" w:num="2">
            <w:col w:w="1900" w:space="640"/>
            <w:col w:w="7679"/>
          </w:cols>
          <w:pgMar w:left="240" w:top="717" w:right="1440" w:bottom="1440" w:gutter="0" w:footer="0" w:header="0"/>
          <w:type w:val="continuous"/>
        </w:sectPr>
      </w:pPr>
    </w:p>
    <w:p>
      <w:pPr>
        <w:ind w:right="2619" w:firstLine="1580"/>
        <w:spacing w:after="0" w:line="237" w:lineRule="auto"/>
        <w:rPr>
          <w:sz w:val="20"/>
          <w:szCs w:val="20"/>
          <w:color w:val="auto"/>
        </w:rPr>
      </w:pPr>
      <w:r>
        <w:rPr>
          <w:rFonts w:ascii="Courier New" w:cs="Courier New" w:eastAsia="Courier New" w:hAnsi="Courier New"/>
          <w:sz w:val="18"/>
          <w:szCs w:val="18"/>
          <w:color w:val="auto"/>
        </w:rPr>
        <w:t>On this day of before me personally came to me personally known, who, being by me duly sworn, did depose and say that he resides at that he is a of CHEMICAL BANK, one of the corporations described in and which executed the above instrument; that he knows the corporate seal of said</w:t>
      </w:r>
    </w:p>
    <w:p>
      <w:pPr>
        <w:sectPr>
          <w:pgSz w:w="11900" w:h="16838" w:orient="portrait"/>
          <w:cols w:equalWidth="0" w:num="1">
            <w:col w:w="10219"/>
          </w:cols>
          <w:pgMar w:left="240" w:top="717" w:right="1440" w:bottom="1440" w:gutter="0" w:footer="0" w:header="0"/>
          <w:type w:val="continuous"/>
        </w:sectPr>
      </w:pPr>
    </w:p>
    <w:p>
      <w:pPr>
        <w:spacing w:after="0" w:line="6"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corporation; that the seal affixed to said instrument is such corporate seal; that it was so affixed by authority of the Board of Directors of said corporation, and that he signed his name thereto by like authority.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[NOTARIAL SEAL]</w:t>
      </w:r>
    </w:p>
    <w:p>
      <w:pPr>
        <w:ind w:left="474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5480"/>
        <w:spacing w:after="0"/>
        <w:rPr>
          <w:sz w:val="20"/>
          <w:szCs w:val="20"/>
          <w:color w:val="auto"/>
        </w:rPr>
      </w:pPr>
      <w:r>
        <w:rPr>
          <w:rFonts w:ascii="Courier New" w:cs="Courier New" w:eastAsia="Courier New" w:hAnsi="Courier New"/>
          <w:sz w:val="18"/>
          <w:szCs w:val="18"/>
          <w:color w:val="auto"/>
        </w:rPr>
        <w:t>Notary Public</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lowerRoman"/>
      <w:start w:val="2"/>
    </w:lvl>
  </w:abstractNum>
  <w:abstractNum w:abstractNumId="1">
    <w:nsid w:val="1F48EAA1"/>
    <w:multiLevelType w:val="hybridMultilevel"/>
    <w:lvl w:ilvl="0">
      <w:lvlJc w:val="left"/>
      <w:lvlText w:val="(%1)"/>
      <w:numFmt w:val="lowerLetter"/>
      <w:start w:val="1"/>
    </w:lvl>
  </w:abstractNum>
  <w:abstractNum w:abstractNumId="2">
    <w:nsid w:val="1381823A"/>
    <w:multiLevelType w:val="hybridMultilevel"/>
    <w:lvl w:ilvl="0">
      <w:lvlJc w:val="left"/>
      <w:lvlText w:val="(%1)"/>
      <w:numFmt w:val="decimal"/>
      <w:start w:val="1"/>
    </w:lvl>
  </w:abstractNum>
  <w:abstractNum w:abstractNumId="3">
    <w:nsid w:val="5DB70AE5"/>
    <w:multiLevelType w:val="hybridMultilevel"/>
    <w:lvl w:ilvl="0">
      <w:lvlJc w:val="left"/>
      <w:lvlText w:val="(%1)"/>
      <w:numFmt w:val="lowerLetter"/>
      <w:start w:val="25"/>
    </w:lvl>
  </w:abstractNum>
  <w:abstractNum w:abstractNumId="4">
    <w:nsid w:val="100F8FCA"/>
    <w:multiLevelType w:val="hybridMultilevel"/>
    <w:lvl w:ilvl="0">
      <w:lvlJc w:val="left"/>
      <w:lvlText w:val="(%1)"/>
      <w:numFmt w:val="lowerRoman"/>
      <w:start w:val="3"/>
    </w:lvl>
  </w:abstractNum>
  <w:abstractNum w:abstractNumId="5">
    <w:nsid w:val="6590700B"/>
    <w:multiLevelType w:val="hybridMultilevel"/>
    <w:lvl w:ilvl="0">
      <w:lvlJc w:val="left"/>
      <w:lvlText w:val="5"/>
      <w:numFmt w:val="bullet"/>
      <w:start w:val="1"/>
    </w:lvl>
  </w:abstractNum>
  <w:abstractNum w:abstractNumId="6">
    <w:nsid w:val="15014ACB"/>
    <w:multiLevelType w:val="hybridMultilevel"/>
    <w:lvl w:ilvl="0">
      <w:lvlJc w:val="left"/>
      <w:lvlText w:val="%1"/>
      <w:numFmt w:val="decimal"/>
      <w:start w:val="12"/>
    </w:lvl>
  </w:abstractNum>
  <w:abstractNum w:abstractNumId="7">
    <w:nsid w:val="5F5E7FD0"/>
    <w:multiLevelType w:val="hybridMultilevel"/>
    <w:lvl w:ilvl="0">
      <w:lvlJc w:val="left"/>
      <w:lvlText w:val="%1"/>
      <w:numFmt w:val="decimal"/>
      <w:start w:val="24"/>
    </w:lvl>
  </w:abstractNum>
  <w:abstractNum w:abstractNumId="8">
    <w:nsid w:val="98A3148"/>
    <w:multiLevelType w:val="hybridMultilevel"/>
    <w:lvl w:ilvl="0">
      <w:lvlJc w:val="left"/>
      <w:lvlText w:val="5"/>
      <w:numFmt w:val="bullet"/>
      <w:start w:val="1"/>
    </w:lvl>
  </w:abstractNum>
  <w:abstractNum w:abstractNumId="9">
    <w:nsid w:val="799D0247"/>
    <w:multiLevelType w:val="hybridMultilevel"/>
    <w:lvl w:ilvl="0">
      <w:lvlJc w:val="left"/>
      <w:lvlText w:val="%1"/>
      <w:numFmt w:val="decimal"/>
      <w:start w:val="12"/>
    </w:lvl>
  </w:abstractNum>
  <w:abstractNum w:abstractNumId="10">
    <w:nsid w:val="6B94764"/>
    <w:multiLevelType w:val="hybridMultilevel"/>
    <w:lvl w:ilvl="0">
      <w:lvlJc w:val="left"/>
      <w:lvlText w:val="%1"/>
      <w:numFmt w:val="decimal"/>
      <w:start w:val="24"/>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1)"/>
      <w:numFmt w:val="lowerLetter"/>
      <w:start w:val="1"/>
    </w:lvl>
  </w:abstractNum>
  <w:abstractNum w:abstractNumId="13">
    <w:nsid w:val="1EBA5D23"/>
    <w:multiLevelType w:val="hybridMultilevel"/>
    <w:lvl w:ilvl="0">
      <w:lvlJc w:val="left"/>
      <w:lvlText w:val="(%1)"/>
      <w:numFmt w:val="lowerLetter"/>
      <w:start w:val="3"/>
    </w:lvl>
  </w:abstractNum>
  <w:abstractNum w:abstractNumId="14">
    <w:nsid w:val="661E3F1E"/>
    <w:multiLevelType w:val="hybridMultilevel"/>
    <w:lvl w:ilvl="0">
      <w:lvlJc w:val="left"/>
      <w:lvlText w:val="(%1)"/>
      <w:numFmt w:val="lowerLetter"/>
      <w:start w:val="6"/>
    </w:lvl>
  </w:abstractNum>
  <w:abstractNum w:abstractNumId="15">
    <w:nsid w:val="5DC79EA8"/>
    <w:multiLevelType w:val="hybridMultilevel"/>
    <w:lvl w:ilvl="0">
      <w:lvlJc w:val="left"/>
      <w:lvlText w:val="(%1)"/>
      <w:numFmt w:val="lowerLetter"/>
      <w:start w:val="14"/>
    </w:lvl>
  </w:abstractNum>
  <w:abstractNum w:abstractNumId="16">
    <w:nsid w:val="540A471C"/>
    <w:multiLevelType w:val="hybridMultilevel"/>
    <w:lvl w:ilvl="0">
      <w:lvlJc w:val="left"/>
      <w:lvlText w:val="%1."/>
      <w:numFmt w:val="decimal"/>
      <w:start w:val="2"/>
    </w:lvl>
  </w:abstractNum>
  <w:abstractNum w:abstractNumId="17">
    <w:nsid w:val="7BD3EE7B"/>
    <w:multiLevelType w:val="hybridMultilevel"/>
    <w:lvl w:ilvl="0">
      <w:lvlJc w:val="left"/>
      <w:lvlText w:val="(%1)"/>
      <w:numFmt w:val="lowerLetter"/>
      <w:start w:val="1"/>
    </w:lvl>
    <w:lvl w:ilvl="1">
      <w:lvlJc w:val="left"/>
      <w:lvlText w:val="(%2)"/>
      <w:numFmt w:val="lowerLetter"/>
      <w:start w:val="9"/>
    </w:lvl>
  </w:abstractNum>
  <w:abstractNum w:abstractNumId="18">
    <w:nsid w:val="51D9C564"/>
    <w:multiLevelType w:val="hybridMultilevel"/>
    <w:lvl w:ilvl="0">
      <w:lvlJc w:val="left"/>
      <w:lvlText w:val="%1"/>
      <w:numFmt w:val="lowerLetter"/>
      <w:start w:val="1"/>
    </w:lvl>
    <w:lvl w:ilvl="1">
      <w:lvlJc w:val="left"/>
      <w:lvlText w:val="(%2)"/>
      <w:numFmt w:val="lowerLetter"/>
      <w:start w:val="35"/>
    </w:lvl>
  </w:abstractNum>
  <w:abstractNum w:abstractNumId="19">
    <w:nsid w:val="613EFDC5"/>
    <w:multiLevelType w:val="hybridMultilevel"/>
    <w:lvl w:ilvl="0">
      <w:lvlJc w:val="left"/>
      <w:lvlText w:val="(%1)"/>
      <w:numFmt w:val="lowerLetter"/>
      <w:start w:val="2"/>
    </w:lvl>
    <w:lvl w:ilvl="1">
      <w:lvlJc w:val="left"/>
      <w:lvlText w:val="%2"/>
      <w:numFmt w:val="lowerLetter"/>
      <w:start w:val="1"/>
    </w:lvl>
  </w:abstractNum>
  <w:abstractNum w:abstractNumId="20">
    <w:nsid w:val="BF72B14"/>
    <w:multiLevelType w:val="hybridMultilevel"/>
    <w:lvl w:ilvl="0">
      <w:lvlJc w:val="left"/>
      <w:lvlText w:val="(%1)"/>
      <w:numFmt w:val="lowerLetter"/>
      <w:start w:val="3"/>
    </w:lvl>
  </w:abstractNum>
  <w:abstractNum w:abstractNumId="21">
    <w:nsid w:val="11447B73"/>
    <w:multiLevelType w:val="hybridMultilevel"/>
    <w:lvl w:ilvl="0">
      <w:lvlJc w:val="left"/>
      <w:lvlText w:val="%1."/>
      <w:numFmt w:val="decimal"/>
      <w:start w:val="5"/>
    </w:lvl>
  </w:abstractNum>
  <w:abstractNum w:abstractNumId="22">
    <w:nsid w:val="42963E5A"/>
    <w:multiLevelType w:val="hybridMultilevel"/>
    <w:lvl w:ilvl="0">
      <w:lvlJc w:val="left"/>
      <w:lvlText w:val="%1"/>
      <w:numFmt w:val="lowerLetter"/>
      <w:start w:val="1"/>
    </w:lvl>
    <w:lvl w:ilvl="1">
      <w:lvlJc w:val="left"/>
      <w:lvlText w:val="(%2)"/>
      <w:numFmt w:val="lowerLetter"/>
      <w:start w:val="1"/>
    </w:lvl>
  </w:abstractNum>
  <w:abstractNum w:abstractNumId="23">
    <w:nsid w:val="A0382C5"/>
    <w:multiLevelType w:val="hybridMultilevel"/>
    <w:lvl w:ilvl="0">
      <w:lvlJc w:val="left"/>
      <w:lvlText w:val="(%1)"/>
      <w:numFmt w:val="lowerLetter"/>
      <w:start w:val="3"/>
    </w:lvl>
    <w:lvl w:ilvl="1">
      <w:lvlJc w:val="left"/>
      <w:lvlText w:val="(%2)"/>
      <w:numFmt w:val="lowerLetter"/>
      <w:start w:val="2"/>
    </w:lvl>
  </w:abstractNum>
  <w:abstractNum w:abstractNumId="24">
    <w:nsid w:val="8F2B15E"/>
    <w:multiLevelType w:val="hybridMultilevel"/>
    <w:lvl w:ilvl="0">
      <w:lvlJc w:val="left"/>
      <w:lvlText w:val="%1"/>
      <w:numFmt w:val="lowerRoman"/>
      <w:start w:val="1"/>
    </w:lvl>
    <w:lvl w:ilvl="1">
      <w:lvlJc w:val="left"/>
      <w:lvlText w:val="(%2)"/>
      <w:numFmt w:val="lowerLetter"/>
      <w:start w:val="5"/>
    </w:lvl>
  </w:abstractNum>
  <w:abstractNum w:abstractNumId="25">
    <w:nsid w:val="1A32234B"/>
    <w:multiLevelType w:val="hybridMultilevel"/>
    <w:lvl w:ilvl="0">
      <w:lvlJc w:val="left"/>
      <w:lvlText w:val="(%1)"/>
      <w:numFmt w:val="lowerRoman"/>
      <w:start w:val="8"/>
    </w:lvl>
    <w:lvl w:ilvl="1">
      <w:lvlJc w:val="left"/>
      <w:lvlText w:val="(%2)"/>
      <w:numFmt w:val="lowerLetter"/>
      <w:start w:val="8"/>
    </w:lvl>
  </w:abstractNum>
  <w:abstractNum w:abstractNumId="26">
    <w:nsid w:val="3B0FD379"/>
    <w:multiLevelType w:val="hybridMultilevel"/>
    <w:lvl w:ilvl="0">
      <w:lvlJc w:val="left"/>
      <w:lvlText w:val="(%1)"/>
      <w:numFmt w:val="lowerLetter"/>
      <w:start w:val="9"/>
    </w:lvl>
  </w:abstractNum>
  <w:abstractNum w:abstractNumId="27">
    <w:nsid w:val="68EB2F63"/>
    <w:multiLevelType w:val="hybridMultilevel"/>
    <w:lvl w:ilvl="0">
      <w:lvlJc w:val="left"/>
      <w:lvlText w:val="%1."/>
      <w:numFmt w:val="decimal"/>
      <w:start w:val="6"/>
    </w:lvl>
  </w:abstractNum>
  <w:abstractNum w:abstractNumId="28">
    <w:nsid w:val="4962813B"/>
    <w:multiLevelType w:val="hybridMultilevel"/>
    <w:lvl w:ilvl="0">
      <w:lvlJc w:val="left"/>
      <w:lvlText w:val="(%1)"/>
      <w:numFmt w:val="lowerRoman"/>
      <w:start w:val="3"/>
    </w:lvl>
  </w:abstractNum>
  <w:abstractNum w:abstractNumId="29">
    <w:nsid w:val="60B6DF70"/>
    <w:multiLevelType w:val="hybridMultilevel"/>
    <w:lvl w:ilvl="0">
      <w:lvlJc w:val="left"/>
      <w:lvlText w:val="%1"/>
      <w:numFmt w:val="lowerLetter"/>
      <w:start w:val="1"/>
    </w:lvl>
    <w:lvl w:ilvl="1">
      <w:lvlJc w:val="left"/>
      <w:lvlText w:val="%2."/>
      <w:numFmt w:val="decimal"/>
      <w:start w:val="7"/>
    </w:lvl>
  </w:abstractNum>
  <w:abstractNum w:abstractNumId="30">
    <w:nsid w:val="6A5EE64"/>
    <w:multiLevelType w:val="hybridMultilevel"/>
    <w:lvl w:ilvl="0">
      <w:lvlJc w:val="left"/>
      <w:lvlText w:val="(%1)"/>
      <w:numFmt w:val="lowerLetter"/>
      <w:start w:val="2"/>
    </w:lvl>
    <w:lvl w:ilvl="1">
      <w:lvlJc w:val="left"/>
      <w:lvlText w:val="%2."/>
      <w:numFmt w:val="decimal"/>
      <w:start w:val="8"/>
    </w:lvl>
  </w:abstractNum>
  <w:abstractNum w:abstractNumId="31">
    <w:nsid w:val="14330624"/>
    <w:multiLevelType w:val="hybridMultilevel"/>
    <w:lvl w:ilvl="0">
      <w:lvlJc w:val="left"/>
      <w:lvlText w:val="%1."/>
      <w:numFmt w:val="decimal"/>
      <w:start w:val="9"/>
    </w:lvl>
  </w:abstractNum>
  <w:abstractNum w:abstractNumId="32">
    <w:nsid w:val="7FFFCA11"/>
    <w:multiLevelType w:val="hybridMultilevel"/>
    <w:lvl w:ilvl="0">
      <w:lvlJc w:val="left"/>
      <w:lvlText w:val="%1."/>
      <w:numFmt w:val="decimal"/>
      <w:start w:val="10"/>
    </w:lvl>
  </w:abstractNum>
  <w:abstractNum w:abstractNumId="33">
    <w:nsid w:val="1A27709E"/>
    <w:multiLevelType w:val="hybridMultilevel"/>
    <w:lvl w:ilvl="0">
      <w:lvlJc w:val="left"/>
      <w:lvlText w:val="(%1)"/>
      <w:numFmt w:val="lowerRoman"/>
      <w:start w:val="1"/>
    </w:lvl>
  </w:abstractNum>
  <w:abstractNum w:abstractNumId="34">
    <w:nsid w:val="71EA1109"/>
    <w:multiLevelType w:val="hybridMultilevel"/>
    <w:lvl w:ilvl="0">
      <w:lvlJc w:val="left"/>
      <w:lvlText w:val="(%1)"/>
      <w:numFmt w:val="lowerRoman"/>
      <w:start w:val="2"/>
    </w:lvl>
  </w:abstractNum>
  <w:abstractNum w:abstractNumId="35">
    <w:nsid w:val="100F59DC"/>
    <w:multiLevelType w:val="hybridMultilevel"/>
    <w:lvl w:ilvl="0">
      <w:lvlJc w:val="left"/>
      <w:lvlText w:val="(%1)"/>
      <w:numFmt w:val="lowerRoman"/>
      <w:start w:val="10"/>
    </w:lvl>
  </w:abstractNum>
  <w:abstractNum w:abstractNumId="36">
    <w:nsid w:val="7FB7E0AA"/>
    <w:multiLevelType w:val="hybridMultilevel"/>
    <w:lvl w:ilvl="0">
      <w:lvlJc w:val="left"/>
      <w:lvlText w:val="(%1)"/>
      <w:numFmt w:val="lowerRoman"/>
      <w:start w:val="14"/>
    </w:lvl>
  </w:abstractNum>
  <w:abstractNum w:abstractNumId="37">
    <w:nsid w:val="6EB5BD4"/>
    <w:multiLevelType w:val="hybridMultilevel"/>
    <w:lvl w:ilvl="0">
      <w:lvlJc w:val="left"/>
      <w:lvlText w:val="(%1)"/>
      <w:numFmt w:val="lowerRoman"/>
      <w:start w:val="1"/>
    </w:lvl>
  </w:abstractNum>
  <w:abstractNum w:abstractNumId="38">
    <w:nsid w:val="6F6DD9AC"/>
    <w:multiLevelType w:val="hybridMultilevel"/>
    <w:lvl w:ilvl="0">
      <w:lvlJc w:val="left"/>
      <w:lvlText w:val="(%1)"/>
      <w:numFmt w:val="lowerRoman"/>
      <w:start w:val="1"/>
    </w:lvl>
  </w:abstractNum>
  <w:abstractNum w:abstractNumId="39">
    <w:nsid w:val="94211F2"/>
    <w:multiLevelType w:val="hybridMultilevel"/>
    <w:lvl w:ilvl="0">
      <w:lvlJc w:val="left"/>
      <w:lvlText w:val="(%1)"/>
      <w:numFmt w:val="lowerRoman"/>
      <w:start w:val="3"/>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1)"/>
      <w:numFmt w:val="lowerLetter"/>
      <w:start w:val="1"/>
    </w:lvl>
  </w:abstractNum>
  <w:abstractNum w:abstractNumId="42">
    <w:nsid w:val="4C04A8AF"/>
    <w:multiLevelType w:val="hybridMultilevel"/>
    <w:lvl w:ilvl="0">
      <w:lvlJc w:val="left"/>
      <w:lvlText w:val="(%1)"/>
      <w:numFmt w:val="lowerLetter"/>
      <w:start w:val="3"/>
    </w:lvl>
  </w:abstractNum>
  <w:abstractNum w:abstractNumId="43">
    <w:nsid w:val="1716703B"/>
    <w:multiLevelType w:val="hybridMultilevel"/>
    <w:lvl w:ilvl="0">
      <w:lvlJc w:val="left"/>
      <w:lvlText w:val="(%1)"/>
      <w:numFmt w:val="lowerLetter"/>
      <w:start w:val="8"/>
    </w:lvl>
    <w:lvl w:ilvl="1">
      <w:lvlJc w:val="left"/>
      <w:lvlText w:val="(%2)"/>
      <w:numFmt w:val="lowerLetter"/>
      <w:start w:val="9"/>
    </w:lvl>
  </w:abstractNum>
  <w:abstractNum w:abstractNumId="44">
    <w:nsid w:val="14E17E33"/>
    <w:multiLevelType w:val="hybridMultilevel"/>
    <w:lvl w:ilvl="0">
      <w:lvlJc w:val="left"/>
      <w:lvlText w:val="%1."/>
      <w:numFmt w:val="decimal"/>
      <w:start w:val="2"/>
    </w:lvl>
  </w:abstractNum>
  <w:abstractNum w:abstractNumId="45">
    <w:nsid w:val="3222E7CD"/>
    <w:multiLevelType w:val="hybridMultilevel"/>
    <w:lvl w:ilvl="0">
      <w:lvlJc w:val="left"/>
      <w:lvlText w:val="(%1)"/>
      <w:numFmt w:val="lowerLetter"/>
      <w:start w:val="1"/>
    </w:lvl>
  </w:abstractNum>
  <w:abstractNum w:abstractNumId="46">
    <w:nsid w:val="74DE0EE3"/>
    <w:multiLevelType w:val="hybridMultilevel"/>
    <w:lvl w:ilvl="0">
      <w:lvlJc w:val="left"/>
      <w:lvlText w:val="(%1)"/>
      <w:numFmt w:val="lowerLetter"/>
      <w:start w:val="2"/>
    </w:lvl>
  </w:abstractNum>
  <w:abstractNum w:abstractNumId="47">
    <w:nsid w:val="68EBC550"/>
    <w:multiLevelType w:val="hybridMultilevel"/>
    <w:lvl w:ilvl="0">
      <w:lvlJc w:val="left"/>
      <w:lvlText w:val="(%1)"/>
      <w:numFmt w:val="lowerLetter"/>
      <w:start w:val="3"/>
    </w:lvl>
  </w:abstractNum>
  <w:abstractNum w:abstractNumId="48">
    <w:nsid w:val="2DF6D648"/>
    <w:multiLevelType w:val="hybridMultilevel"/>
    <w:lvl w:ilvl="0">
      <w:lvlJc w:val="left"/>
      <w:lvlText w:val="%1."/>
      <w:numFmt w:val="decimal"/>
      <w:start w:val="3"/>
    </w:lvl>
  </w:abstractNum>
  <w:abstractNum w:abstractNumId="49">
    <w:nsid w:val="46B7D447"/>
    <w:multiLevelType w:val="hybridMultilevel"/>
    <w:lvl w:ilvl="0">
      <w:lvlJc w:val="left"/>
      <w:lvlText w:val="(%1)"/>
      <w:numFmt w:val="lowerLetter"/>
      <w:start w:val="1"/>
    </w:lvl>
  </w:abstractNum>
  <w:abstractNum w:abstractNumId="50">
    <w:nsid w:val="4A2AC315"/>
    <w:multiLevelType w:val="hybridMultilevel"/>
    <w:lvl w:ilvl="0">
      <w:lvlJc w:val="left"/>
      <w:lvlText w:val="(%1)"/>
      <w:numFmt w:val="lowerLetter"/>
      <w:start w:val="2"/>
    </w:lvl>
    <w:lvl w:ilvl="1">
      <w:lvlJc w:val="left"/>
      <w:lvlText w:val="(%2)"/>
      <w:numFmt w:val="lowerLetter"/>
      <w:start w:val="3"/>
    </w:lvl>
  </w:abstractNum>
  <w:abstractNum w:abstractNumId="51">
    <w:nsid w:val="39EE015C"/>
    <w:multiLevelType w:val="hybridMultilevel"/>
    <w:lvl w:ilvl="0">
      <w:lvlJc w:val="left"/>
      <w:lvlText w:val="%1"/>
      <w:numFmt w:val="lowerLetter"/>
      <w:start w:val="1"/>
    </w:lvl>
    <w:lvl w:ilvl="1">
      <w:lvlJc w:val="left"/>
      <w:lvlText w:val="(%2)"/>
      <w:numFmt w:val="lowerLetter"/>
      <w:start w:val="8"/>
    </w:lvl>
  </w:abstractNum>
  <w:abstractNum w:abstractNumId="52">
    <w:nsid w:val="57FC4FBB"/>
    <w:multiLevelType w:val="hybridMultilevel"/>
    <w:lvl w:ilvl="0">
      <w:lvlJc w:val="left"/>
      <w:lvlText w:val="(%1)"/>
      <w:numFmt w:val="lowerLetter"/>
      <w:start w:val="61"/>
    </w:lvl>
    <w:lvl w:ilvl="1">
      <w:lvlJc w:val="left"/>
      <w:lvlText w:val="(%2)"/>
      <w:numFmt w:val="lowerLetter"/>
      <w:start w:val="10"/>
    </w:lvl>
  </w:abstractNum>
  <w:abstractNum w:abstractNumId="53">
    <w:nsid w:val="CC1016F"/>
    <w:multiLevelType w:val="hybridMultilevel"/>
    <w:lvl w:ilvl="0">
      <w:lvlJc w:val="left"/>
      <w:lvlText w:val="%1."/>
      <w:numFmt w:val="decimal"/>
      <w:start w:val="4"/>
    </w:lvl>
  </w:abstractNum>
  <w:abstractNum w:abstractNumId="54">
    <w:nsid w:val="43F18422"/>
    <w:multiLevelType w:val="hybridMultilevel"/>
    <w:lvl w:ilvl="0">
      <w:lvlJc w:val="left"/>
      <w:lvlText w:val="(%1)"/>
      <w:numFmt w:val="lowerLetter"/>
      <w:start w:val="1"/>
    </w:lvl>
  </w:abstractNum>
  <w:abstractNum w:abstractNumId="55">
    <w:nsid w:val="60EF0119"/>
    <w:multiLevelType w:val="hybridMultilevel"/>
    <w:lvl w:ilvl="0">
      <w:lvlJc w:val="left"/>
      <w:lvlText w:val="(%1)"/>
      <w:numFmt w:val="lowerRoman"/>
      <w:start w:val="2"/>
    </w:lvl>
  </w:abstractNum>
  <w:abstractNum w:abstractNumId="56">
    <w:nsid w:val="26F324BA"/>
    <w:multiLevelType w:val="hybridMultilevel"/>
    <w:lvl w:ilvl="0">
      <w:lvlJc w:val="left"/>
      <w:lvlText w:val="(%1)"/>
      <w:numFmt w:val="lowerLetter"/>
      <w:start w:val="2"/>
    </w:lvl>
  </w:abstractNum>
  <w:abstractNum w:abstractNumId="57">
    <w:nsid w:val="7F01579B"/>
    <w:multiLevelType w:val="hybridMultilevel"/>
    <w:lvl w:ilvl="0">
      <w:lvlJc w:val="left"/>
      <w:lvlText w:val="(%1)"/>
      <w:numFmt w:val="lowerRoman"/>
      <w:start w:val="1"/>
    </w:lvl>
  </w:abstractNum>
  <w:abstractNum w:abstractNumId="58">
    <w:nsid w:val="49DA307D"/>
    <w:multiLevelType w:val="hybridMultilevel"/>
    <w:lvl w:ilvl="0">
      <w:lvlJc w:val="left"/>
      <w:lvlText w:val="(%1)"/>
      <w:numFmt w:val="upperLetter"/>
      <w:start w:val="1"/>
    </w:lvl>
  </w:abstractNum>
  <w:abstractNum w:abstractNumId="59">
    <w:nsid w:val="7055A5F5"/>
    <w:multiLevelType w:val="hybridMultilevel"/>
    <w:lvl w:ilvl="0">
      <w:lvlJc w:val="left"/>
      <w:lvlText w:val="(%1)"/>
      <w:numFmt w:val="upperLetter"/>
      <w:start w:val="8"/>
    </w:lvl>
  </w:abstractNum>
  <w:abstractNum w:abstractNumId="60">
    <w:nsid w:val="5FB8370B"/>
    <w:multiLevelType w:val="hybridMultilevel"/>
    <w:lvl w:ilvl="0">
      <w:lvlJc w:val="left"/>
      <w:lvlText w:val="(%1)"/>
      <w:numFmt w:val="upperLetter"/>
      <w:start w:val="12"/>
    </w:lvl>
  </w:abstractNum>
  <w:abstractNum w:abstractNumId="61">
    <w:nsid w:val="50801EE1"/>
    <w:multiLevelType w:val="hybridMultilevel"/>
    <w:lvl w:ilvl="0">
      <w:lvlJc w:val="left"/>
      <w:lvlText w:val="(%1)"/>
      <w:numFmt w:val="lowerRoman"/>
      <w:start w:val="2"/>
    </w:lvl>
    <w:lvl w:ilvl="1">
      <w:lvlJc w:val="left"/>
      <w:lvlText w:val="(%2)"/>
      <w:numFmt w:val="upperLetter"/>
      <w:start w:val="1"/>
    </w:lvl>
  </w:abstractNum>
  <w:abstractNum w:abstractNumId="62">
    <w:nsid w:val="488AC1A"/>
    <w:multiLevelType w:val="hybridMultilevel"/>
    <w:lvl w:ilvl="0">
      <w:lvlJc w:val="left"/>
      <w:lvlText w:val="(%1)"/>
      <w:numFmt w:val="upperLetter"/>
      <w:start w:val="3"/>
    </w:lvl>
  </w:abstractNum>
  <w:abstractNum w:abstractNumId="63">
    <w:nsid w:val="5FB8011C"/>
    <w:multiLevelType w:val="hybridMultilevel"/>
    <w:lvl w:ilvl="0">
      <w:lvlJc w:val="left"/>
      <w:lvlText w:val="(%1)"/>
      <w:numFmt w:val="lowerRoman"/>
      <w:start w:val="3"/>
    </w:lvl>
    <w:lvl w:ilvl="1">
      <w:lvlJc w:val="left"/>
      <w:lvlText w:val="(%2)"/>
      <w:numFmt w:val="upperLetter"/>
      <w:start w:val="1"/>
    </w:lvl>
  </w:abstractNum>
  <w:abstractNum w:abstractNumId="64">
    <w:nsid w:val="6AA78F7F"/>
    <w:multiLevelType w:val="hybridMultilevel"/>
    <w:lvl w:ilvl="0">
      <w:lvlJc w:val="left"/>
      <w:lvlText w:val="(%1)"/>
      <w:numFmt w:val="upperLetter"/>
      <w:start w:val="4"/>
    </w:lvl>
  </w:abstractNum>
  <w:abstractNum w:abstractNumId="65">
    <w:nsid w:val="7672BD23"/>
    <w:multiLevelType w:val="hybridMultilevel"/>
    <w:lvl w:ilvl="0">
      <w:lvlJc w:val="left"/>
      <w:lvlText w:val="(%1)"/>
      <w:numFmt w:val="lowerLetter"/>
      <w:start w:val="3"/>
    </w:lvl>
  </w:abstractNum>
  <w:abstractNum w:abstractNumId="66">
    <w:nsid w:val="6FC75AF8"/>
    <w:multiLevelType w:val="hybridMultilevel"/>
    <w:lvl w:ilvl="0">
      <w:lvlJc w:val="left"/>
      <w:lvlText w:val="(%1)"/>
      <w:numFmt w:val="lowerLetter"/>
      <w:start w:val="4"/>
    </w:lvl>
  </w:abstractNum>
  <w:abstractNum w:abstractNumId="67">
    <w:nsid w:val="6A5F7029"/>
    <w:multiLevelType w:val="hybridMultilevel"/>
    <w:lvl w:ilvl="0">
      <w:lvlJc w:val="left"/>
      <w:lvlText w:val="(%1)"/>
      <w:numFmt w:val="lowerLetter"/>
      <w:start w:val="5"/>
    </w:lvl>
  </w:abstractNum>
  <w:abstractNum w:abstractNumId="68">
    <w:nsid w:val="7D5E18F8"/>
    <w:multiLevelType w:val="hybridMultilevel"/>
    <w:lvl w:ilvl="0">
      <w:lvlJc w:val="left"/>
      <w:lvlText w:val="%1."/>
      <w:numFmt w:val="decimal"/>
      <w:start w:val="5"/>
    </w:lvl>
  </w:abstractNum>
  <w:abstractNum w:abstractNumId="69">
    <w:nsid w:val="5F3534A4"/>
    <w:multiLevelType w:val="hybridMultilevel"/>
    <w:lvl w:ilvl="0">
      <w:lvlJc w:val="left"/>
      <w:lvlText w:val="%1"/>
      <w:numFmt w:val="lowerLetter"/>
      <w:start w:val="1"/>
    </w:lvl>
    <w:lvl w:ilvl="1">
      <w:lvlJc w:val="left"/>
      <w:lvlText w:val="(%2)"/>
      <w:numFmt w:val="lowerLetter"/>
      <w:start w:val="2"/>
    </w:lvl>
  </w:abstractNum>
  <w:abstractNum w:abstractNumId="70">
    <w:nsid w:val="73A1821B"/>
    <w:multiLevelType w:val="hybridMultilevel"/>
    <w:lvl w:ilvl="0">
      <w:lvlJc w:val="left"/>
      <w:lvlText w:val="(%1)"/>
      <w:numFmt w:val="lowerLetter"/>
      <w:start w:val="35"/>
    </w:lvl>
    <w:lvl w:ilvl="1">
      <w:lvlJc w:val="left"/>
      <w:lvlText w:val="%2"/>
      <w:numFmt w:val="lowerLetter"/>
      <w:start w:val="1"/>
    </w:lvl>
  </w:abstractNum>
  <w:abstractNum w:abstractNumId="71">
    <w:nsid w:val="7DE67713"/>
    <w:multiLevelType w:val="hybridMultilevel"/>
    <w:lvl w:ilvl="0">
      <w:lvlJc w:val="left"/>
      <w:lvlText w:val="%1."/>
      <w:numFmt w:val="decimal"/>
      <w:start w:val="6"/>
    </w:lvl>
  </w:abstractNum>
  <w:abstractNum w:abstractNumId="72">
    <w:nsid w:val="555C55B5"/>
    <w:multiLevelType w:val="hybridMultilevel"/>
    <w:lvl w:ilvl="0">
      <w:lvlJc w:val="left"/>
      <w:lvlText w:val="%1"/>
      <w:numFmt w:val="lowerLetter"/>
      <w:start w:val="1"/>
    </w:lvl>
    <w:lvl w:ilvl="1">
      <w:lvlJc w:val="left"/>
      <w:lvlText w:val="(%2)"/>
      <w:numFmt w:val="lowerLetter"/>
      <w:start w:val="2"/>
    </w:lvl>
  </w:abstractNum>
  <w:abstractNum w:abstractNumId="73">
    <w:nsid w:val="3FA62ACA"/>
    <w:multiLevelType w:val="hybridMultilevel"/>
    <w:lvl w:ilvl="0">
      <w:lvlJc w:val="left"/>
      <w:lvlText w:val="(%1)"/>
      <w:numFmt w:val="lowerLetter"/>
      <w:start w:val="1"/>
    </w:lvl>
    <w:lvl w:ilvl="1">
      <w:lvlJc w:val="left"/>
      <w:lvlText w:val="%2"/>
      <w:numFmt w:val="lowerLetter"/>
      <w:start w:val="1"/>
    </w:lvl>
  </w:abstractNum>
  <w:abstractNum w:abstractNumId="74">
    <w:nsid w:val="14FCE74E"/>
    <w:multiLevelType w:val="hybridMultilevel"/>
    <w:lvl w:ilvl="0">
      <w:lvlJc w:val="left"/>
      <w:lvlText w:val="(%1)"/>
      <w:numFmt w:val="lowerLetter"/>
      <w:start w:val="5"/>
    </w:lvl>
  </w:abstractNum>
  <w:abstractNum w:abstractNumId="75">
    <w:nsid w:val="6A3DD3E8"/>
    <w:multiLevelType w:val="hybridMultilevel"/>
    <w:lvl w:ilvl="0">
      <w:lvlJc w:val="left"/>
      <w:lvlText w:val="%1."/>
      <w:numFmt w:val="decimal"/>
      <w:start w:val="7"/>
    </w:lvl>
  </w:abstractNum>
  <w:abstractNum w:abstractNumId="76">
    <w:nsid w:val="71C91298"/>
    <w:multiLevelType w:val="hybridMultilevel"/>
    <w:lvl w:ilvl="0">
      <w:lvlJc w:val="left"/>
      <w:lvlText w:val="%1."/>
      <w:numFmt w:val="decimal"/>
      <w:start w:val="8"/>
    </w:lvl>
  </w:abstractNum>
  <w:abstractNum w:abstractNumId="77">
    <w:nsid w:val="9DAF632"/>
    <w:multiLevelType w:val="hybridMultilevel"/>
    <w:lvl w:ilvl="0">
      <w:lvlJc w:val="left"/>
      <w:lvlText w:val="%1."/>
      <w:numFmt w:val="decimal"/>
      <w:start w:val="12"/>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1."/>
      <w:numFmt w:val="decimal"/>
      <w:start w:val="5"/>
    </w:lvl>
  </w:abstractNum>
  <w:abstractNum w:abstractNumId="80">
    <w:nsid w:val="5092CA79"/>
    <w:multiLevelType w:val="hybridMultilevel"/>
    <w:lvl w:ilvl="0">
      <w:lvlJc w:val="left"/>
      <w:lvlText w:val="(%1)"/>
      <w:numFmt w:val="decimal"/>
      <w:start w:val="1"/>
    </w:lvl>
  </w:abstractNum>
  <w:abstractNum w:abstractNumId="81">
    <w:nsid w:val="1D545C4D"/>
    <w:multiLevelType w:val="hybridMultilevel"/>
    <w:lvl w:ilvl="0">
      <w:lvlJc w:val="left"/>
      <w:lvlText w:val="%1"/>
      <w:numFmt w:val="upperLetter"/>
      <w:start w:val="1"/>
    </w:lvl>
    <w:lvl w:ilvl="1">
      <w:lvlJc w:val="left"/>
      <w:lvlText w:val="%2."/>
      <w:numFmt w:val="decimal"/>
      <w:start w:val="8"/>
    </w:lvl>
  </w:abstractNum>
  <w:abstractNum w:abstractNumId="82">
    <w:nsid w:val="59ADEA3D"/>
    <w:multiLevelType w:val="hybridMultilevel"/>
    <w:lvl w:ilvl="0">
      <w:lvlJc w:val="left"/>
      <w:lvlText w:val="%1."/>
      <w:numFmt w:val="upperLetter"/>
      <w:start w:val="2"/>
    </w:lvl>
    <w:lvl w:ilvl="1">
      <w:lvlJc w:val="left"/>
      <w:lvlText w:val="%2"/>
      <w:numFmt w:val="decimal"/>
      <w:start w:val="1"/>
    </w:lvl>
  </w:abstractNum>
  <w:abstractNum w:abstractNumId="83">
    <w:nsid w:val="288F1A34"/>
    <w:multiLevelType w:val="hybridMultilevel"/>
    <w:lvl w:ilvl="0">
      <w:lvlJc w:val="left"/>
      <w:lvlText w:val="%1."/>
      <w:numFmt w:val="upperLetter"/>
      <w:start w:val="3"/>
    </w:lvl>
    <w:lvl w:ilvl="1">
      <w:lvlJc w:val="left"/>
      <w:lvlText w:val="%2."/>
      <w:numFmt w:val="decimal"/>
      <w:start w:val="1"/>
    </w:lvl>
  </w:abstractNum>
  <w:abstractNum w:abstractNumId="84">
    <w:nsid w:val="2A155DBC"/>
    <w:multiLevelType w:val="hybridMultilevel"/>
    <w:lvl w:ilvl="0">
      <w:lvlJc w:val="left"/>
      <w:lvlText w:val="%1."/>
      <w:numFmt w:val="upperLetter"/>
      <w:start w:val="5"/>
    </w:lvl>
  </w:abstractNum>
  <w:abstractNum w:abstractNumId="85">
    <w:nsid w:val="1D9F6E5F"/>
    <w:multiLevelType w:val="hybridMultilevel"/>
    <w:lvl w:ilvl="0">
      <w:lvlJc w:val="left"/>
      <w:lvlText w:val="%1."/>
      <w:numFmt w:val="upperLetter"/>
      <w:start w:val="9"/>
    </w:lvl>
  </w:abstractNum>
  <w:abstractNum w:abstractNumId="86">
    <w:nsid w:val="97E1B4E"/>
    <w:multiLevelType w:val="hybridMultilevel"/>
    <w:lvl w:ilvl="0">
      <w:lvlJc w:val="left"/>
      <w:lvlText w:val="A"/>
      <w:numFmt w:val="bullet"/>
      <w:start w:val="1"/>
    </w:lvl>
  </w:abstractNum>
  <w:abstractNum w:abstractNumId="87">
    <w:nsid w:val="51088277"/>
    <w:multiLevelType w:val="hybridMultilevel"/>
    <w:lvl w:ilvl="0">
      <w:lvlJc w:val="left"/>
      <w:lvlText w:val="B"/>
      <w:numFmt w:val="bullet"/>
      <w:start w:val="1"/>
    </w:lvl>
  </w:abstractNum>
  <w:abstractNum w:abstractNumId="88">
    <w:nsid w:val="1CA0C5FA"/>
    <w:multiLevelType w:val="hybridMultilevel"/>
    <w:lvl w:ilvl="0">
      <w:lvlJc w:val="left"/>
      <w:lvlText w:val="C"/>
      <w:numFmt w:val="bullet"/>
      <w:start w:val="1"/>
    </w:lvl>
  </w:abstractNum>
  <w:abstractNum w:abstractNumId="89">
    <w:nsid w:val="53584BCB"/>
    <w:multiLevelType w:val="hybridMultilevel"/>
    <w:lvl w:ilvl="0">
      <w:lvlJc w:val="left"/>
      <w:lvlText w:val="D"/>
      <w:numFmt w:val="bullet"/>
      <w:start w:val="1"/>
    </w:lvl>
  </w:abstractNum>
  <w:abstractNum w:abstractNumId="90">
    <w:nsid w:val="415E286C"/>
    <w:multiLevelType w:val="hybridMultilevel"/>
    <w:lvl w:ilvl="0">
      <w:lvlJc w:val="left"/>
      <w:lvlText w:val="E"/>
      <w:numFmt w:val="bullet"/>
      <w:start w:val="1"/>
    </w:lvl>
  </w:abstractNum>
  <w:abstractNum w:abstractNumId="91">
    <w:nsid w:val="7C58FD05"/>
    <w:multiLevelType w:val="hybridMultilevel"/>
    <w:lvl w:ilvl="0">
      <w:lvlJc w:val="left"/>
      <w:lvlText w:val="H"/>
      <w:numFmt w:val="bullet"/>
      <w:start w:val="1"/>
    </w:lvl>
  </w:abstractNum>
  <w:abstractNum w:abstractNumId="92">
    <w:nsid w:val="23D86AAC"/>
    <w:multiLevelType w:val="hybridMultilevel"/>
    <w:lvl w:ilvl="0">
      <w:lvlJc w:val="left"/>
      <w:lvlText w:val="%1."/>
      <w:numFmt w:val="decimal"/>
      <w:start w:val="4"/>
    </w:lvl>
  </w:abstractNum>
  <w:abstractNum w:abstractNumId="93">
    <w:nsid w:val="45E6D486"/>
    <w:multiLevelType w:val="hybridMultilevel"/>
    <w:lvl w:ilvl="0">
      <w:lvlJc w:val="left"/>
      <w:lvlText w:val="%1"/>
      <w:numFmt w:val="decimal"/>
      <w:start w:val="1"/>
    </w:lvl>
    <w:lvl w:ilvl="1">
      <w:lvlJc w:val="left"/>
      <w:lvlText w:val="%2"/>
      <w:numFmt w:val="upperLetter"/>
      <w:start w:val="1"/>
    </w:lvl>
    <w:lvl w:ilvl="2">
      <w:lvlJc w:val="left"/>
      <w:lvlText w:val="%3."/>
      <w:numFmt w:val="decimal"/>
      <w:start w:val="16"/>
    </w:lvl>
  </w:abstractNum>
  <w:abstractNum w:abstractNumId="94">
    <w:nsid w:val="5C10FE21"/>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95">
    <w:nsid w:val="E7FFA2B"/>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96">
    <w:nsid w:val="3C5991AA"/>
    <w:multiLevelType w:val="hybridMultilevel"/>
    <w:lvl w:ilvl="0">
      <w:lvlJc w:val="left"/>
      <w:lvlText w:val="%1."/>
      <w:numFmt w:val="upperLetter"/>
      <w:start w:val="4"/>
    </w:lvl>
  </w:abstractNum>
  <w:abstractNum w:abstractNumId="97">
    <w:nsid w:val="4BD8591A"/>
    <w:multiLevelType w:val="hybridMultilevel"/>
    <w:lvl w:ilvl="0">
      <w:lvlJc w:val="left"/>
      <w:lvlText w:val="(%1)"/>
      <w:numFmt w:val="lowerRoman"/>
      <w:start w:val="3"/>
    </w:lvl>
  </w:abstractNum>
  <w:abstractNum w:abstractNumId="98">
    <w:nsid w:val="78DF6A55"/>
    <w:multiLevelType w:val="hybridMultilevel"/>
    <w:lvl w:ilvl="0">
      <w:lvlJc w:val="left"/>
      <w:lvlText w:val="(%1)"/>
      <w:numFmt w:val="lowerLetter"/>
      <w:start w:val="3"/>
    </w:lvl>
  </w:abstractNum>
  <w:abstractNum w:abstractNumId="99">
    <w:nsid w:val="39B7AAA2"/>
    <w:multiLevelType w:val="hybridMultilevel"/>
    <w:lvl w:ilvl="0">
      <w:lvlJc w:val="left"/>
      <w:lvlText w:val="(%1)"/>
      <w:numFmt w:val="lowerLetter"/>
      <w:start w:val="1"/>
    </w:lvl>
  </w:abstractNum>
  <w:abstractNum w:abstractNumId="100">
    <w:nsid w:val="2B0D8DBE"/>
    <w:multiLevelType w:val="hybridMultilevel"/>
    <w:lvl w:ilvl="0">
      <w:lvlJc w:val="left"/>
      <w:lvlText w:val="(%1)"/>
      <w:numFmt w:val="lowerLetter"/>
      <w:start w:val="3"/>
    </w:lvl>
  </w:abstractNum>
  <w:abstractNum w:abstractNumId="101">
    <w:nsid w:val="6C80EC70"/>
    <w:multiLevelType w:val="hybridMultilevel"/>
    <w:lvl w:ilvl="0">
      <w:lvlJc w:val="left"/>
      <w:lvlText w:val="%1"/>
      <w:numFmt w:val="decimal"/>
      <w:start w:val="1"/>
    </w:lvl>
    <w:lvl w:ilvl="1">
      <w:lvlJc w:val="left"/>
      <w:lvlText w:val="(%2)"/>
      <w:numFmt w:val="decimal"/>
      <w:start w:val="1"/>
    </w:lvl>
  </w:abstractNum>
  <w:abstractNum w:abstractNumId="102">
    <w:nsid w:val="379E21B5"/>
    <w:multiLevelType w:val="hybridMultilevel"/>
    <w:lvl w:ilvl="0">
      <w:lvlJc w:val="left"/>
      <w:lvlText w:val="(%1)"/>
      <w:numFmt w:val="decimal"/>
      <w:start w:val="10"/>
    </w:lvl>
    <w:lvl w:ilvl="1">
      <w:lvlJc w:val="left"/>
      <w:lvlText w:val="%2"/>
      <w:numFmt w:val="decimal"/>
      <w:start w:val="1"/>
    </w:lvl>
  </w:abstractNum>
  <w:abstractNum w:abstractNumId="103">
    <w:nsid w:val="69E373"/>
    <w:multiLevelType w:val="hybridMultilevel"/>
    <w:lvl w:ilvl="0">
      <w:lvlJc w:val="left"/>
      <w:lvlText w:val="(%1)"/>
      <w:numFmt w:val="decimal"/>
      <w:start w:val="12"/>
    </w:lvl>
  </w:abstractNum>
  <w:abstractNum w:abstractNumId="104">
    <w:nsid w:val="2C27173B"/>
    <w:multiLevelType w:val="hybridMultilevel"/>
    <w:lvl w:ilvl="0">
      <w:lvlJc w:val="left"/>
      <w:lvlText w:val="(%1)"/>
      <w:numFmt w:val="decimal"/>
      <w:start w:val="1"/>
    </w:lvl>
  </w:abstractNum>
  <w:abstractNum w:abstractNumId="105">
    <w:nsid w:val="4C9B0904"/>
    <w:multiLevelType w:val="hybridMultilevel"/>
    <w:lvl w:ilvl="0">
      <w:lvlJc w:val="left"/>
      <w:lvlText w:val="(%1)"/>
      <w:numFmt w:val="decimal"/>
      <w:start w:val="2"/>
    </w:lvl>
    <w:lvl w:ilvl="1">
      <w:lvlJc w:val="left"/>
      <w:lvlText w:val="(%2)"/>
      <w:numFmt w:val="lowerLetter"/>
      <w:start w:val="1"/>
    </w:lvl>
  </w:abstractNum>
  <w:abstractNum w:abstractNumId="106">
    <w:nsid w:val="6AA7B75C"/>
    <w:multiLevelType w:val="hybridMultilevel"/>
    <w:lvl w:ilvl="0">
      <w:lvlJc w:val="left"/>
      <w:lvlText w:val="(%1)"/>
      <w:numFmt w:val="lowerLetter"/>
      <w:start w:val="3"/>
    </w:lvl>
  </w:abstractNum>
  <w:abstractNum w:abstractNumId="107">
    <w:nsid w:val="1DF029D3"/>
    <w:multiLevelType w:val="hybridMultilevel"/>
    <w:lvl w:ilvl="0">
      <w:lvlJc w:val="left"/>
      <w:lvlText w:val="%1"/>
      <w:numFmt w:val="lowerRoman"/>
      <w:start w:val="1"/>
    </w:lvl>
    <w:lvl w:ilvl="1">
      <w:lvlJc w:val="left"/>
      <w:lvlText w:val="(%2)"/>
      <w:numFmt w:val="lowerRoman"/>
      <w:start w:val="1"/>
    </w:lvl>
  </w:abstractNum>
  <w:abstractNum w:abstractNumId="108">
    <w:nsid w:val="5675FF36"/>
    <w:multiLevelType w:val="hybridMultilevel"/>
    <w:lvl w:ilvl="0">
      <w:lvlJc w:val="left"/>
      <w:lvlText w:val="(%1)"/>
      <w:numFmt w:val="lowerRoman"/>
      <w:start w:val="1"/>
    </w:lvl>
    <w:lvl w:ilvl="1">
      <w:lvlJc w:val="left"/>
      <w:lvlText w:val="%2"/>
      <w:numFmt w:val="lowerRoman"/>
      <w:start w:val="1"/>
    </w:lvl>
  </w:abstractNum>
  <w:abstractNum w:abstractNumId="109">
    <w:nsid w:val="3DD15094"/>
    <w:multiLevelType w:val="hybridMultilevel"/>
    <w:lvl w:ilvl="0">
      <w:lvlJc w:val="left"/>
      <w:lvlText w:val="(%1)"/>
      <w:numFmt w:val="lowerLetter"/>
      <w:start w:val="2"/>
    </w:lvl>
  </w:abstractNum>
  <w:abstractNum w:abstractNumId="110">
    <w:nsid w:val="3DB012B3"/>
    <w:multiLevelType w:val="hybridMultilevel"/>
    <w:lvl w:ilvl="0">
      <w:lvlJc w:val="left"/>
      <w:lvlText w:val="(%1)"/>
      <w:numFmt w:val="lowerRoman"/>
      <w:start w:val="1"/>
    </w:lvl>
  </w:abstractNum>
  <w:abstractNum w:abstractNumId="111">
    <w:nsid w:val="2708C9AF"/>
    <w:multiLevelType w:val="hybridMultilevel"/>
    <w:lvl w:ilvl="0">
      <w:lvlJc w:val="left"/>
      <w:lvlText w:val="(%1)"/>
      <w:numFmt w:val="lowerRoman"/>
      <w:start w:val="10"/>
    </w:lvl>
  </w:abstractNum>
  <w:abstractNum w:abstractNumId="112">
    <w:nsid w:val="5B25ACE2"/>
    <w:multiLevelType w:val="hybridMultilevel"/>
    <w:lvl w:ilvl="0">
      <w:lvlJc w:val="left"/>
      <w:lvlText w:val="(%1)"/>
      <w:numFmt w:val="lowerLetter"/>
      <w:start w:val="1"/>
    </w:lvl>
  </w:abstractNum>
  <w:abstractNum w:abstractNumId="113">
    <w:nsid w:val="175DFCF0"/>
    <w:multiLevelType w:val="hybridMultilevel"/>
    <w:lvl w:ilvl="0">
      <w:lvlJc w:val="left"/>
      <w:lvlText w:val="%1"/>
      <w:numFmt w:val="lowerLetter"/>
      <w:start w:val="1"/>
    </w:lvl>
    <w:lvl w:ilvl="1">
      <w:lvlJc w:val="left"/>
      <w:lvlText w:val="(%2)"/>
      <w:numFmt w:val="lowerLetter"/>
      <w:start w:val="6"/>
    </w:lvl>
  </w:abstractNum>
  <w:abstractNum w:abstractNumId="114">
    <w:nsid w:val="4F97E3E4"/>
    <w:multiLevelType w:val="hybridMultilevel"/>
    <w:lvl w:ilvl="0">
      <w:lvlJc w:val="left"/>
      <w:lvlText w:val="(%1)"/>
      <w:numFmt w:val="lowerLetter"/>
      <w:start w:val="9"/>
    </w:lvl>
    <w:lvl w:ilvl="1">
      <w:lvlJc w:val="left"/>
      <w:lvlText w:val="%2"/>
      <w:numFmt w:val="lowerLetter"/>
      <w:start w:val="1"/>
    </w:lvl>
  </w:abstractNum>
  <w:abstractNum w:abstractNumId="115">
    <w:nsid w:val="53B0A9E"/>
    <w:multiLevelType w:val="hybridMultilevel"/>
    <w:lvl w:ilvl="0">
      <w:lvlJc w:val="left"/>
      <w:lvlText w:val="(%1)"/>
      <w:numFmt w:val="lowerLetter"/>
      <w:start w:val="8"/>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lowerLetter"/>
      <w:start w:val="1"/>
    </w:lvl>
    <w:lvl w:ilvl="1">
      <w:lvlJc w:val="left"/>
      <w:lvlText w:val="(%2)"/>
      <w:numFmt w:val="lowerRoman"/>
      <w:start w:val="1"/>
    </w:lvl>
  </w:abstractNum>
  <w:abstractNum w:abstractNumId="118">
    <w:nsid w:val="56438D15"/>
    <w:multiLevelType w:val="hybridMultilevel"/>
    <w:lvl w:ilvl="0">
      <w:lvlJc w:val="left"/>
      <w:lvlText w:val="(%1)"/>
      <w:numFmt w:val="lowerLetter"/>
      <w:start w:val="3"/>
    </w:lvl>
  </w:abstractNum>
  <w:abstractNum w:abstractNumId="119">
    <w:nsid w:val="519E3149"/>
    <w:multiLevelType w:val="hybridMultilevel"/>
    <w:lvl w:ilvl="0">
      <w:lvlJc w:val="left"/>
      <w:lvlText w:val="(%1)"/>
      <w:numFmt w:val="lowerLetter"/>
      <w:start w:val="1"/>
    </w:lvl>
  </w:abstractNum>
  <w:abstractNum w:abstractNumId="120">
    <w:nsid w:val="2C6E4AFD"/>
    <w:multiLevelType w:val="hybridMultilevel"/>
    <w:lvl w:ilvl="0">
      <w:lvlJc w:val="left"/>
      <w:lvlText w:val="(%1)"/>
      <w:numFmt w:val="lowerLetter"/>
      <w:start w:val="7"/>
    </w:lvl>
  </w:abstractNum>
  <w:abstractNum w:abstractNumId="121">
    <w:nsid w:val="17A1B582"/>
    <w:multiLevelType w:val="hybridMultilevel"/>
    <w:lvl w:ilvl="0">
      <w:lvlJc w:val="left"/>
      <w:lvlText w:val="(%1)"/>
      <w:numFmt w:val="lowerLetter"/>
      <w:start w:val="2"/>
    </w:lvl>
  </w:abstractNum>
  <w:abstractNum w:abstractNumId="122">
    <w:nsid w:val="4DF72E4E"/>
    <w:multiLevelType w:val="hybridMultilevel"/>
    <w:lvl w:ilvl="0">
      <w:lvlJc w:val="left"/>
      <w:lvlText w:val="(%1)"/>
      <w:numFmt w:val="lowerRoman"/>
      <w:start w:val="1"/>
    </w:lvl>
  </w:abstractNum>
  <w:abstractNum w:abstractNumId="123">
    <w:nsid w:val="5046B5A9"/>
    <w:multiLevelType w:val="hybridMultilevel"/>
    <w:lvl w:ilvl="0">
      <w:lvlJc w:val="left"/>
      <w:lvlText w:val="(%1)"/>
      <w:numFmt w:val="lowerLetter"/>
      <w:start w:val="3"/>
    </w:lvl>
  </w:abstractNum>
  <w:abstractNum w:abstractNumId="124">
    <w:nsid w:val="5D888A08"/>
    <w:multiLevelType w:val="hybridMultilevel"/>
    <w:lvl w:ilvl="0">
      <w:lvlJc w:val="left"/>
      <w:lvlText w:val="(%1)"/>
      <w:numFmt w:val="lowerLetter"/>
      <w:start w:val="1"/>
    </w:lvl>
  </w:abstractNum>
  <w:abstractNum w:abstractNumId="125">
    <w:nsid w:val="2A082C70"/>
    <w:multiLevelType w:val="hybridMultilevel"/>
    <w:lvl w:ilvl="0">
      <w:lvlJc w:val="left"/>
      <w:lvlText w:val="(%1)"/>
      <w:numFmt w:val="lowerLetter"/>
      <w:start w:val="2"/>
    </w:lvl>
  </w:abstractNum>
  <w:abstractNum w:abstractNumId="126">
    <w:nsid w:val="5EC6AFD4"/>
    <w:multiLevelType w:val="hybridMultilevel"/>
    <w:lvl w:ilvl="0">
      <w:lvlJc w:val="left"/>
      <w:lvlText w:val="(%1)"/>
      <w:numFmt w:val="lowerRoman"/>
      <w:start w:val="3"/>
    </w:lvl>
  </w:abstractNum>
  <w:abstractNum w:abstractNumId="127">
    <w:nsid w:val="19E21BB2"/>
    <w:multiLevelType w:val="hybridMultilevel"/>
    <w:lvl w:ilvl="0">
      <w:lvlJc w:val="left"/>
      <w:lvlText w:val="(%1)"/>
      <w:numFmt w:val="lowerLetter"/>
      <w:start w:val="2"/>
    </w:lvl>
  </w:abstractNum>
  <w:abstractNum w:abstractNumId="128">
    <w:nsid w:val="75E0858A"/>
    <w:multiLevelType w:val="hybridMultilevel"/>
    <w:lvl w:ilvl="0">
      <w:lvlJc w:val="left"/>
      <w:lvlText w:val="(%1)"/>
      <w:numFmt w:val="lowerLetter"/>
      <w:start w:val="3"/>
    </w:lvl>
  </w:abstractNum>
  <w:abstractNum w:abstractNumId="129">
    <w:nsid w:val="57A61A29"/>
    <w:multiLevelType w:val="hybridMultilevel"/>
    <w:lvl w:ilvl="0">
      <w:lvlJc w:val="left"/>
      <w:lvlText w:val="(%1)"/>
      <w:numFmt w:val="decimal"/>
      <w:start w:val="1"/>
    </w:lvl>
  </w:abstractNum>
  <w:abstractNum w:abstractNumId="130">
    <w:nsid w:val="5399C654"/>
    <w:multiLevelType w:val="hybridMultilevel"/>
    <w:lvl w:ilvl="0">
      <w:lvlJc w:val="left"/>
      <w:lvlText w:val="(%1)"/>
      <w:numFmt w:val="decimal"/>
      <w:start w:val="3"/>
    </w:lvl>
  </w:abstractNum>
  <w:abstractNum w:abstractNumId="131">
    <w:nsid w:val="20EE1348"/>
    <w:multiLevelType w:val="hybridMultilevel"/>
    <w:lvl w:ilvl="0">
      <w:lvlJc w:val="left"/>
      <w:lvlText w:val="(%1)"/>
      <w:numFmt w:val="lowerRoman"/>
      <w:start w:val="1"/>
    </w:lvl>
    <w:lvl w:ilvl="1">
      <w:lvlJc w:val="left"/>
      <w:lvlText w:val="(%2)"/>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2019-12-13T12:29:27Z</dcterms:created>
  <dcterms:modified xsi:type="dcterms:W3CDTF">2019-12-13T12:29:27Z</dcterms:modified>
</cp:coreProperties>
</file>