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3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7"/>
          <w:szCs w:val="17"/>
          <w:b w:val="1"/>
          <w:bCs w:val="1"/>
          <w:color w:val="auto"/>
        </w:rPr>
        <w:t>Registration No. 333-_______</w:t>
      </w:r>
    </w:p>
    <w:p>
      <w:pPr>
        <w:spacing w:after="0" w:line="20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Murphy Oil Corporation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4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71-0361522</w:t>
            </w:r>
          </w:p>
        </w:tc>
      </w:tr>
      <w:tr>
        <w:trPr>
          <w:trHeight w:val="216"/>
        </w:trPr>
        <w:tc>
          <w:tcPr>
            <w:tcW w:w="444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7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7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444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9805 Katy Freeway, G-200</w:t>
            </w:r>
          </w:p>
        </w:tc>
        <w:tc>
          <w:tcPr>
            <w:tcW w:w="3760" w:type="dxa"/>
            <w:vAlign w:val="bottom"/>
          </w:tcPr>
          <w:p>
            <w:pPr>
              <w:spacing w:after="0"/>
              <w:rPr>
                <w:sz w:val="24"/>
                <w:szCs w:val="24"/>
                <w:color w:val="auto"/>
              </w:rPr>
            </w:pPr>
          </w:p>
        </w:tc>
      </w:tr>
      <w:tr>
        <w:trPr>
          <w:trHeight w:val="220"/>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7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77024-1269</w:t>
            </w:r>
          </w:p>
        </w:tc>
      </w:t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6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Murphy Oil Corporation 2026 Stock Plan for Non-Employee Directors</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Thomas J. Mireles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Murphy Oil Corporation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9805 Katy Freeway, G-200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Houston, TX 77024-1269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(281) 675-9000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2"/>
        </w:trPr>
        <w:tc>
          <w:tcPr>
            <w:tcW w:w="19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3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is omitted from this filing and is included in documents sent or provided to participants of the Murphy Oil Corporation 2026 Stock Plan for Non-Employee Directors (the “Plan”) covered by this Registration Statement on Form S-8 (this “Registration Statement”) pursuant to Rule 428(b)(1) of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the Securities Act and the Securities Exchange Act of 1934, as amended (the “Exchange Act”), are incorporated herein by reference:</w:t>
      </w:r>
    </w:p>
    <w:p>
      <w:pPr>
        <w:spacing w:after="0" w:line="162" w:lineRule="exact"/>
        <w:rPr>
          <w:sz w:val="20"/>
          <w:szCs w:val="20"/>
          <w:color w:val="auto"/>
        </w:rPr>
      </w:pPr>
    </w:p>
    <w:p>
      <w:pPr>
        <w:ind w:left="660" w:right="1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2025, filed with the Commission on February 25, 2026 (the “Annual Report”);</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definitive proxy statement on Schedule 14A (subject to the provisions thereof which provide that they are not incorporated by reference into Securities Act filings), filed with the Commission on March 27, 2026;</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quarterly period ending on March 31, 2026, filed with the Commission on May 6, 2026;</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as filed with the Commission on January 6, 2026 (excluding the information disclosed pursuant to Items 2.02 and 7.01 and Exhibits 99.1 and 99.2); January 8, 2026, January 23, 2026, May 14, 2026 and June 11, 2026;</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(other than the reports, or portions thereof, deemed to have been furnished and not filed with the Commission) since the end of the fiscal year covered by the Registrant’s Annual Report referred to in (a) above; and</w:t>
      </w:r>
    </w:p>
    <w:p>
      <w:pPr>
        <w:spacing w:after="0" w:line="202"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Exhibit 4.9 to the Registrant’s Annual Report on Form 10-K filed with the Commission February 27, 2020, including any amendments or reports filed for the purpose of updating such description.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Unless expressly incorporated into this Registration Statement, a report furnished on Form 8-K prior or subsequent to the filing of this Registration Statement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validity of the shares of original issuance common stock offered under this Registration Statement is being passed upon for the Registrant by Roger Landes, Esq., Interim General Counsel and Corporate Secretary of the Registrant. Mr. Landes is an officer and employee of the Registrant. Mr. Landes is, therefore, not eligible to participate in the Plan. As of the date of this Registration Statement, Mr. Landes beneficially owns securities of the Registrant, including options to acquire such securities and restricted stock units in respect of such securities, with a fair market value in excess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shareholders or disinterested directors or otherwise. Article VIII of the Registrant’s Bylaws provides for indemnification by the Registrant of its directors and officers to the fullest extent permitted by the Delaware General Corporation Law, and the Registrant’s board of directors may provide indemnification to the employees and agents of the Registrant as the board of directors determines appropriate and authorized by the Delaware General Corporation Law.</w:t>
      </w:r>
    </w:p>
    <w:p>
      <w:pPr>
        <w:spacing w:after="0" w:line="192"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or redemptions, or</w:t>
      </w:r>
    </w:p>
    <w:p>
      <w:pPr>
        <w:spacing w:after="0" w:line="3" w:lineRule="exact"/>
        <w:rPr>
          <w:sz w:val="20"/>
          <w:szCs w:val="20"/>
          <w:color w:val="auto"/>
        </w:rPr>
      </w:pPr>
    </w:p>
    <w:p>
      <w:pPr>
        <w:ind w:right="540" w:firstLine="8"/>
        <w:spacing w:after="0" w:line="260"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for such limitation of liability.</w:t>
      </w:r>
    </w:p>
    <w:p>
      <w:pPr>
        <w:spacing w:after="0" w:line="1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Registrant maintains insurance for its officers and directors against certain liabilities, including liabilities under the Securities Act of 1933, under insurance policies, the premiums of which are paid by the Registrant. The effect of these is to indemnify any officer or director of the Registrant against expenses, judgments, attorney’s fees and other amounts paid in settlements incurred by an officer or director upon a determination that such person acted in good faith.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for Registration Claimed.</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Certificate of Incorporation of the Registrant, as amended effective May 11, 2005 (filed as Exhibit 3.1 to the Registrant’s Form 10-K filed</w:t>
              </w:r>
            </w:hyperlink>
          </w:p>
        </w:tc>
        <w:tc>
          <w:tcPr>
            <w:tcW w:w="40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3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February 28, 2011 (Commission File No. 001-08590) and included herein by reference).</w:t>
              </w:r>
            </w:hyperlink>
          </w:p>
        </w:tc>
        <w:tc>
          <w:tcPr>
            <w:tcW w:w="3960" w:type="dxa"/>
            <w:vAlign w:val="bottom"/>
            <w:gridSpan w:val="6"/>
          </w:tcPr>
          <w:p>
            <w:pPr>
              <w:spacing w:after="0"/>
              <w:rPr>
                <w:sz w:val="17"/>
                <w:szCs w:val="17"/>
                <w:color w:val="auto"/>
              </w:rPr>
            </w:pPr>
          </w:p>
        </w:tc>
      </w:tr>
      <w:tr>
        <w:trPr>
          <w:trHeight w:val="412"/>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Bylaws of the Registrant, as amended effective August 5, 2020 (filed as Exhibit 3.2 to the Registrant’s Form 10-Q filed August 6, 2020</w:t>
              </w:r>
            </w:hyperlink>
          </w:p>
        </w:tc>
        <w:tc>
          <w:tcPr>
            <w:tcW w:w="58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gridSpan w:val="13"/>
          </w:tcPr>
          <w:p>
            <w:pPr>
              <w:spacing w:after="0" w:line="196" w:lineRule="exact"/>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(Commission File No. 001-08590) and included herein by reference).</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5.</w:t>
            </w:r>
            <w:r>
              <w:rPr>
                <w:rFonts w:ascii="Times New Roman" w:cs="Times New Roman" w:eastAsia="Times New Roman" w:hAnsi="Times New Roman"/>
                <w:sz w:val="18"/>
                <w:szCs w:val="18"/>
                <w:u w:val="single" w:color="auto"/>
                <w:color w:val="0000FF"/>
                <w:w w:val="9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Opinion of Roger Landes, Interim General Counsel and Corporate Secretary of Murphy Oil Corporation, with respect to the original issuance</w:t>
            </w:r>
          </w:p>
        </w:tc>
        <w:tc>
          <w:tcPr>
            <w:tcW w:w="1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Registrant common stock under the Plan (filed herewith).</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 KPMG LLP (filed herewith).</w:t>
            </w:r>
          </w:p>
        </w:tc>
        <w:tc>
          <w:tcPr>
            <w:tcW w:w="3860" w:type="dxa"/>
            <w:vAlign w:val="bottom"/>
            <w:gridSpan w:val="5"/>
          </w:tcPr>
          <w:p>
            <w:pPr>
              <w:spacing w:after="0"/>
              <w:rPr>
                <w:sz w:val="24"/>
                <w:szCs w:val="24"/>
                <w:color w:val="auto"/>
              </w:rPr>
            </w:pPr>
          </w:p>
        </w:tc>
      </w:tr>
      <w:tr>
        <w:trPr>
          <w:trHeight w:val="412"/>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Roger Landes, Interim General Counsel and Corporate Secretary of Murphy Oil Corporation, with respect to the original issuance</w:t>
            </w:r>
          </w:p>
        </w:tc>
        <w:tc>
          <w:tcPr>
            <w:tcW w:w="1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3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Registrant common stock under the Plan (contained in Exhibit 5.1).</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 Registration Statement).</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3">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Murphy Oil Corporation 2026 Stock Plan for Non-Employee Directors (filed as Exhibit A to the Registrant’s Proxy Statement filed March 27,</w:t>
              </w:r>
            </w:hyperlink>
          </w:p>
        </w:tc>
        <w:tc>
          <w:tcPr>
            <w:tcW w:w="8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2026 (Commission File No. 001-08590) and included herein by reference).</w:t>
              </w:r>
            </w:hyperlink>
          </w:p>
        </w:tc>
        <w:tc>
          <w:tcPr>
            <w:tcW w:w="4920" w:type="dxa"/>
            <w:vAlign w:val="bottom"/>
            <w:gridSpan w:val="8"/>
          </w:tcPr>
          <w:p>
            <w:pPr>
              <w:spacing w:after="0"/>
              <w:rPr>
                <w:sz w:val="17"/>
                <w:szCs w:val="17"/>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103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Filing Fee Table (filed herewith)</w:t>
            </w:r>
          </w:p>
        </w:tc>
      </w:tr>
      <w:tr>
        <w:trPr>
          <w:trHeight w:val="790"/>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top w:val="single" w:sz="8" w:color="0000FF"/>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3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7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not previously disclosed in this Registration Statement or any material change to such information in this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undertakings set forth in paragraphs (a)(1)(i)and (a)(1)(ii)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this Registration Statement;</w:t>
      </w:r>
    </w:p>
    <w:p>
      <w:pPr>
        <w:spacing w:after="0" w:line="175" w:lineRule="exact"/>
        <w:rPr>
          <w:sz w:val="20"/>
          <w:szCs w:val="20"/>
          <w:color w:val="auto"/>
        </w:rPr>
      </w:pPr>
    </w:p>
    <w:p>
      <w:pPr>
        <w:jc w:val="both"/>
        <w:ind w:left="660" w:firstLine="644"/>
        <w:spacing w:after="0" w:line="266" w:lineRule="auto"/>
        <w:tabs>
          <w:tab w:leader="none" w:pos="15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the City of Houston, State of Texas, on this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4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MURPHY OIL CORPORATION</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Thomas J. Mireles</w:t>
      </w:r>
    </w:p>
    <w:p>
      <w:pPr>
        <w:spacing w:after="0" w:line="23" w:lineRule="exact"/>
        <w:rPr>
          <w:sz w:val="20"/>
          <w:szCs w:val="20"/>
          <w:color w:val="auto"/>
        </w:rPr>
      </w:pPr>
    </w:p>
    <w:p>
      <w:pPr>
        <w:ind w:left="5860"/>
        <w:spacing w:after="0"/>
        <w:tabs>
          <w:tab w:leader="none" w:pos="65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Thomas J. Mireles and Eric M. Hambly, and each of them, the true and lawful attorneys-in-fact of the undersigned, with full power of substitution and resubstitution, for him or her and in his or her name, place and stead, in any and all capacities, to sign this registration statement and any or all amendments to this registration statement, including post-effective amendments, and registration statements filed pursuant to Rules 413 or 462 under the Securities Act of 1933, and to file or cause to file the same, with all exhibits thereto, and other documents in connection therewith, with the Securities and Exchange Commission, granting unto said attorneys-in-fact full power and authority to do and perform each and every act and thing requisite and necessary to be done in and about the premises, as fully to all intents and purposes as he or she might or could do in person, hereby ratifying and confirming all that said attorneys or attorneys-in-fact or any of them or their substitute or substitutes may lawfully do or cause to be done by virtue hereof.</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June 17, 2026 in the capacities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0" w:type="dxa"/>
            <w:vAlign w:val="bottom"/>
          </w:tcPr>
          <w:p>
            <w:pPr>
              <w:spacing w:after="0"/>
              <w:rPr>
                <w:sz w:val="20"/>
                <w:szCs w:val="20"/>
                <w:color w:val="auto"/>
              </w:rPr>
            </w:pPr>
          </w:p>
        </w:tc>
        <w:tc>
          <w:tcPr>
            <w:tcW w:w="7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6"/>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Claiborne P. Deming</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Claiborne P. Deming</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Hambly</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M. Hambly</w:t>
            </w:r>
          </w:p>
        </w:tc>
        <w:tc>
          <w:tcPr>
            <w:tcW w:w="8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R. Dickerson</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Lawrence R. Dickerson</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Michelle A. Earley</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Michelle A. Earley</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Elisabeth W. Keller</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Elisabeth W. Keller</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Madison Murphy</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 Madison Murphy</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 Nolan</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Jeffrey W. Nolan</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N. Ryan, Jr.</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Robert N. Ryan, Jr.</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A. Sugg</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Laura A. Sugg</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Tudor, III</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Robert B. Tudor, III</w:t>
            </w:r>
          </w:p>
        </w:tc>
        <w:tc>
          <w:tcPr>
            <w:tcW w:w="8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J. Mireles</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J. Mireles</w:t>
            </w:r>
          </w:p>
        </w:tc>
        <w:tc>
          <w:tcPr>
            <w:tcW w:w="8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410"/>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D. Vaughan</w:t>
            </w:r>
          </w:p>
        </w:tc>
        <w:tc>
          <w:tcPr>
            <w:tcW w:w="8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&amp; Controller</w:t>
            </w: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Paul D. Vaughan</w:t>
            </w:r>
          </w:p>
        </w:tc>
        <w:tc>
          <w:tcPr>
            <w:tcW w:w="8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r>
      <w:tr>
        <w:trPr>
          <w:trHeight w:val="572"/>
        </w:trPr>
        <w:tc>
          <w:tcPr>
            <w:tcW w:w="3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163195</wp:posOffset>
            </wp:positionV>
            <wp:extent cx="103695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3E6F"/>
        </w:rPr>
        <w:t>Roger W. Landes</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3E6F"/>
        </w:rPr>
        <w:t>Interim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June 17,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Murphy Oil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9805 Katy Freeway, G-200</w:t>
      </w:r>
    </w:p>
    <w:p>
      <w:pPr>
        <w:spacing w:after="0"/>
        <w:rPr>
          <w:sz w:val="20"/>
          <w:szCs w:val="20"/>
          <w:color w:val="auto"/>
        </w:rPr>
      </w:pPr>
      <w:r>
        <w:rPr>
          <w:rFonts w:ascii="Arial" w:cs="Arial" w:eastAsia="Arial" w:hAnsi="Arial"/>
          <w:sz w:val="18"/>
          <w:szCs w:val="18"/>
          <w:color w:val="auto"/>
        </w:rPr>
        <w:t>Houston, TX 77024</w:t>
      </w:r>
    </w:p>
    <w:p>
      <w:pPr>
        <w:spacing w:after="0" w:line="180" w:lineRule="exact"/>
        <w:rPr>
          <w:sz w:val="20"/>
          <w:szCs w:val="20"/>
          <w:color w:val="auto"/>
        </w:rPr>
      </w:pPr>
    </w:p>
    <w:p>
      <w:pPr>
        <w:ind w:right="5020"/>
        <w:spacing w:after="0" w:line="469" w:lineRule="auto"/>
        <w:rPr>
          <w:sz w:val="20"/>
          <w:szCs w:val="20"/>
          <w:color w:val="auto"/>
        </w:rPr>
      </w:pPr>
      <w:r>
        <w:rPr>
          <w:rFonts w:ascii="Arial" w:cs="Arial" w:eastAsia="Arial" w:hAnsi="Arial"/>
          <w:sz w:val="18"/>
          <w:szCs w:val="18"/>
          <w:b w:val="1"/>
          <w:bCs w:val="1"/>
          <w:color w:val="auto"/>
        </w:rPr>
        <w:t xml:space="preserve">Re: Murphy Oil Corporation 2026 Stock Plan for Non-Employee Directors </w:t>
      </w:r>
      <w:r>
        <w:rPr>
          <w:rFonts w:ascii="Arial" w:cs="Arial" w:eastAsia="Arial" w:hAnsi="Arial"/>
          <w:sz w:val="18"/>
          <w:szCs w:val="18"/>
          <w:color w:val="auto"/>
        </w:rPr>
        <w:t>Ladies and Gentlemen:</w:t>
      </w:r>
    </w:p>
    <w:p>
      <w:pPr>
        <w:spacing w:after="0" w:line="1" w:lineRule="exact"/>
        <w:rPr>
          <w:sz w:val="20"/>
          <w:szCs w:val="20"/>
          <w:color w:val="auto"/>
        </w:rPr>
      </w:pPr>
    </w:p>
    <w:p>
      <w:pPr>
        <w:jc w:val="both"/>
        <w:ind w:left="100" w:firstLine="583"/>
        <w:spacing w:after="0" w:line="250" w:lineRule="auto"/>
        <w:rPr>
          <w:sz w:val="20"/>
          <w:szCs w:val="20"/>
          <w:color w:val="auto"/>
        </w:rPr>
      </w:pPr>
      <w:r>
        <w:rPr>
          <w:rFonts w:ascii="Arial" w:cs="Arial" w:eastAsia="Arial" w:hAnsi="Arial"/>
          <w:sz w:val="18"/>
          <w:szCs w:val="18"/>
          <w:color w:val="auto"/>
        </w:rPr>
        <w:t>As Interim General Counsel and Corporate Secretary of Murphy Oil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 advise you as follows in connection with the filing by the Company of a registration statement on Form S-8 under the Securities Act of 1933,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respect to 900,000 shares of common stock, $1.00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issuable pursuant to the Murphy Oil Corporation 2026 Stock Plan for Non-Employee Directors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50" w:lineRule="exact"/>
        <w:rPr>
          <w:sz w:val="20"/>
          <w:szCs w:val="20"/>
          <w:color w:val="auto"/>
        </w:rPr>
      </w:pPr>
    </w:p>
    <w:p>
      <w:pPr>
        <w:jc w:val="both"/>
        <w:ind w:left="100" w:firstLine="583"/>
        <w:spacing w:after="0" w:line="244" w:lineRule="auto"/>
        <w:rPr>
          <w:sz w:val="20"/>
          <w:szCs w:val="20"/>
          <w:color w:val="auto"/>
        </w:rPr>
      </w:pPr>
      <w:r>
        <w:rPr>
          <w:rFonts w:ascii="Arial" w:cs="Arial" w:eastAsia="Arial" w:hAnsi="Arial"/>
          <w:sz w:val="18"/>
          <w:szCs w:val="18"/>
          <w:color w:val="auto"/>
        </w:rPr>
        <w:t>As Interim General Counsel and Corporate Secretary for the Company, I, or attorneys under my supervision, have participated in the preparation of the Registration Statement and have examined and relied upon such documents, opinions, precedents, records and other materials as I have deemed necessary or appropriate to provide a basis for the opinion set forth below. In this examination, I have assumed the genuineness of all signatures, the authenticity of all documents submitted to me as original documents and conformity to original documents of all documents submitted to me as certified or photostatic copies.</w:t>
      </w:r>
    </w:p>
    <w:p>
      <w:pPr>
        <w:spacing w:after="0" w:line="163" w:lineRule="exact"/>
        <w:rPr>
          <w:sz w:val="20"/>
          <w:szCs w:val="20"/>
          <w:color w:val="auto"/>
        </w:rPr>
      </w:pPr>
    </w:p>
    <w:p>
      <w:pPr>
        <w:jc w:val="both"/>
        <w:ind w:left="100" w:firstLine="551"/>
        <w:spacing w:after="0" w:line="253" w:lineRule="auto"/>
        <w:rPr>
          <w:sz w:val="20"/>
          <w:szCs w:val="20"/>
          <w:color w:val="auto"/>
        </w:rPr>
      </w:pPr>
      <w:r>
        <w:rPr>
          <w:rFonts w:ascii="Arial" w:cs="Arial" w:eastAsia="Arial" w:hAnsi="Arial"/>
          <w:sz w:val="18"/>
          <w:szCs w:val="18"/>
          <w:color w:val="auto"/>
        </w:rPr>
        <w:t>Based on the foregoing, I am of the opinion that shares of original issuance Common Stock deliverable pursuant to the Plan, when delivered in accordance with the Plan upon receipt by the Company of adequate consideration therefor, will be duly authorized, validly issued, fully paid and nonassessable.</w:t>
      </w:r>
    </w:p>
    <w:p>
      <w:pPr>
        <w:spacing w:after="0" w:line="15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 hereby consent to the filing of this opinion with the Securities and Exchange Commission as an exhibit to the Registration Statement.</w:t>
      </w:r>
    </w:p>
    <w:p>
      <w:pPr>
        <w:spacing w:after="0" w:line="14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Roger W. Landes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17780</wp:posOffset>
            </wp:positionV>
            <wp:extent cx="2494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Roger W. Landes</w:t>
      </w:r>
    </w:p>
    <w:p>
      <w:pPr>
        <w:ind w:left="7320"/>
        <w:spacing w:after="0"/>
        <w:rPr>
          <w:sz w:val="20"/>
          <w:szCs w:val="20"/>
          <w:color w:val="auto"/>
        </w:rPr>
      </w:pPr>
      <w:r>
        <w:rPr>
          <w:rFonts w:ascii="Arial" w:cs="Arial" w:eastAsia="Arial" w:hAnsi="Arial"/>
          <w:sz w:val="18"/>
          <w:szCs w:val="18"/>
          <w:color w:val="auto"/>
        </w:rPr>
        <w:t>Interim General Counsel and Corporate</w:t>
      </w:r>
    </w:p>
    <w:p>
      <w:pPr>
        <w:ind w:left="7320"/>
        <w:spacing w:after="0"/>
        <w:rPr>
          <w:sz w:val="20"/>
          <w:szCs w:val="20"/>
          <w:color w:val="auto"/>
        </w:rPr>
      </w:pPr>
      <w:r>
        <w:rPr>
          <w:rFonts w:ascii="Arial" w:cs="Arial" w:eastAsia="Arial" w:hAnsi="Arial"/>
          <w:sz w:val="18"/>
          <w:szCs w:val="18"/>
          <w:color w:val="auto"/>
        </w:rPr>
        <w:t>Secretary</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003C71"/>
        </w:rPr>
        <w:t>9805 Katy Freeway, G-200, Houston, TX 77024</w:t>
      </w:r>
    </w:p>
    <w:p>
      <w:pPr>
        <w:spacing w:after="0" w:line="21" w:lineRule="exact"/>
        <w:rPr>
          <w:sz w:val="20"/>
          <w:szCs w:val="20"/>
          <w:color w:val="auto"/>
        </w:rPr>
      </w:pPr>
    </w:p>
    <w:p>
      <w:pPr>
        <w:ind w:left="100" w:hanging="92"/>
        <w:spacing w:after="0"/>
        <w:tabs>
          <w:tab w:leader="none" w:pos="100" w:val="left"/>
        </w:tabs>
        <w:numPr>
          <w:ilvl w:val="0"/>
          <w:numId w:val="6"/>
        </w:numPr>
        <w:rPr>
          <w:rFonts w:ascii="Arial" w:cs="Arial" w:eastAsia="Arial" w:hAnsi="Arial"/>
          <w:sz w:val="16"/>
          <w:szCs w:val="16"/>
          <w:b w:val="1"/>
          <w:bCs w:val="1"/>
          <w:color w:val="003C71"/>
        </w:rPr>
      </w:pPr>
      <w:r>
        <w:rPr>
          <w:rFonts w:ascii="Arial" w:cs="Arial" w:eastAsia="Arial" w:hAnsi="Arial"/>
          <w:sz w:val="16"/>
          <w:szCs w:val="16"/>
          <w:color w:val="003C71"/>
        </w:rPr>
        <w:t>281-675-9000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337820</wp:posOffset>
            </wp:positionV>
            <wp:extent cx="80581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KPMG LLP</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811 Main Street</w:t>
      </w:r>
    </w:p>
    <w:p>
      <w:pPr>
        <w:ind w:left="3740"/>
        <w:spacing w:after="0"/>
        <w:rPr>
          <w:sz w:val="20"/>
          <w:szCs w:val="20"/>
          <w:color w:val="auto"/>
        </w:rPr>
      </w:pPr>
      <w:r>
        <w:rPr>
          <w:rFonts w:ascii="Arial" w:cs="Arial" w:eastAsia="Arial" w:hAnsi="Arial"/>
          <w:sz w:val="18"/>
          <w:szCs w:val="18"/>
          <w:color w:val="auto"/>
        </w:rPr>
        <w:t>Houston, TX 77002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We consent to the use of our reports dated February 25, 2026, with respect to the consolidated financial statements of Murphy Oil Corporation and subsidiaries, and the effectiveness of internal control over financial reporting,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118110</wp:posOffset>
            </wp:positionV>
            <wp:extent cx="113157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315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17, 2026</w:t>
      </w:r>
    </w:p>
    <w:p>
      <w:pPr>
        <w:spacing w:after="0" w:line="200" w:lineRule="exact"/>
        <w:rPr>
          <w:sz w:val="20"/>
          <w:szCs w:val="20"/>
          <w:color w:val="auto"/>
        </w:rPr>
      </w:pPr>
    </w:p>
    <w:p>
      <w:pPr>
        <w:spacing w:after="0" w:line="29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KPMG LLP, a Delaware limited liability partnership,</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and its subsidiaries are part of</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the KPMG global organization of independent</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member firms affiliated with KPMG</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International Limited, a private English company</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Murphy Oil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35.86</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32,274,000.00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$ 4,457.04</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32,274,000.00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4,457.04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$ 4,457.04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(i) 900,000 shares of common stock, par value $1.00 per share (“Common Stock”) of Murphy Oil Corporation (the “Registrant”) authorized for issuance under the Murphy Oil Corporation 2026 Stock Plan for Non-Employee Directors (the “Plan”) and (ii) pursuant to Rule 416(a) under the Securities Act of 1933, as amended (the “Securities Act”), any additional shares of Common Stock that may become issuable under the Plan by reason of any share dividend, share split or other similar transaction.</w:t>
      </w:r>
    </w:p>
    <w:p>
      <w:pPr>
        <w:spacing w:after="0" w:line="179"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is estimated in accordance with Rule 457(c) and (h) solely for purposes of calculating the registration fee on the basis of $35.86, the average of the high and low prices of the Registrant’s shares of Common Stock as reported on the New York Stock Exchange on June 16, 2026, which date is within five business days prior to filing this Registration Statement. The Proposed Maximum Offering Price Per Share, Maximum Aggregate Offering Price and Amount of Registration Fee is rounded up to the nearest penny.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Roman"/>
      <w:start w:val="4"/>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t"/>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1" Type="http://schemas.openxmlformats.org/officeDocument/2006/relationships/hyperlink" Target="https://www.sec.gov/Archives/edgar/data/717423/000119312511049276/dex31.htm" TargetMode="External"/><Relationship Id="rId12" Type="http://schemas.openxmlformats.org/officeDocument/2006/relationships/hyperlink" Target="https://www.sec.gov/Archives/edgar/data/717423/000071742320000051/mur-20200630xex32ng.htm" TargetMode="External"/><Relationship Id="rId13" Type="http://schemas.openxmlformats.org/officeDocument/2006/relationships/hyperlink" Target="https://www.sec.gov/ix?doc=/Archives/edgar/data/717423/000119312526127236/d903131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2026-06-17T16:28:05Z</dcterms:created>
  <dcterms:modified xsi:type="dcterms:W3CDTF">2026-06-17T16:28:05Z</dcterms:modified>
</cp:coreProperties>
</file>