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UNITED STATES SECURITIES AND EXCHANGE COMMISSION</w:t>
      </w:r>
    </w:p>
    <w:p>
      <w:pPr>
        <w:ind w:left="222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 /X/ QUARTERLY REPORT PURSUANT TO SECTION 13 OR 15(d)</w:t>
      </w:r>
    </w:p>
    <w:p>
      <w:pPr>
        <w:ind w:left="158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For the quarterly period ended June 30, 1994</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580" w:right="3999" w:hanging="413"/>
        <w:spacing w:after="0" w:line="290"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6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For the transition period from ------------ to -------------</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Commission File Number 1-8590</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MURPHY OIL CORPORATION</w:t>
      </w:r>
    </w:p>
    <w:p>
      <w:pPr>
        <w:ind w:left="42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0" w:gutter="0" w:footer="0" w:header="0"/>
        </w:sectPr>
      </w:pP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71-0361522</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4"/>
          <w:szCs w:val="24"/>
          <w:color w:val="auto"/>
        </w:rPr>
      </w:pPr>
    </w:p>
    <w:p>
      <w:pPr>
        <w:sectPr>
          <w:pgSz w:w="11900" w:h="16838" w:orient="portrait"/>
          <w:cols w:equalWidth="0" w:num="2">
            <w:col w:w="3820" w:space="720"/>
            <w:col w:w="5679"/>
          </w:cols>
          <w:pgMar w:left="240" w:top="250" w:right="1440" w:bottom="0" w:gutter="0" w:footer="0" w:header="0"/>
          <w:type w:val="continuous"/>
        </w:sect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200 PEACH STREET</w:t>
      </w:r>
    </w:p>
    <w:p>
      <w:pPr>
        <w:ind w:left="220"/>
        <w:spacing w:after="0" w:line="238" w:lineRule="auto"/>
        <w:rPr>
          <w:sz w:val="20"/>
          <w:szCs w:val="20"/>
          <w:color w:val="auto"/>
        </w:rPr>
      </w:pPr>
      <w:r>
        <w:rPr>
          <w:rFonts w:ascii="Courier New" w:cs="Courier New" w:eastAsia="Courier New" w:hAnsi="Courier New"/>
          <w:sz w:val="18"/>
          <w:szCs w:val="18"/>
          <w:color w:val="auto"/>
        </w:rPr>
        <w:t>P. O. BOX 7000, EL DORADO, ARKANSAS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71731-7000</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4980" w:space="720"/>
            <w:col w:w="4519"/>
          </w:cols>
          <w:pgMar w:left="240" w:top="250" w:right="1440" w:bottom="0" w:gutter="0" w:footer="0" w:header="0"/>
          <w:type w:val="continuous"/>
        </w:sectPr>
      </w:pPr>
    </w:p>
    <w:p>
      <w:pPr>
        <w:spacing w:after="0" w:line="226"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(501) 862-6411</w:t>
      </w:r>
    </w:p>
    <w:p>
      <w:pPr>
        <w:sectPr>
          <w:pgSz w:w="11900" w:h="16838" w:orient="portrait"/>
          <w:cols w:equalWidth="0" w:num="1">
            <w:col w:w="10219"/>
          </w:cols>
          <w:pgMar w:left="240" w:top="250" w:right="1440" w:bottom="0" w:gutter="0" w:footer="0" w:header="0"/>
          <w:type w:val="continuous"/>
        </w:sectPr>
      </w:pPr>
    </w:p>
    <w:p>
      <w:pPr>
        <w:spacing w:after="0" w:line="1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4" w:lineRule="exact"/>
        <w:rPr>
          <w:sz w:val="24"/>
          <w:szCs w:val="24"/>
          <w:color w:val="auto"/>
        </w:rPr>
      </w:pPr>
    </w:p>
    <w:p>
      <w:pPr>
        <w:ind w:left="3900"/>
        <w:spacing w:after="0"/>
        <w:tabs>
          <w:tab w:leader="none" w:pos="5360" w:val="left"/>
        </w:tabs>
        <w:rPr>
          <w:sz w:val="20"/>
          <w:szCs w:val="20"/>
          <w:color w:val="auto"/>
        </w:rPr>
      </w:pPr>
      <w:r>
        <w:rPr>
          <w:rFonts w:ascii="Courier New" w:cs="Courier New" w:eastAsia="Courier New" w:hAnsi="Courier New"/>
          <w:sz w:val="18"/>
          <w:szCs w:val="18"/>
          <w:color w:val="auto"/>
        </w:rPr>
        <w:t>/X/ Yes</w:t>
      </w:r>
      <w:r>
        <w:rPr>
          <w:sz w:val="20"/>
          <w:szCs w:val="20"/>
          <w:color w:val="auto"/>
        </w:rPr>
        <w:tab/>
      </w:r>
      <w:r>
        <w:rPr>
          <w:rFonts w:ascii="Courier New" w:cs="Courier New" w:eastAsia="Courier New" w:hAnsi="Courier New"/>
          <w:sz w:val="16"/>
          <w:szCs w:val="16"/>
          <w:color w:val="auto"/>
        </w:rPr>
        <w:t>/ / No</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Number of shares of Common Stock, $1.00 par value, outstanding at June 30, 1994, was 44,830,914.</w:t>
      </w:r>
    </w:p>
    <w:p>
      <w:pPr>
        <w:spacing w:after="0" w:line="208"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9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 - FINANCIAL INFORMATION</w:t>
      </w:r>
    </w:p>
    <w:p>
      <w:pPr>
        <w:spacing w:after="0" w:line="201"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8"/>
          <w:szCs w:val="18"/>
          <w:color w:val="auto"/>
        </w:rPr>
        <w:t>Murphy Oil Corporation and Consolidated Subsidiaries</w:t>
      </w:r>
    </w:p>
    <w:p>
      <w:pPr>
        <w:ind w:left="222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2540"/>
        <w:spacing w:after="0"/>
        <w:rPr>
          <w:sz w:val="20"/>
          <w:szCs w:val="20"/>
          <w:color w:val="auto"/>
        </w:rPr>
      </w:pPr>
      <w:r>
        <w:rPr>
          <w:rFonts w:ascii="Courier New" w:cs="Courier New" w:eastAsia="Courier New" w:hAnsi="Courier New"/>
          <w:sz w:val="18"/>
          <w:szCs w:val="18"/>
          <w:color w:val="auto"/>
        </w:rPr>
        <w:t>(Thousands of dollars)</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(Unaudited)</w:t>
            </w:r>
          </w:p>
        </w:tc>
        <w:tc>
          <w:tcPr>
            <w:tcW w:w="136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June 30,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1994</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interest-bearing deposits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25,560</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26,876</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75,729</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114,349</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101,289</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141,225</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Accounts receivable, less allowance</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 doubtful accounts of $5,495 in</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1994 and $5,379 in 1993</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196,906</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196,214</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0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Crude oil and raw materials</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63,014</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76,741</w:t>
            </w:r>
          </w:p>
        </w:tc>
      </w:tr>
    </w:tbl>
    <w:p>
      <w:pPr>
        <w:sectPr>
          <w:pgSz w:w="11900" w:h="16838" w:orient="portrait"/>
          <w:cols w:equalWidth="0" w:num="1">
            <w:col w:w="10219"/>
          </w:cols>
          <w:pgMar w:left="240" w:top="250"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ind w:left="420"/>
              <w:spacing w:after="0"/>
              <w:rPr>
                <w:sz w:val="20"/>
                <w:szCs w:val="20"/>
                <w:color w:val="auto"/>
              </w:rPr>
            </w:pPr>
            <w:r>
              <w:rPr>
                <w:rFonts w:ascii="Courier New" w:cs="Courier New" w:eastAsia="Courier New" w:hAnsi="Courier New"/>
                <w:sz w:val="18"/>
                <w:szCs w:val="18"/>
                <w:color w:val="auto"/>
              </w:rPr>
              <w:t>Finished products</w:t>
            </w:r>
          </w:p>
        </w:tc>
        <w:tc>
          <w:tcPr>
            <w:tcW w:w="200" w:type="dxa"/>
            <w:vAlign w:val="bottom"/>
          </w:tcPr>
          <w:p>
            <w:pPr>
              <w:spacing w:after="0"/>
              <w:rPr>
                <w:sz w:val="17"/>
                <w:szCs w:val="17"/>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42,483</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42,959</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Materials and supplies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35,646</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32,323</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48,303</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35,042</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19,937</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18,497</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507,578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543,001</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Investments and noncurrent receivables</w:t>
            </w:r>
          </w:p>
        </w:tc>
        <w:tc>
          <w:tcPr>
            <w:tcW w:w="20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29,273</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42,518</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 at</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cost less accumulated depreciation,</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depletion, and amortization of</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$2,273,181 in 1994 and $2,180,732</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 1993</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1,627,980</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1,549,250</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charges and other assets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40,114</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34,090</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2,204,945</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2,168,859</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maturities of long-term</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obligations</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10,925</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10,859</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and accrued</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liabilities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368,022</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372,606</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21,017</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29,294</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399,964</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412,759</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Notes payable and other long-term</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obligations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21,807</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21,709</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Nonrecourse debt of a subsidiary</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108,081</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87,509</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123,047</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117,571</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Reserve for dismantlement costs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131,782</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123,107</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Reserve for major repairs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24,061</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26,023</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Deferred credits and other liabilities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153,916</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157,831</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stock</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3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Cumulative Preferred Stock, par $100,</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authorized 400,000 shares, none</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issued</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Common Stock, par $1.00, authorized</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3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6"/>
              </w:rPr>
              <w:t>80,000,000 shares, issued 48,775,314</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48,775</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48,775</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507,750</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507,292</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794,268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772,172</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Currency translation adjustments</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(4,035)</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(1,514)</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Unamortized restricted stock awards</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(660)</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Treasury stock, 3,944,400 shares of</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in 1994, 3,967,631</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in 1993, at cost</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(103,107)</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(103,715)</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1,242,287</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1,222,350</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2,204,945</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2,168,859</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number of pages in this document is 12.</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sectPr>
      </w:pPr>
    </w:p>
    <w:bookmarkStart w:id="2" w:name="page3"/>
    <w:bookmarkEnd w:id="2"/>
    <w:p>
      <w:pPr>
        <w:ind w:left="1280" w:right="3779" w:hanging="315"/>
        <w:spacing w:after="0" w:line="268" w:lineRule="auto"/>
        <w:rPr>
          <w:sz w:val="20"/>
          <w:szCs w:val="20"/>
          <w:color w:val="auto"/>
        </w:rPr>
      </w:pPr>
      <w:r>
        <w:rPr>
          <w:rFonts w:ascii="Courier New" w:cs="Courier New" w:eastAsia="Courier New" w:hAnsi="Courier New"/>
          <w:sz w:val="16"/>
          <w:szCs w:val="16"/>
          <w:color w:val="auto"/>
        </w:rPr>
        <w:t>Murphy Oil Corporation and Consolidated Subsidiaries CONSOLIDATED STATEMENTS OF INCOME (Unaudited)</w:t>
      </w:r>
    </w:p>
    <w:p>
      <w:pPr>
        <w:ind w:left="1160"/>
        <w:spacing w:after="0" w:line="233" w:lineRule="auto"/>
        <w:rPr>
          <w:sz w:val="20"/>
          <w:szCs w:val="20"/>
          <w:color w:val="auto"/>
        </w:rPr>
      </w:pPr>
      <w:r>
        <w:rPr>
          <w:rFonts w:ascii="Courier New" w:cs="Courier New" w:eastAsia="Courier New" w:hAnsi="Courier New"/>
          <w:sz w:val="18"/>
          <w:szCs w:val="18"/>
          <w:color w:val="auto"/>
        </w:rPr>
        <w:t>(Thousands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6"/>
              </w:rPr>
              <w:t>Three Months Ended</w:t>
            </w:r>
          </w:p>
        </w:tc>
        <w:tc>
          <w:tcPr>
            <w:tcW w:w="2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June 30</w:t>
            </w:r>
          </w:p>
        </w:tc>
        <w:tc>
          <w:tcPr>
            <w:tcW w:w="21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2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1993</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1994</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417,440</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409,702</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812,854</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792,536</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operating</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revenues</w:t>
            </w: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10,115</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11,789</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19,117</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19,892</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and</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revenues</w:t>
            </w: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7,224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8,824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12,327</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16,418</w:t>
            </w:r>
          </w:p>
        </w:tc>
      </w:tr>
      <w:tr>
        <w:trPr>
          <w:trHeight w:val="203"/>
        </w:trPr>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revenues</w:t>
            </w: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434,779</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430,315</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844,298</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828,846</w:t>
            </w:r>
          </w:p>
        </w:tc>
      </w:tr>
      <w:tr>
        <w:trPr>
          <w:trHeight w:val="203"/>
        </w:trPr>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Crude oil, products, and</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324,931</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316,819</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613,192</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620,044</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Exploration expenses,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including undeveloped</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lease amortization</w:t>
            </w: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8,175</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12,338</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20,090</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24,100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and general</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expenses</w:t>
            </w: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17,453</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16,803</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34,131</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33,034</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Depreciation, depletion,</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49,489</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41,642</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99,918</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84,477</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2,662</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2,330</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5,011</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3,995</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capitalized</w:t>
            </w:r>
          </w:p>
        </w:tc>
        <w:tc>
          <w:tcPr>
            <w:tcW w:w="2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(1,647)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(1,756)</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(2,878)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(2,287)</w:t>
            </w:r>
          </w:p>
        </w:tc>
      </w:tr>
      <w:tr>
        <w:trPr>
          <w:trHeight w:val="203"/>
        </w:trPr>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costs and</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expenses</w:t>
            </w: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401,063</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388,176</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769,464</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763,363</w:t>
            </w:r>
          </w:p>
        </w:tc>
      </w:tr>
      <w:tr>
        <w:trPr>
          <w:trHeight w:val="203"/>
        </w:trPr>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gridSpan w:val="3"/>
          </w:tcPr>
          <w:p>
            <w:pPr>
              <w:spacing w:after="0"/>
              <w:rPr>
                <w:sz w:val="20"/>
                <w:szCs w:val="20"/>
                <w:color w:val="auto"/>
              </w:rPr>
            </w:pPr>
            <w:r>
              <w:rPr>
                <w:rFonts w:ascii="Courier New" w:cs="Courier New" w:eastAsia="Courier New" w:hAnsi="Courier New"/>
                <w:sz w:val="18"/>
                <w:szCs w:val="18"/>
                <w:color w:val="auto"/>
              </w:rPr>
              <w:t>Income before income taxes</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5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and cumulative effect of</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changes in accounting</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principles</w:t>
            </w: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33,716</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42,139</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74,834</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65,483</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Federal and state income</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7,516</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14,432</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24,838</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20,482</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income taxes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(benefits)</w:t>
            </w:r>
          </w:p>
        </w:tc>
        <w:tc>
          <w:tcPr>
            <w:tcW w:w="2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(1,316)</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5,018</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(1,529)</w:t>
            </w:r>
          </w:p>
        </w:tc>
      </w:tr>
      <w:tr>
        <w:trPr>
          <w:trHeight w:val="203"/>
        </w:trPr>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w w:val="97"/>
              </w:rPr>
              <w:t>Income before cumulative</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effect of changes in</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accounting principles</w:t>
            </w: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27,516</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22,689</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51,204</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46,530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changes in accounting</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principles</w:t>
            </w: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15,338</w:t>
            </w:r>
          </w:p>
        </w:tc>
      </w:tr>
      <w:tr>
        <w:trPr>
          <w:trHeight w:val="203"/>
        </w:trPr>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27,516</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22,689</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51,204</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61,868</w:t>
            </w:r>
          </w:p>
        </w:tc>
      </w:tr>
      <w:tr>
        <w:trPr>
          <w:trHeight w:val="203"/>
        </w:trPr>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Average Common</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46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44,887,904 44,863,039 44,876,927 44,851,268</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Per Common share</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before</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cumulative</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effect of</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changes in</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accounting</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principles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changes in</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accounting</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principles</w:t>
            </w:r>
          </w:p>
        </w:tc>
        <w:tc>
          <w:tcPr>
            <w:tcW w:w="3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2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income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2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Cash dividends</w:t>
      </w:r>
    </w:p>
    <w:p>
      <w:pPr>
        <w:spacing w:after="0" w:line="16"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8"/>
          <w:szCs w:val="18"/>
          <w:color w:val="auto"/>
        </w:rPr>
        <w:t>per share of</w:t>
      </w:r>
    </w:p>
    <w:p>
      <w:pPr>
        <w:sectPr>
          <w:pgSz w:w="11900" w:h="16838" w:orient="portrait"/>
          <w:cols w:equalWidth="0" w:num="1">
            <w:col w:w="10219"/>
          </w:cols>
          <w:pgMar w:left="240" w:top="520" w:right="1440" w:bottom="0" w:gutter="0" w:footer="0" w:header="0"/>
        </w:sectPr>
      </w:pPr>
    </w:p>
    <w:bookmarkStart w:id="3" w:name="page4"/>
    <w:bookmarkEnd w:id="3"/>
    <w:p>
      <w:pPr>
        <w:ind w:left="120"/>
        <w:spacing w:after="0"/>
        <w:tabs>
          <w:tab w:leader="none" w:pos="2300" w:val="left"/>
          <w:tab w:leader="none" w:pos="2840" w:val="left"/>
          <w:tab w:leader="none" w:pos="4100" w:val="left"/>
          <w:tab w:leader="none" w:pos="5260" w:val="left"/>
          <w:tab w:leader="none" w:pos="642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.325</w:t>
      </w:r>
      <w:r>
        <w:rPr>
          <w:sz w:val="20"/>
          <w:szCs w:val="20"/>
          <w:color w:val="auto"/>
        </w:rPr>
        <w:tab/>
      </w:r>
      <w:r>
        <w:rPr>
          <w:rFonts w:ascii="Courier New" w:cs="Courier New" w:eastAsia="Courier New" w:hAnsi="Courier New"/>
          <w:sz w:val="18"/>
          <w:szCs w:val="18"/>
          <w:color w:val="auto"/>
        </w:rPr>
        <w:t>.30</w:t>
      </w:r>
      <w:r>
        <w:rPr>
          <w:sz w:val="20"/>
          <w:szCs w:val="20"/>
          <w:color w:val="auto"/>
        </w:rPr>
        <w:tab/>
      </w: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218"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4" w:name="page5"/>
    <w:bookmarkEnd w:id="4"/>
    <w:p>
      <w:pPr>
        <w:jc w:val="center"/>
        <w:ind w:left="780" w:right="420"/>
        <w:spacing w:after="0" w:line="268" w:lineRule="auto"/>
        <w:rPr>
          <w:sz w:val="20"/>
          <w:szCs w:val="20"/>
          <w:color w:val="auto"/>
        </w:rPr>
      </w:pPr>
      <w:r>
        <w:rPr>
          <w:rFonts w:ascii="Courier New" w:cs="Courier New" w:eastAsia="Courier New" w:hAnsi="Courier New"/>
          <w:sz w:val="16"/>
          <w:szCs w:val="16"/>
          <w:color w:val="auto"/>
        </w:rPr>
        <w:t>Murphy Oil Corporation and Consolidated Subsidiaries CONSOLIDATED STATEMENTS OF CASH FLOWS (Unaudited) Six Months Ended June 30, 1994 and 1993</w:t>
      </w:r>
    </w:p>
    <w:p>
      <w:pPr>
        <w:ind w:left="2540"/>
        <w:spacing w:after="0" w:line="233" w:lineRule="auto"/>
        <w:rPr>
          <w:sz w:val="20"/>
          <w:szCs w:val="20"/>
          <w:color w:val="auto"/>
        </w:rPr>
      </w:pPr>
      <w:r>
        <w:rPr>
          <w:rFonts w:ascii="Courier New" w:cs="Courier New" w:eastAsia="Courier New" w:hAnsi="Courier New"/>
          <w:sz w:val="18"/>
          <w:szCs w:val="18"/>
          <w:color w:val="auto"/>
        </w:rPr>
        <w:t>(Thousands of dollars)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1994</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cumulative effect of</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changes in accounting principles</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51,204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46,530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above income</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net cash provided by operating</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depletion, and amortization</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99,918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84,477</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Expenditures for major repairs and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dismantlement costs</w:t>
            </w:r>
          </w:p>
        </w:tc>
        <w:tc>
          <w:tcPr>
            <w:tcW w:w="1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(13,620)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(4,566)</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Exploratory expenditures charged against</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14,704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17,660</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undeveloped leases</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5,386</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6,440</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Deferred and noncurrent income tax charges</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1,687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16,749</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Gains from disposition of assets</w:t>
            </w:r>
          </w:p>
        </w:tc>
        <w:tc>
          <w:tcPr>
            <w:tcW w:w="1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(978)</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 net</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16,326</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12,716</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174,564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179,028</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increase in operating working</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other than cash and cash</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equivalents</w:t>
            </w:r>
          </w:p>
        </w:tc>
        <w:tc>
          <w:tcPr>
            <w:tcW w:w="1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(17,374)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(40,099)</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accounting changes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on working capital</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25,437</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Net recoveries (expenditures) on insurance</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claim to repair hurricane damage</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13,827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(14,876)</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adjustments related to operating</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activities</w:t>
            </w:r>
          </w:p>
        </w:tc>
        <w:tc>
          <w:tcPr>
            <w:tcW w:w="1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(7,546)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(13,123)</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Net cash provided by operating activities</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163,471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136,367</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 requiring cash</w:t>
            </w:r>
          </w:p>
        </w:tc>
        <w:tc>
          <w:tcPr>
            <w:tcW w:w="12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(196,843) (271,653)</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sale of property, plant,</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equipment</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2,426</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1,805</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 net</w:t>
            </w:r>
          </w:p>
        </w:tc>
        <w:tc>
          <w:tcPr>
            <w:tcW w:w="1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2,605</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required by investing</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activities</w:t>
            </w:r>
          </w:p>
        </w:tc>
        <w:tc>
          <w:tcPr>
            <w:tcW w:w="12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(195,195) (267,243)</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 notes payable</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other long-term obligations</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Increase in nonrecourse debt of a subsidiary</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20,631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8,500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 in short-term notes payable</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(2,795)</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paid</w:t>
            </w:r>
          </w:p>
        </w:tc>
        <w:tc>
          <w:tcPr>
            <w:tcW w:w="1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(29,108)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(26,850)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of Common Stock for treasury</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(1,636)</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Net cash required by financing activities</w:t>
            </w:r>
          </w:p>
        </w:tc>
        <w:tc>
          <w:tcPr>
            <w:tcW w:w="1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(8,372)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(22,859)</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 on cash and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equivalents</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 cash and cash equivalents</w:t>
            </w:r>
          </w:p>
        </w:tc>
        <w:tc>
          <w:tcPr>
            <w:tcW w:w="12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(39,936) (154,195)</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January 1</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141,225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377,845</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June 30</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101,289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223,650</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00" w:type="dxa"/>
            <w:vAlign w:val="bottom"/>
            <w:gridSpan w:val="3"/>
          </w:tcPr>
          <w:p>
            <w:pPr>
              <w:spacing w:after="0"/>
              <w:rPr>
                <w:sz w:val="20"/>
                <w:szCs w:val="20"/>
                <w:color w:val="auto"/>
              </w:rPr>
            </w:pPr>
            <w:r>
              <w:rPr>
                <w:rFonts w:ascii="Courier New" w:cs="Courier New" w:eastAsia="Courier New" w:hAnsi="Courier New"/>
                <w:sz w:val="18"/>
                <w:szCs w:val="18"/>
                <w:color w:val="auto"/>
              </w:rPr>
              <w:t>SUPPLEMENTAL DISCLOSURES OF CASH FLOW ACTIVITIES</w:t>
            </w:r>
          </w:p>
        </w:tc>
        <w:tc>
          <w:tcPr>
            <w:tcW w:w="96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income taxes paid, net of refunds</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29,232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18,026</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paid, net of amounts capitalized</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2,079</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21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7"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These notes are an integral part of the accompanying financial statements of Murphy Oil Corporation and Consolidated Subsidiaries (Murphy/the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A - INTERIM FINANCIAL STATEMENTS</w:t>
      </w:r>
    </w:p>
    <w:p>
      <w:pPr>
        <w:spacing w:after="0" w:line="207"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The consolidated financial statements of the Company presented herein have not been audited by independent auditors, except for the balance sheet at December 31, 1993. In the opinion of the Company's management, the unaudited financial statements include all adjustments (consisting only of normal, recurring accruals) necessary to present fairly the Company's financial position at June 30, 1994, and the results of operations and cash flows for the three-month and six-month periods ended June 30, 1994 and 1993, in conformity with generally accepted accounting principles.</w:t>
      </w:r>
    </w:p>
    <w:p>
      <w:pPr>
        <w:spacing w:after="0" w:line="21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Financial statements and notes to consolidated financial statements included in this report on Form 10-Q should be read in conjunction with the Company's 1993 Annual Report on Form 10-K, as certain notes and other pertinent information have been abbreviated in or omitted from this report.</w:t>
      </w:r>
    </w:p>
    <w:p>
      <w:pPr>
        <w:spacing w:after="0" w:line="209"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Financial results for the six months ended June 30, 1994 are not necessarily indicative of future results.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B - ENVIRONMENTAL CONTINGENCIES</w:t>
      </w:r>
    </w:p>
    <w:p>
      <w:pPr>
        <w:spacing w:after="0" w:line="207"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The Company's worldwide operations are subject to numerous laws and regulations designed to protect the environment and/or impose remediation obligations. In addition, the Company may be involved in personal injury claims, allegedly caused by exposure to materials manufactured or used by the Company. Under the Company's accounting policies, liabilities for environmentally related obligations are recorded when such obligations are probable and the cost can be reasonably estimated. In instances where there is a range of reasonably estimated costs, the Company will record the most likely amount, or if no amount is most likely, the minimum of the range. Amounts recorded as liabilities are reviewed quarterly and adjusted as needed.</w:t>
      </w:r>
    </w:p>
    <w:p>
      <w:pPr>
        <w:spacing w:after="0" w:line="18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Actual cash expenditures often occur a number of years following recognition of the liabilities.</w:t>
      </w:r>
    </w:p>
    <w:p>
      <w:pPr>
        <w:spacing w:after="0" w:line="208"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The Company currently operates or has previously operated certain sites or facilities, including refineries, oil and gas fields, service stations, and terminals, for which known or potential obligations for environmental remediation exist. The Company has provided an environmental reserve, which includes certain amounts that are based on anticipated regulatory approval of proposed remediation processes involving a land farm, formerly used for disposal of refinery waste, and closure of water basins. If regulatory authorities require more costly alternatives than the proposed processes, future expenditures could increase by up to an estimated $9 million above the amount reserved.</w:t>
      </w:r>
    </w:p>
    <w:p>
      <w:pPr>
        <w:spacing w:after="0" w:line="188"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The Company has received notices from the U.S. Environmental Protection Agency that it is a Potentially Responsible Party (PRP) at three Superfund sites and has been assigned responsibility by defendants at another Superfund site. In addition, the Company is aware of two other sites at which it could be named as a PRP. The potential total cost to all parties to perform necessary remediation work at these sites is substantial. However, based on information currently available, the Company is a de minimus party, with assigned or potentially assigned responsibility of less than one percent at all but one of the sites. The Company was only recently notified that it is a PRP at the remaining site and has not determined either its potential total remediation costs at the site or its potentially assigned responsibility percentage. The Company has recorded a reserve totaling $.1 million for Superfund sites, and due to currently available information on the most recent site and the minor percentages involved on the other sites, the Company does not expect that its related remediation costs will be material to its financial condition. Additional information may become known in the future that would alter this assessment, including a requirement to bear a pro rata share of costs attributable</w:t>
      </w:r>
    </w:p>
    <w:p>
      <w:pPr>
        <w:sectPr>
          <w:pgSz w:w="11900" w:h="16838" w:orient="portrait"/>
          <w:cols w:equalWidth="0" w:num="1">
            <w:col w:w="10219"/>
          </w:cols>
          <w:pgMar w:left="240" w:top="717" w:right="1440" w:bottom="0" w:gutter="0" w:footer="0" w:header="0"/>
        </w:sectPr>
      </w:pPr>
    </w:p>
    <w:bookmarkStart w:id="6" w:name="page7"/>
    <w:bookmarkEnd w:id="6"/>
    <w:p>
      <w:pPr>
        <w:ind w:right="4519"/>
        <w:spacing w:after="0" w:line="235" w:lineRule="auto"/>
        <w:rPr>
          <w:sz w:val="20"/>
          <w:szCs w:val="20"/>
          <w:color w:val="auto"/>
        </w:rPr>
      </w:pPr>
      <w:r>
        <w:rPr>
          <w:rFonts w:ascii="Courier New" w:cs="Courier New" w:eastAsia="Courier New" w:hAnsi="Courier New"/>
          <w:sz w:val="18"/>
          <w:szCs w:val="18"/>
          <w:color w:val="auto"/>
        </w:rPr>
        <w:t>to nonparticipating PRP's or indications of additional responsibility by the Company.</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4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NOTES TO CONSOLIDATED FINANCIAL STATEMENTS (CONTD.)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B - ENVIRONMENTAL CONTINGENCIES (CONTD.)</w:t>
      </w:r>
    </w:p>
    <w:p>
      <w:pPr>
        <w:spacing w:after="0" w:line="207"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Although the Company is not aware of any environmental matters that might have a material effect on its financial condition, there is the possibility that additional expenditures could be required at currently unidentified sites, and new or revised regulatory requirements could necessitate additional expenditures at known sites. Such expenditures could have a material impact on the results of operations in a future period.</w:t>
      </w:r>
    </w:p>
    <w:p>
      <w:pPr>
        <w:spacing w:after="0" w:line="188" w:lineRule="exact"/>
        <w:rPr>
          <w:sz w:val="20"/>
          <w:szCs w:val="20"/>
          <w:color w:val="auto"/>
        </w:rPr>
      </w:pPr>
    </w:p>
    <w:p>
      <w:pPr>
        <w:ind w:right="3579"/>
        <w:spacing w:after="0" w:line="272" w:lineRule="auto"/>
        <w:rPr>
          <w:sz w:val="20"/>
          <w:szCs w:val="20"/>
          <w:color w:val="auto"/>
        </w:rPr>
      </w:pPr>
      <w:r>
        <w:rPr>
          <w:rFonts w:ascii="Courier New" w:cs="Courier New" w:eastAsia="Courier New" w:hAnsi="Courier New"/>
          <w:sz w:val="16"/>
          <w:szCs w:val="16"/>
          <w:color w:val="auto"/>
        </w:rPr>
        <w:t>The Company believes that certain of its environmental remediation obligations are covered by insurance; however, the issue is the subject of ongoing litigation and no assurance can be given that the Company's position will be sustained. Therefore, no insurance recoveries have been used to reduce the environmental liabilities recorded at June 30, 1994.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C - OTHER CONTINGENCIES</w:t>
      </w:r>
    </w:p>
    <w:p>
      <w:pPr>
        <w:spacing w:after="0" w:line="207"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The Company's operations and earnings have been and may be affected by various other forms of governmental action by the countries in which it operates. Examples of such governmental action include, but are by no means limited to: tax increases and retroactive tax claims; restrictions on production; import and export controls; price controls; currency controls; allocation of supplies of crude oil and petroleum products and other goods; expropriation of property; restrictions and preferences affecting issuance of oil and gas or mineral leases; laws and regulations intended for the promotion of safety; and laws and regulations affecting the Company's relationships with employees, suppliers, customers, shareholders, and others. Because governmental actions are often motivated by political considerations, may be taken without full consideration of their consequences, and may be taken in response to actions of other governments, it is not practical to attempt to predict the likelihood of such actions, the form which such actions may take, or the effect such actions may have on the Company.</w:t>
      </w:r>
    </w:p>
    <w:p>
      <w:pPr>
        <w:spacing w:after="0" w:line="200" w:lineRule="exact"/>
        <w:rPr>
          <w:sz w:val="20"/>
          <w:szCs w:val="20"/>
          <w:color w:val="auto"/>
        </w:rPr>
      </w:pPr>
    </w:p>
    <w:p>
      <w:pPr>
        <w:spacing w:after="0" w:line="399"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On February 19, 1987, the U.S. Department of Energy (DOE) published a Proposed Remedial Order (PRO) alleging that the Company received approximately $13.4 million for crude oil and/or related transportation charges in excess of amounts allowed under DOE regulations that were in effect from September 1973 through January 1981. The PRO sought restitution of this amount, plus interest (approximately $24.5 million calculated to the date of the PRO).</w:t>
      </w:r>
    </w:p>
    <w:p>
      <w:pPr>
        <w:spacing w:after="0" w:line="212"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On June 17, 1992, the DOE Office of Hearings and Appeals sustained all allegations of the PRO and issued a Remedial Order. The Company appealed the material allegations of the Remedial Order, and on January 24, 1994, the presiding Federal Energy Regulatory Commission (FERC) administrative law judge sustained the position of the Company on most of the material allegations of the Remedial Order. The administrative law judge's decision was subject to review by the FERC; however, on July 14, 1994, DOE and the Company agreed to settle all issues and entered into</w:t>
      </w:r>
    </w:p>
    <w:p>
      <w:pPr>
        <w:spacing w:after="0" w:line="2"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a proposed consent order pursuant to which the Company will pay $10.7 million inclusive of all interest. As an offset to the $10.7 million payment, the Company will receive approximately $3.2 million from certain interest owners in the affected properties, and the Company intends to seek additional contribution from other interest owners. Notice of the proposed consent order was published in the "Federal Register" on July 27, 1994, and the DOE will accept comments regarding the proposed consent order for thirty days from publication, after which time the agency will determine whether to adopt the proposed consent order as a final action. Under any circumstances, the Company believes that adequate accruals have been made.</w:t>
      </w:r>
    </w:p>
    <w:p>
      <w:pPr>
        <w:spacing w:after="0" w:line="39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In the normal course of its business activities, the Company is required under certain contracts with various governmental authorities and others to provide letters of credit that may be drawn upon if the Company fails to perform under those contracts. At June 30, 1994, letters of credit outstanding amounted to $59.7 million.</w:t>
      </w:r>
    </w:p>
    <w:p>
      <w:pPr>
        <w:sectPr>
          <w:pgSz w:w="11900" w:h="16838" w:orient="portrait"/>
          <w:cols w:equalWidth="0" w:num="1">
            <w:col w:w="10219"/>
          </w:cols>
          <w:pgMar w:left="240" w:top="717" w:right="1440" w:bottom="0" w:gutter="0" w:footer="0" w:header="0"/>
        </w:sectPr>
      </w:pPr>
    </w:p>
    <w:bookmarkStart w:id="8" w:name="page9"/>
    <w:bookmarkEnd w:id="8"/>
    <w:p>
      <w:pPr>
        <w:ind w:left="20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344"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NOTES TO CONSOLIDATED FINANCIAL STATEMENTS (CONTD.)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D - BUSINESS SEGMENTS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206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w w:val="96"/>
              </w:rPr>
              <w:t>Three Months Ended</w:t>
            </w:r>
          </w:p>
        </w:tc>
        <w:tc>
          <w:tcPr>
            <w:tcW w:w="21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June 30, 1994</w:t>
            </w:r>
          </w:p>
        </w:tc>
        <w:tc>
          <w:tcPr>
            <w:tcW w:w="2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June 30, 1993</w:t>
            </w:r>
          </w:p>
        </w:tc>
      </w:tr>
      <w:tr>
        <w:trPr>
          <w:trHeight w:val="203"/>
        </w:trPr>
        <w:tc>
          <w:tcPr>
            <w:tcW w:w="2640" w:type="dxa"/>
            <w:vAlign w:val="bottom"/>
          </w:tcPr>
          <w:p>
            <w:pPr>
              <w:spacing w:after="0"/>
              <w:rPr>
                <w:sz w:val="17"/>
                <w:szCs w:val="17"/>
                <w:color w:val="auto"/>
              </w:rPr>
            </w:pPr>
          </w:p>
        </w:tc>
        <w:tc>
          <w:tcPr>
            <w:tcW w:w="206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2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(Millions of Dollars)</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Revenues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Income</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Revenues</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Income</w:t>
            </w:r>
          </w:p>
        </w:tc>
      </w:tr>
      <w:tr>
        <w:trPr>
          <w:trHeight w:val="203"/>
        </w:trPr>
        <w:tc>
          <w:tcPr>
            <w:tcW w:w="2640" w:type="dxa"/>
            <w:vAlign w:val="bottom"/>
          </w:tcPr>
          <w:p>
            <w:pPr>
              <w:spacing w:after="0"/>
              <w:rPr>
                <w:sz w:val="17"/>
                <w:szCs w:val="17"/>
                <w:color w:val="auto"/>
              </w:rPr>
            </w:pP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Petroleum</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3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Exploration and production*</w:t>
            </w: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United States . . . .</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$ 54.7</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65.4</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w:t>
            </w:r>
          </w:p>
        </w:tc>
      </w:tr>
      <w:tr>
        <w:trPr>
          <w:trHeight w:val="203"/>
        </w:trPr>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Canada. . . . . . . .</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31.2</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18.7</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United Kingdom. . . .</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23.6</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11.3</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Other international .</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114.8</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14.7</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100.3</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11.2</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Refining, marketing, and transportation</w:t>
            </w: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United States . . . .</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219.5</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261.0</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Western Europe. . . .</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79.6</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54.2</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Canada. . . . . . . .</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8.7</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305.7</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323.9</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420.5</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17.9</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424.2</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19.5</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Intrasegment transfers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7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elimination. . . . . . . (15.4)</w:t>
            </w:r>
          </w:p>
        </w:tc>
        <w:tc>
          <w:tcPr>
            <w:tcW w:w="100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w:t>
            </w:r>
          </w:p>
        </w:tc>
        <w:tc>
          <w:tcPr>
            <w:tcW w:w="80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petroleum . . . 405.1</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17.9</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405.5</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Farm, timber, and real</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estate - United States . .</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22.5</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16.0</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Corporate and other . . . .</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Revenues/income before unusual</w:t>
            </w: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or infrequently occurring</w:t>
            </w: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7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items. . . . . . . . . . . 434.8</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21.1</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430.3</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Refund and settlement of</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income tax matters . . . .</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$434.8</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27.5</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430.3</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22.7</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40" w:type="dxa"/>
            <w:vAlign w:val="bottom"/>
          </w:tcPr>
          <w:p>
            <w:pPr>
              <w:spacing w:after="0"/>
              <w:rPr>
                <w:sz w:val="24"/>
                <w:szCs w:val="24"/>
                <w:color w:val="auto"/>
              </w:rPr>
            </w:pPr>
          </w:p>
        </w:tc>
        <w:tc>
          <w:tcPr>
            <w:tcW w:w="2060" w:type="dxa"/>
            <w:vAlign w:val="bottom"/>
            <w:gridSpan w:val="3"/>
          </w:tcPr>
          <w:p>
            <w:pPr>
              <w:jc w:val="right"/>
              <w:ind w:right="292"/>
              <w:spacing w:after="0"/>
              <w:rPr>
                <w:sz w:val="20"/>
                <w:szCs w:val="20"/>
                <w:color w:val="auto"/>
              </w:rPr>
            </w:pPr>
            <w:r>
              <w:rPr>
                <w:rFonts w:ascii="Courier New" w:cs="Courier New" w:eastAsia="Courier New" w:hAnsi="Courier New"/>
                <w:sz w:val="18"/>
                <w:szCs w:val="18"/>
                <w:color w:val="auto"/>
                <w:w w:val="96"/>
              </w:rPr>
              <w:t>Six Months Ended</w:t>
            </w:r>
          </w:p>
        </w:tc>
        <w:tc>
          <w:tcPr>
            <w:tcW w:w="21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June 30, 1994</w:t>
            </w:r>
          </w:p>
        </w:tc>
        <w:tc>
          <w:tcPr>
            <w:tcW w:w="2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June 30, 1993</w:t>
            </w:r>
          </w:p>
        </w:tc>
      </w:tr>
      <w:tr>
        <w:trPr>
          <w:trHeight w:val="203"/>
        </w:trPr>
        <w:tc>
          <w:tcPr>
            <w:tcW w:w="2640" w:type="dxa"/>
            <w:vAlign w:val="bottom"/>
          </w:tcPr>
          <w:p>
            <w:pPr>
              <w:spacing w:after="0"/>
              <w:rPr>
                <w:sz w:val="17"/>
                <w:szCs w:val="17"/>
                <w:color w:val="auto"/>
              </w:rPr>
            </w:pPr>
          </w:p>
        </w:tc>
        <w:tc>
          <w:tcPr>
            <w:tcW w:w="206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2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(Millions of Dollars)</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Revenues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Income</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Revenues</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Income</w:t>
            </w:r>
          </w:p>
        </w:tc>
      </w:tr>
      <w:tr>
        <w:trPr>
          <w:trHeight w:val="203"/>
        </w:trPr>
        <w:tc>
          <w:tcPr>
            <w:tcW w:w="2640" w:type="dxa"/>
            <w:vAlign w:val="bottom"/>
          </w:tcPr>
          <w:p>
            <w:pPr>
              <w:spacing w:after="0"/>
              <w:rPr>
                <w:sz w:val="17"/>
                <w:szCs w:val="17"/>
                <w:color w:val="auto"/>
              </w:rPr>
            </w:pP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Petroleum</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Exploration and production*</w:t>
            </w: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70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United States. . . . . $115.4</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14.6</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121.8</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17.7</w:t>
            </w:r>
          </w:p>
        </w:tc>
      </w:tr>
      <w:tr>
        <w:trPr>
          <w:trHeight w:val="203"/>
        </w:trPr>
        <w:tc>
          <w:tcPr>
            <w:tcW w:w="2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Canada . . . . . . . .</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56.7</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35.5</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2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United Kingdom . . . .</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44.1</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25.7</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2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Other international. .</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224.4</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23.3</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193.1</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Refining, marketing, and transportation</w:t>
            </w: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United States. . . . .</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428.9</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480.1</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Western Europe . . . .</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146.8</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126.1</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2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Canada . . . . . . . .</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13.1</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588.8</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14.3</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622.2</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813.2</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37.6</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815.3</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29.0</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Intrasegment transfers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elimination . . . . . .</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(27.1)</w:t>
            </w:r>
          </w:p>
        </w:tc>
        <w:tc>
          <w:tcPr>
            <w:tcW w:w="10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(35.3)</w:t>
            </w:r>
          </w:p>
        </w:tc>
        <w:tc>
          <w:tcPr>
            <w:tcW w:w="80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petroleum . . . 786.1</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37.6</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780.0</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Farm, timber, and real</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estate - United States . .</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45.9</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12.7</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32.4</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Corporate and other . . . .</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12.3</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38" w:lineRule="auto"/>
        <w:rPr>
          <w:sz w:val="20"/>
          <w:szCs w:val="20"/>
          <w:color w:val="auto"/>
        </w:rPr>
      </w:pPr>
      <w:r>
        <w:rPr>
          <w:rFonts w:ascii="Courier New" w:cs="Courier New" w:eastAsia="Courier New" w:hAnsi="Courier New"/>
          <w:sz w:val="18"/>
          <w:szCs w:val="18"/>
          <w:color w:val="auto"/>
        </w:rPr>
        <w:t>Revenues/income before unusual</w:t>
      </w:r>
    </w:p>
    <w:p>
      <w:pPr>
        <w:ind w:left="120"/>
        <w:spacing w:after="0"/>
        <w:rPr>
          <w:sz w:val="20"/>
          <w:szCs w:val="20"/>
          <w:color w:val="auto"/>
        </w:rPr>
      </w:pPr>
      <w:r>
        <w:rPr>
          <w:rFonts w:ascii="Courier New" w:cs="Courier New" w:eastAsia="Courier New" w:hAnsi="Courier New"/>
          <w:sz w:val="18"/>
          <w:szCs w:val="18"/>
          <w:color w:val="auto"/>
        </w:rPr>
        <w:t>or infrequently occurring</w:t>
      </w:r>
    </w:p>
    <w:p>
      <w:pPr>
        <w:sectPr>
          <w:pgSz w:w="11900" w:h="16838" w:orient="portrait"/>
          <w:cols w:equalWidth="0" w:num="1">
            <w:col w:w="10219"/>
          </w:cols>
          <w:pgMar w:left="240" w:top="717"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3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items. . . . . . . . . . . 844.3</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44.8</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828.8</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35.3</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Refund and settlement of</w:t>
            </w: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 matters . . . .</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11.3</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Cumulative effect of changes</w:t>
            </w: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 accounting principles for</w:t>
            </w: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Income taxes . . . . . . .</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31.8</w:t>
            </w: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Postretirement benefits other</w:t>
            </w: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than pensions, net of</w:t>
            </w: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taxes. . . . . . . . . .</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w:t>
            </w:r>
          </w:p>
        </w:tc>
      </w:tr>
      <w:tr>
        <w:trPr>
          <w:trHeight w:val="203"/>
        </w:trPr>
        <w:tc>
          <w:tcPr>
            <w:tcW w:w="29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$844.3</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51.2</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828.8</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61.9</w:t>
            </w:r>
          </w:p>
        </w:tc>
      </w:tr>
      <w:tr>
        <w:trPr>
          <w:trHeight w:val="203"/>
        </w:trPr>
        <w:tc>
          <w:tcPr>
            <w:tcW w:w="29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details are presented in the tables on page 11.</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36" w:right="1440" w:bottom="1440" w:gutter="0" w:footer="0" w:header="0"/>
        </w:sectPr>
      </w:pPr>
    </w:p>
    <w:bookmarkStart w:id="11" w:name="page12"/>
    <w:bookmarkEnd w:id="11"/>
    <w:p>
      <w:pPr>
        <w:ind w:right="3359"/>
        <w:spacing w:after="0" w:line="235" w:lineRule="auto"/>
        <w:rPr>
          <w:sz w:val="20"/>
          <w:szCs w:val="20"/>
          <w:color w:val="auto"/>
        </w:rPr>
      </w:pPr>
      <w:r>
        <w:rPr>
          <w:rFonts w:ascii="Courier New" w:cs="Courier New" w:eastAsia="Courier New" w:hAnsi="Courier New"/>
          <w:sz w:val="18"/>
          <w:szCs w:val="18"/>
          <w:color w:val="auto"/>
        </w:rPr>
        <w:t>MANAGEMENT'S DISCUSSION AND ANALYSIS OF RESULTS OF OPERATIONS AND FINANCIAL CONDITION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THREE MONTHS ENDED JUNE 30, 1994 COMPARED WITH THREE MONTHS ENDED JUNE 30, 1993</w:t>
      </w:r>
    </w:p>
    <w:p>
      <w:pPr>
        <w:spacing w:after="0" w:line="208"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Net income for the second quarter of 1994 totaled $27.5 million, $.61 a share, compared to $22.7 million, $.51 a share, earned in the second quarter of 1993. The current quarter included a benefit of $6.4 million, $.14 a share, for settlement of certain income tax matters in the U.K.</w:t>
      </w:r>
    </w:p>
    <w:p>
      <w:pPr>
        <w:spacing w:after="0" w:line="209"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Excluding unusual items, earnings were $21.1 million, $.47 a share, in the current quarter. Exploration and production earnings were up 31 percent and benefited from new sources of crude oil and gas liquids production and lower exploration expenses, partially offset by the effect of generally lower crude oil prices in all operating areas and lower U.S. natural gas prices. In addition, earnings from farm, timber, and real estate increased 50 percent compared to the second quarter of 1993, as results from improved timber operations more than offset lower residential lot sales, which were down from the record quarter level established a year ago. Earnings from downstream operations declined 61 percent in the current quarter; U.S. operations were down because of lower unit margins and a reduction in sales of refined products due to a planned turnaround at the Superior refinery. In West European markets, unit margins also declined while sales volumes were up from the second quarter of 1993, which reflected a 38-day turnaround of the Milford Haven refinery. Results from corporate activities were unfavorable to last year, primarily reflecting lower income from interest and miscellaneous sources.</w:t>
      </w:r>
    </w:p>
    <w:p>
      <w:pPr>
        <w:spacing w:after="0" w:line="200" w:lineRule="exact"/>
        <w:rPr>
          <w:sz w:val="20"/>
          <w:szCs w:val="20"/>
          <w:color w:val="auto"/>
        </w:rPr>
      </w:pPr>
    </w:p>
    <w:p>
      <w:pPr>
        <w:spacing w:after="0" w:line="397"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Exploration and production operations earned $14.7 million in the second quarter of 1994 compared to $11.2 million a year earlier. U.S. operations earned $6.9 million, down from $10.7 million</w:t>
      </w:r>
    </w:p>
    <w:p>
      <w:pPr>
        <w:spacing w:after="0" w:line="233" w:lineRule="auto"/>
        <w:rPr>
          <w:sz w:val="20"/>
          <w:szCs w:val="20"/>
          <w:color w:val="auto"/>
        </w:rPr>
      </w:pPr>
      <w:r>
        <w:rPr>
          <w:rFonts w:ascii="Courier New" w:cs="Courier New" w:eastAsia="Courier New" w:hAnsi="Courier New"/>
          <w:sz w:val="18"/>
          <w:szCs w:val="18"/>
          <w:color w:val="auto"/>
        </w:rPr>
        <w:t>a year ago, while international operations earned $7.8 million</w:t>
      </w:r>
    </w:p>
    <w:p>
      <w:pPr>
        <w:spacing w:after="0"/>
        <w:tabs>
          <w:tab w:leader="none" w:pos="5880" w:val="left"/>
        </w:tabs>
        <w:rPr>
          <w:sz w:val="20"/>
          <w:szCs w:val="20"/>
          <w:color w:val="auto"/>
        </w:rPr>
      </w:pPr>
      <w:r>
        <w:rPr>
          <w:rFonts w:ascii="Courier New" w:cs="Courier New" w:eastAsia="Courier New" w:hAnsi="Courier New"/>
          <w:sz w:val="18"/>
          <w:szCs w:val="18"/>
          <w:color w:val="auto"/>
        </w:rPr>
        <w:t>compared to $.5 million in the second quarter of 1993.</w:t>
      </w:r>
      <w:r>
        <w:rPr>
          <w:sz w:val="20"/>
          <w:szCs w:val="20"/>
          <w:color w:val="auto"/>
        </w:rPr>
        <w:tab/>
      </w:r>
      <w:r>
        <w:rPr>
          <w:rFonts w:ascii="Courier New" w:cs="Courier New" w:eastAsia="Courier New" w:hAnsi="Courier New"/>
          <w:sz w:val="16"/>
          <w:szCs w:val="16"/>
          <w:color w:val="auto"/>
        </w:rPr>
        <w:t>The</w:t>
      </w:r>
    </w:p>
    <w:p>
      <w:pPr>
        <w:spacing w:after="0" w:line="237" w:lineRule="auto"/>
        <w:rPr>
          <w:sz w:val="20"/>
          <w:szCs w:val="20"/>
          <w:color w:val="auto"/>
        </w:rPr>
      </w:pPr>
      <w:r>
        <w:rPr>
          <w:rFonts w:ascii="Courier New" w:cs="Courier New" w:eastAsia="Courier New" w:hAnsi="Courier New"/>
          <w:sz w:val="18"/>
          <w:szCs w:val="18"/>
          <w:color w:val="auto"/>
        </w:rPr>
        <w:t>Company's crude oil and gas liquids sales prices averaged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$15.73 a barrel in the U.S. and $15.98 in the U.K., each down 11</w:t>
      </w:r>
    </w:p>
    <w:p>
      <w:pPr>
        <w:spacing w:after="0" w:line="1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percent.</w:t>
      </w:r>
      <w:r>
        <w:rPr>
          <w:sz w:val="20"/>
          <w:szCs w:val="20"/>
          <w:color w:val="auto"/>
        </w:rPr>
        <w:tab/>
      </w:r>
      <w:r>
        <w:rPr>
          <w:rFonts w:ascii="Courier New" w:cs="Courier New" w:eastAsia="Courier New" w:hAnsi="Courier New"/>
          <w:sz w:val="16"/>
          <w:szCs w:val="16"/>
          <w:color w:val="auto"/>
        </w:rPr>
        <w:t>In Canada, sales prices averaged $14.38 a barrel for</w:t>
      </w:r>
    </w:p>
    <w:p>
      <w:pPr>
        <w:spacing w:after="0" w:line="238" w:lineRule="auto"/>
        <w:rPr>
          <w:sz w:val="20"/>
          <w:szCs w:val="20"/>
          <w:color w:val="auto"/>
        </w:rPr>
      </w:pPr>
      <w:r>
        <w:rPr>
          <w:rFonts w:ascii="Courier New" w:cs="Courier New" w:eastAsia="Courier New" w:hAnsi="Courier New"/>
          <w:sz w:val="18"/>
          <w:szCs w:val="18"/>
          <w:color w:val="auto"/>
        </w:rPr>
        <w:t>light oil, down eight percent, and $11.16 for heavy oil, up one</w:t>
      </w:r>
    </w:p>
    <w:p>
      <w:pPr>
        <w:spacing w:after="0"/>
        <w:tabs>
          <w:tab w:leader="none" w:pos="1040" w:val="left"/>
        </w:tabs>
        <w:rPr>
          <w:sz w:val="20"/>
          <w:szCs w:val="20"/>
          <w:color w:val="auto"/>
        </w:rPr>
      </w:pPr>
      <w:r>
        <w:rPr>
          <w:rFonts w:ascii="Courier New" w:cs="Courier New" w:eastAsia="Courier New" w:hAnsi="Courier New"/>
          <w:sz w:val="18"/>
          <w:szCs w:val="18"/>
          <w:color w:val="auto"/>
        </w:rPr>
        <w:t>percent.</w:t>
      </w:r>
      <w:r>
        <w:rPr>
          <w:sz w:val="20"/>
          <w:szCs w:val="20"/>
          <w:color w:val="auto"/>
        </w:rPr>
        <w:tab/>
      </w:r>
      <w:r>
        <w:rPr>
          <w:rFonts w:ascii="Courier New" w:cs="Courier New" w:eastAsia="Courier New" w:hAnsi="Courier New"/>
          <w:sz w:val="16"/>
          <w:szCs w:val="16"/>
          <w:color w:val="auto"/>
        </w:rPr>
        <w:t>The average sales price for synthetic oil from the</w:t>
      </w:r>
    </w:p>
    <w:p>
      <w:pPr>
        <w:spacing w:after="0" w:line="237" w:lineRule="auto"/>
        <w:rPr>
          <w:sz w:val="20"/>
          <w:szCs w:val="20"/>
          <w:color w:val="auto"/>
        </w:rPr>
      </w:pPr>
      <w:r>
        <w:rPr>
          <w:rFonts w:ascii="Courier New" w:cs="Courier New" w:eastAsia="Courier New" w:hAnsi="Courier New"/>
          <w:sz w:val="18"/>
          <w:szCs w:val="18"/>
          <w:color w:val="auto"/>
        </w:rPr>
        <w:t>Company's five-percent interest in the Canadian Syncrude</w:t>
      </w:r>
    </w:p>
    <w:p>
      <w:pPr>
        <w:spacing w:after="0"/>
        <w:tabs>
          <w:tab w:leader="none" w:pos="5680" w:val="left"/>
        </w:tabs>
        <w:rPr>
          <w:sz w:val="20"/>
          <w:szCs w:val="20"/>
          <w:color w:val="auto"/>
        </w:rPr>
      </w:pPr>
      <w:r>
        <w:rPr>
          <w:rFonts w:ascii="Courier New" w:cs="Courier New" w:eastAsia="Courier New" w:hAnsi="Courier New"/>
          <w:sz w:val="18"/>
          <w:szCs w:val="18"/>
          <w:color w:val="auto"/>
        </w:rPr>
        <w:t>project, acquired in late 1993, was $16.64 a barrel.</w:t>
      </w:r>
      <w:r>
        <w:rPr>
          <w:sz w:val="20"/>
          <w:szCs w:val="20"/>
          <w:color w:val="auto"/>
        </w:rPr>
        <w:tab/>
      </w:r>
      <w:r>
        <w:rPr>
          <w:rFonts w:ascii="Courier New" w:cs="Courier New" w:eastAsia="Courier New" w:hAnsi="Courier New"/>
          <w:sz w:val="16"/>
          <w:szCs w:val="16"/>
          <w:color w:val="auto"/>
        </w:rPr>
        <w:t>Total crude</w:t>
      </w:r>
    </w:p>
    <w:p>
      <w:pPr>
        <w:spacing w:after="0"/>
        <w:rPr>
          <w:sz w:val="20"/>
          <w:szCs w:val="20"/>
          <w:color w:val="auto"/>
        </w:rPr>
      </w:pPr>
      <w:r>
        <w:rPr>
          <w:rFonts w:ascii="Courier New" w:cs="Courier New" w:eastAsia="Courier New" w:hAnsi="Courier New"/>
          <w:sz w:val="18"/>
          <w:szCs w:val="18"/>
          <w:color w:val="auto"/>
        </w:rPr>
        <w:t>oil and gas liquids production averaged 48,904 barrels a day</w:t>
      </w:r>
    </w:p>
    <w:p>
      <w:pPr>
        <w:spacing w:after="0"/>
        <w:tabs>
          <w:tab w:leader="none" w:pos="5360" w:val="left"/>
        </w:tabs>
        <w:rPr>
          <w:sz w:val="20"/>
          <w:szCs w:val="20"/>
          <w:color w:val="auto"/>
        </w:rPr>
      </w:pPr>
      <w:r>
        <w:rPr>
          <w:rFonts w:ascii="Courier New" w:cs="Courier New" w:eastAsia="Courier New" w:hAnsi="Courier New"/>
          <w:sz w:val="18"/>
          <w:szCs w:val="18"/>
          <w:color w:val="auto"/>
        </w:rPr>
        <w:t>compared to 34,565 in the second quarter of 1993.</w:t>
      </w:r>
      <w:r>
        <w:rPr>
          <w:sz w:val="20"/>
          <w:szCs w:val="20"/>
          <w:color w:val="auto"/>
        </w:rPr>
        <w:tab/>
      </w:r>
      <w:r>
        <w:rPr>
          <w:rFonts w:ascii="Courier New" w:cs="Courier New" w:eastAsia="Courier New" w:hAnsi="Courier New"/>
          <w:sz w:val="16"/>
          <w:szCs w:val="16"/>
          <w:color w:val="auto"/>
        </w:rPr>
        <w:t>U.K.</w:t>
      </w:r>
    </w:p>
    <w:p>
      <w:pPr>
        <w:spacing w:after="0"/>
        <w:rPr>
          <w:sz w:val="20"/>
          <w:szCs w:val="20"/>
          <w:color w:val="auto"/>
        </w:rPr>
      </w:pPr>
      <w:r>
        <w:rPr>
          <w:rFonts w:ascii="Courier New" w:cs="Courier New" w:eastAsia="Courier New" w:hAnsi="Courier New"/>
          <w:sz w:val="18"/>
          <w:szCs w:val="18"/>
          <w:color w:val="auto"/>
        </w:rPr>
        <w:t>production more than doubled - production from Block 16/17 ("T"</w:t>
      </w:r>
    </w:p>
    <w:p>
      <w:pPr>
        <w:spacing w:after="0" w:line="237" w:lineRule="auto"/>
        <w:rPr>
          <w:sz w:val="20"/>
          <w:szCs w:val="20"/>
          <w:color w:val="auto"/>
        </w:rPr>
      </w:pPr>
      <w:r>
        <w:rPr>
          <w:rFonts w:ascii="Courier New" w:cs="Courier New" w:eastAsia="Courier New" w:hAnsi="Courier New"/>
          <w:sz w:val="18"/>
          <w:szCs w:val="18"/>
          <w:color w:val="auto"/>
        </w:rPr>
        <w:t>Block), which commenced in late 1993, and an increased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in the Ninian field effective January 1, 1994, accounted</w:t>
      </w:r>
    </w:p>
    <w:p>
      <w:pPr>
        <w:spacing w:after="0" w:line="16"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for the increase.</w:t>
      </w:r>
      <w:r>
        <w:rPr>
          <w:sz w:val="20"/>
          <w:szCs w:val="20"/>
          <w:color w:val="auto"/>
        </w:rPr>
        <w:tab/>
      </w:r>
      <w:r>
        <w:rPr>
          <w:rFonts w:ascii="Courier New" w:cs="Courier New" w:eastAsia="Courier New" w:hAnsi="Courier New"/>
          <w:sz w:val="16"/>
          <w:szCs w:val="16"/>
          <w:color w:val="auto"/>
        </w:rPr>
        <w:t>Production of synthetic oil in Canada was</w:t>
      </w:r>
    </w:p>
    <w:p>
      <w:pPr>
        <w:spacing w:after="0" w:line="238" w:lineRule="auto"/>
        <w:rPr>
          <w:sz w:val="20"/>
          <w:szCs w:val="20"/>
          <w:color w:val="auto"/>
        </w:rPr>
      </w:pPr>
      <w:r>
        <w:rPr>
          <w:rFonts w:ascii="Courier New" w:cs="Courier New" w:eastAsia="Courier New" w:hAnsi="Courier New"/>
          <w:sz w:val="18"/>
          <w:szCs w:val="18"/>
          <w:color w:val="auto"/>
        </w:rPr>
        <w:t>affected by a planned turnaround in April and averaged 8,050</w:t>
      </w:r>
    </w:p>
    <w:p>
      <w:pPr>
        <w:spacing w:after="0"/>
        <w:tabs>
          <w:tab w:leader="none" w:pos="4840" w:val="left"/>
        </w:tabs>
        <w:rPr>
          <w:sz w:val="20"/>
          <w:szCs w:val="20"/>
          <w:color w:val="auto"/>
        </w:rPr>
      </w:pPr>
      <w:r>
        <w:rPr>
          <w:rFonts w:ascii="Courier New" w:cs="Courier New" w:eastAsia="Courier New" w:hAnsi="Courier New"/>
          <w:sz w:val="18"/>
          <w:szCs w:val="18"/>
          <w:color w:val="auto"/>
        </w:rPr>
        <w:t>barrels a day in the second quarter of 1994.</w:t>
      </w:r>
      <w:r>
        <w:rPr>
          <w:sz w:val="20"/>
          <w:szCs w:val="20"/>
          <w:color w:val="auto"/>
        </w:rPr>
        <w:tab/>
      </w:r>
      <w:r>
        <w:rPr>
          <w:rFonts w:ascii="Courier New" w:cs="Courier New" w:eastAsia="Courier New" w:hAnsi="Courier New"/>
          <w:sz w:val="16"/>
          <w:szCs w:val="16"/>
          <w:color w:val="auto"/>
        </w:rPr>
        <w:t>Murphy's average</w:t>
      </w:r>
    </w:p>
    <w:p>
      <w:pPr>
        <w:spacing w:after="0" w:line="237" w:lineRule="auto"/>
        <w:rPr>
          <w:sz w:val="20"/>
          <w:szCs w:val="20"/>
          <w:color w:val="auto"/>
        </w:rPr>
      </w:pPr>
      <w:r>
        <w:rPr>
          <w:rFonts w:ascii="Courier New" w:cs="Courier New" w:eastAsia="Courier New" w:hAnsi="Courier New"/>
          <w:sz w:val="18"/>
          <w:szCs w:val="18"/>
          <w:color w:val="auto"/>
        </w:rPr>
        <w:t>natural gas sales price in the U.S. was $1.97 a thousand cubic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feet (MCF) in the second quarter of 1994 compared to $2.21 a year</w:t>
      </w:r>
    </w:p>
    <w:p>
      <w:pPr>
        <w:spacing w:after="0" w:line="16"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ago, down 11 percent.</w:t>
      </w:r>
      <w:r>
        <w:rPr>
          <w:sz w:val="20"/>
          <w:szCs w:val="20"/>
          <w:color w:val="auto"/>
        </w:rPr>
        <w:tab/>
      </w:r>
      <w:r>
        <w:rPr>
          <w:rFonts w:ascii="Courier New" w:cs="Courier New" w:eastAsia="Courier New" w:hAnsi="Courier New"/>
          <w:sz w:val="16"/>
          <w:szCs w:val="16"/>
          <w:color w:val="auto"/>
        </w:rPr>
        <w:t>The average natural gas sales price in</w:t>
      </w:r>
    </w:p>
    <w:p>
      <w:pPr>
        <w:spacing w:after="0" w:line="238" w:lineRule="auto"/>
        <w:rPr>
          <w:sz w:val="20"/>
          <w:szCs w:val="20"/>
          <w:color w:val="auto"/>
        </w:rPr>
      </w:pPr>
      <w:r>
        <w:rPr>
          <w:rFonts w:ascii="Courier New" w:cs="Courier New" w:eastAsia="Courier New" w:hAnsi="Courier New"/>
          <w:sz w:val="18"/>
          <w:szCs w:val="18"/>
          <w:color w:val="auto"/>
        </w:rPr>
        <w:t>Canada increased from $1.19 an MCF a year ago to $1.51, up 27</w:t>
      </w:r>
    </w:p>
    <w:p>
      <w:pPr>
        <w:spacing w:after="0"/>
        <w:tabs>
          <w:tab w:leader="none" w:pos="1040" w:val="left"/>
        </w:tabs>
        <w:rPr>
          <w:sz w:val="20"/>
          <w:szCs w:val="20"/>
          <w:color w:val="auto"/>
        </w:rPr>
      </w:pPr>
      <w:r>
        <w:rPr>
          <w:rFonts w:ascii="Courier New" w:cs="Courier New" w:eastAsia="Courier New" w:hAnsi="Courier New"/>
          <w:sz w:val="18"/>
          <w:szCs w:val="18"/>
          <w:color w:val="auto"/>
        </w:rPr>
        <w:t>percent.</w:t>
      </w:r>
      <w:r>
        <w:rPr>
          <w:sz w:val="20"/>
          <w:szCs w:val="20"/>
          <w:color w:val="auto"/>
        </w:rPr>
        <w:tab/>
      </w:r>
      <w:r>
        <w:rPr>
          <w:rFonts w:ascii="Courier New" w:cs="Courier New" w:eastAsia="Courier New" w:hAnsi="Courier New"/>
          <w:sz w:val="16"/>
          <w:szCs w:val="16"/>
          <w:color w:val="auto"/>
        </w:rPr>
        <w:t>In Spain, the price averaged $2.42 an MCF, a decrease</w:t>
      </w:r>
    </w:p>
    <w:p>
      <w:pPr>
        <w:spacing w:after="0"/>
        <w:tabs>
          <w:tab w:leader="none" w:pos="1680" w:val="left"/>
        </w:tabs>
        <w:rPr>
          <w:sz w:val="20"/>
          <w:szCs w:val="20"/>
          <w:color w:val="auto"/>
        </w:rPr>
      </w:pPr>
      <w:r>
        <w:rPr>
          <w:rFonts w:ascii="Courier New" w:cs="Courier New" w:eastAsia="Courier New" w:hAnsi="Courier New"/>
          <w:sz w:val="18"/>
          <w:szCs w:val="18"/>
          <w:color w:val="auto"/>
        </w:rPr>
        <w:t>of 12 percent.</w:t>
      </w:r>
      <w:r>
        <w:rPr>
          <w:sz w:val="20"/>
          <w:szCs w:val="20"/>
          <w:color w:val="auto"/>
        </w:rPr>
        <w:tab/>
      </w:r>
      <w:r>
        <w:rPr>
          <w:rFonts w:ascii="Courier New" w:cs="Courier New" w:eastAsia="Courier New" w:hAnsi="Courier New"/>
          <w:sz w:val="16"/>
          <w:szCs w:val="16"/>
          <w:color w:val="auto"/>
        </w:rPr>
        <w:t>U.K. prices averaged $2.39 an MCF compared to</w:t>
      </w:r>
    </w:p>
    <w:p>
      <w:pPr>
        <w:spacing w:after="0"/>
        <w:tabs>
          <w:tab w:leader="none" w:pos="1980" w:val="left"/>
        </w:tabs>
        <w:rPr>
          <w:sz w:val="20"/>
          <w:szCs w:val="20"/>
          <w:color w:val="auto"/>
        </w:rPr>
      </w:pPr>
      <w:r>
        <w:rPr>
          <w:rFonts w:ascii="Courier New" w:cs="Courier New" w:eastAsia="Courier New" w:hAnsi="Courier New"/>
          <w:sz w:val="18"/>
          <w:szCs w:val="18"/>
          <w:color w:val="auto"/>
        </w:rPr>
        <w:t>$2.33 a year ago.</w:t>
      </w:r>
      <w:r>
        <w:rPr>
          <w:sz w:val="20"/>
          <w:szCs w:val="20"/>
          <w:color w:val="auto"/>
        </w:rPr>
        <w:tab/>
      </w:r>
      <w:r>
        <w:rPr>
          <w:rFonts w:ascii="Courier New" w:cs="Courier New" w:eastAsia="Courier New" w:hAnsi="Courier New"/>
          <w:sz w:val="16"/>
          <w:szCs w:val="16"/>
          <w:color w:val="auto"/>
        </w:rPr>
        <w:t>Total natural gas sales averaged 262,881 MCF a</w:t>
      </w:r>
    </w:p>
    <w:p>
      <w:pPr>
        <w:spacing w:after="0"/>
        <w:rPr>
          <w:sz w:val="20"/>
          <w:szCs w:val="20"/>
          <w:color w:val="auto"/>
        </w:rPr>
      </w:pPr>
      <w:r>
        <w:rPr>
          <w:rFonts w:ascii="Courier New" w:cs="Courier New" w:eastAsia="Courier New" w:hAnsi="Courier New"/>
          <w:sz w:val="18"/>
          <w:szCs w:val="18"/>
          <w:color w:val="auto"/>
        </w:rPr>
        <w:t>day in the current quarter compared to 262,630 in the second</w:t>
      </w:r>
    </w:p>
    <w:p>
      <w:pPr>
        <w:spacing w:after="0"/>
        <w:tabs>
          <w:tab w:leader="none" w:pos="1880" w:val="left"/>
        </w:tabs>
        <w:rPr>
          <w:sz w:val="20"/>
          <w:szCs w:val="20"/>
          <w:color w:val="auto"/>
        </w:rPr>
      </w:pPr>
      <w:r>
        <w:rPr>
          <w:rFonts w:ascii="Courier New" w:cs="Courier New" w:eastAsia="Courier New" w:hAnsi="Courier New"/>
          <w:sz w:val="18"/>
          <w:szCs w:val="18"/>
          <w:color w:val="auto"/>
        </w:rPr>
        <w:t>quarter of 1993.</w:t>
      </w:r>
      <w:r>
        <w:rPr>
          <w:sz w:val="20"/>
          <w:szCs w:val="20"/>
          <w:color w:val="auto"/>
        </w:rPr>
        <w:tab/>
      </w:r>
      <w:r>
        <w:rPr>
          <w:rFonts w:ascii="Courier New" w:cs="Courier New" w:eastAsia="Courier New" w:hAnsi="Courier New"/>
          <w:sz w:val="16"/>
          <w:szCs w:val="16"/>
          <w:color w:val="auto"/>
        </w:rPr>
        <w:t>Sales of natural gas in the U.S. averaged</w:t>
      </w:r>
    </w:p>
    <w:p>
      <w:pPr>
        <w:spacing w:after="0"/>
        <w:rPr>
          <w:sz w:val="20"/>
          <w:szCs w:val="20"/>
          <w:color w:val="auto"/>
        </w:rPr>
      </w:pPr>
      <w:r>
        <w:rPr>
          <w:rFonts w:ascii="Courier New" w:cs="Courier New" w:eastAsia="Courier New" w:hAnsi="Courier New"/>
          <w:sz w:val="18"/>
          <w:szCs w:val="18"/>
          <w:color w:val="auto"/>
        </w:rPr>
        <w:t>205,542 MCF a day, down three percent from a year ago, while</w:t>
      </w:r>
    </w:p>
    <w:p>
      <w:pPr>
        <w:spacing w:after="0"/>
        <w:tabs>
          <w:tab w:leader="none" w:pos="4200" w:val="left"/>
        </w:tabs>
        <w:rPr>
          <w:sz w:val="20"/>
          <w:szCs w:val="20"/>
          <w:color w:val="auto"/>
        </w:rPr>
      </w:pPr>
      <w:r>
        <w:rPr>
          <w:rFonts w:ascii="Courier New" w:cs="Courier New" w:eastAsia="Courier New" w:hAnsi="Courier New"/>
          <w:sz w:val="18"/>
          <w:szCs w:val="18"/>
          <w:color w:val="auto"/>
        </w:rPr>
        <w:t>sales increased in the U.K. and Spain.</w:t>
      </w:r>
      <w:r>
        <w:rPr>
          <w:sz w:val="20"/>
          <w:szCs w:val="20"/>
          <w:color w:val="auto"/>
        </w:rPr>
        <w:tab/>
      </w:r>
      <w:r>
        <w:rPr>
          <w:rFonts w:ascii="Courier New" w:cs="Courier New" w:eastAsia="Courier New" w:hAnsi="Courier New"/>
          <w:sz w:val="16"/>
          <w:szCs w:val="16"/>
          <w:color w:val="auto"/>
        </w:rPr>
        <w:t>Exploration expenses</w:t>
      </w:r>
    </w:p>
    <w:p>
      <w:pPr>
        <w:spacing w:after="0"/>
        <w:rPr>
          <w:sz w:val="20"/>
          <w:szCs w:val="20"/>
          <w:color w:val="auto"/>
        </w:rPr>
      </w:pPr>
      <w:r>
        <w:rPr>
          <w:rFonts w:ascii="Courier New" w:cs="Courier New" w:eastAsia="Courier New" w:hAnsi="Courier New"/>
          <w:sz w:val="18"/>
          <w:szCs w:val="18"/>
          <w:color w:val="auto"/>
        </w:rPr>
        <w:t>totaled $8.2 million in the current quarter compared to $12.3</w:t>
      </w:r>
    </w:p>
    <w:p>
      <w:pPr>
        <w:spacing w:after="0" w:line="237" w:lineRule="auto"/>
        <w:rPr>
          <w:sz w:val="20"/>
          <w:szCs w:val="20"/>
          <w:color w:val="auto"/>
        </w:rPr>
      </w:pPr>
      <w:r>
        <w:rPr>
          <w:rFonts w:ascii="Courier New" w:cs="Courier New" w:eastAsia="Courier New" w:hAnsi="Courier New"/>
          <w:sz w:val="18"/>
          <w:szCs w:val="18"/>
          <w:color w:val="auto"/>
        </w:rPr>
        <w:t>million a year ago, including $3.1 million and $5.1 million,</w:t>
      </w:r>
    </w:p>
    <w:p>
      <w:pPr>
        <w:spacing w:after="0"/>
        <w:tabs>
          <w:tab w:leader="none" w:pos="4620" w:val="left"/>
        </w:tabs>
        <w:rPr>
          <w:sz w:val="20"/>
          <w:szCs w:val="20"/>
          <w:color w:val="auto"/>
        </w:rPr>
      </w:pPr>
      <w:r>
        <w:rPr>
          <w:rFonts w:ascii="Courier New" w:cs="Courier New" w:eastAsia="Courier New" w:hAnsi="Courier New"/>
          <w:sz w:val="18"/>
          <w:szCs w:val="18"/>
          <w:color w:val="auto"/>
        </w:rPr>
        <w:t>respectively, in international operations.</w:t>
      </w:r>
      <w:r>
        <w:rPr>
          <w:sz w:val="20"/>
          <w:szCs w:val="20"/>
          <w:color w:val="auto"/>
        </w:rPr>
        <w:tab/>
      </w:r>
      <w:r>
        <w:rPr>
          <w:rFonts w:ascii="Courier New" w:cs="Courier New" w:eastAsia="Courier New" w:hAnsi="Courier New"/>
          <w:sz w:val="16"/>
          <w:szCs w:val="16"/>
          <w:color w:val="auto"/>
        </w:rPr>
        <w:t>During the current</w:t>
      </w:r>
    </w:p>
    <w:p>
      <w:pPr>
        <w:spacing w:after="0"/>
        <w:rPr>
          <w:sz w:val="20"/>
          <w:szCs w:val="20"/>
          <w:color w:val="auto"/>
        </w:rPr>
      </w:pPr>
      <w:r>
        <w:rPr>
          <w:rFonts w:ascii="Courier New" w:cs="Courier New" w:eastAsia="Courier New" w:hAnsi="Courier New"/>
          <w:sz w:val="18"/>
          <w:szCs w:val="18"/>
          <w:color w:val="auto"/>
        </w:rPr>
        <w:t>quarter, the Company logged and cored a potentially producible</w:t>
      </w:r>
    </w:p>
    <w:p>
      <w:pPr>
        <w:spacing w:after="0" w:line="237" w:lineRule="auto"/>
        <w:rPr>
          <w:sz w:val="20"/>
          <w:szCs w:val="20"/>
          <w:color w:val="auto"/>
        </w:rPr>
      </w:pPr>
      <w:r>
        <w:rPr>
          <w:rFonts w:ascii="Courier New" w:cs="Courier New" w:eastAsia="Courier New" w:hAnsi="Courier New"/>
          <w:sz w:val="18"/>
          <w:szCs w:val="18"/>
          <w:color w:val="auto"/>
        </w:rPr>
        <w:t>natural gas accumulation in a well drilled on Mobile Block 908.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cost of the well, $14.4 million, has been capitalized pending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 evaluation, which includes the results of a well</w:t>
      </w:r>
    </w:p>
    <w:p>
      <w:pPr>
        <w:spacing w:after="0"/>
        <w:tabs>
          <w:tab w:leader="none" w:pos="5360" w:val="left"/>
        </w:tabs>
        <w:rPr>
          <w:sz w:val="20"/>
          <w:szCs w:val="20"/>
          <w:color w:val="auto"/>
        </w:rPr>
      </w:pPr>
      <w:r>
        <w:rPr>
          <w:rFonts w:ascii="Courier New" w:cs="Courier New" w:eastAsia="Courier New" w:hAnsi="Courier New"/>
          <w:sz w:val="18"/>
          <w:szCs w:val="18"/>
          <w:color w:val="auto"/>
        </w:rPr>
        <w:t>currently in progress on nearby Mobile Block 863.</w:t>
      </w:r>
      <w:r>
        <w:rPr>
          <w:sz w:val="20"/>
          <w:szCs w:val="20"/>
          <w:color w:val="auto"/>
        </w:rPr>
        <w:tab/>
      </w:r>
      <w:r>
        <w:rPr>
          <w:rFonts w:ascii="Courier New" w:cs="Courier New" w:eastAsia="Courier New" w:hAnsi="Courier New"/>
          <w:sz w:val="16"/>
          <w:szCs w:val="16"/>
          <w:color w:val="auto"/>
        </w:rPr>
        <w:t>Supporting</w:t>
      </w:r>
    </w:p>
    <w:p>
      <w:pPr>
        <w:spacing w:after="0"/>
        <w:rPr>
          <w:sz w:val="20"/>
          <w:szCs w:val="20"/>
          <w:color w:val="auto"/>
        </w:rPr>
      </w:pPr>
      <w:r>
        <w:rPr>
          <w:rFonts w:ascii="Courier New" w:cs="Courier New" w:eastAsia="Courier New" w:hAnsi="Courier New"/>
          <w:sz w:val="18"/>
          <w:szCs w:val="18"/>
          <w:color w:val="auto"/>
        </w:rPr>
        <w:t>tables on page 11 provide additional details of the results of</w:t>
      </w:r>
    </w:p>
    <w:p>
      <w:pPr>
        <w:spacing w:after="0" w:line="237" w:lineRule="auto"/>
        <w:rPr>
          <w:sz w:val="20"/>
          <w:szCs w:val="20"/>
          <w:color w:val="auto"/>
        </w:rPr>
      </w:pPr>
      <w:r>
        <w:rPr>
          <w:rFonts w:ascii="Courier New" w:cs="Courier New" w:eastAsia="Courier New" w:hAnsi="Courier New"/>
          <w:sz w:val="18"/>
          <w:szCs w:val="18"/>
          <w:color w:val="auto"/>
        </w:rPr>
        <w:t>exploration and production operations for the second quarter of</w:t>
      </w:r>
    </w:p>
    <w:p>
      <w:pPr>
        <w:spacing w:after="0" w:line="238" w:lineRule="auto"/>
        <w:rPr>
          <w:sz w:val="20"/>
          <w:szCs w:val="20"/>
          <w:color w:val="auto"/>
        </w:rPr>
      </w:pPr>
      <w:r>
        <w:rPr>
          <w:rFonts w:ascii="Courier New" w:cs="Courier New" w:eastAsia="Courier New" w:hAnsi="Courier New"/>
          <w:sz w:val="18"/>
          <w:szCs w:val="18"/>
          <w:color w:val="auto"/>
        </w:rPr>
        <w:t>each year.</w:t>
      </w:r>
    </w:p>
    <w:p>
      <w:pPr>
        <w:sectPr>
          <w:pgSz w:w="11900" w:h="16838" w:orient="portrait"/>
          <w:cols w:equalWidth="0" w:num="1">
            <w:col w:w="10219"/>
          </w:cols>
          <w:pgMar w:left="240" w:top="723" w:right="1440" w:bottom="0" w:gutter="0" w:footer="0" w:header="0"/>
        </w:sectPr>
      </w:pPr>
    </w:p>
    <w:bookmarkStart w:id="12" w:name="page13"/>
    <w:bookmarkEnd w:id="12"/>
    <w:p>
      <w:pPr>
        <w:ind w:right="3479"/>
        <w:spacing w:after="0" w:line="271" w:lineRule="auto"/>
        <w:rPr>
          <w:sz w:val="20"/>
          <w:szCs w:val="20"/>
          <w:color w:val="auto"/>
        </w:rPr>
      </w:pPr>
      <w:r>
        <w:rPr>
          <w:rFonts w:ascii="Courier New" w:cs="Courier New" w:eastAsia="Courier New" w:hAnsi="Courier New"/>
          <w:sz w:val="16"/>
          <w:szCs w:val="16"/>
          <w:color w:val="auto"/>
        </w:rPr>
        <w:t>Earnings from refining, marketing, and transportation operations declined from $8.3 million in the second quarter of 1993 to $3.2 million in the current quarter. U.S. operations earned $.8 million compared to $3.5 million a year ago. Operations in Western Europe earned $.5 million, down from $1.8 million a year ago. Profits from purchasing, transporting, and reselling crude oil in Canada were $1.9 million in the current quarter compared to $3 million in the second quarter of 1993, with the</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4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MANAGEMENT'S DISCUSSION AND ANALYSIS (CONTD.)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(CONTD.)</w:t>
      </w:r>
    </w:p>
    <w:p>
      <w:pPr>
        <w:spacing w:after="0" w:line="207"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decline due primarily to lower crude trading margins. Refinery crude runs were 141,933 barrels a day compared to 133,894 in the second quarter of 1993. Refined product sales were 161,378 barrels a day, up from 147,179 a year ago.</w:t>
      </w:r>
    </w:p>
    <w:p>
      <w:pPr>
        <w:spacing w:after="0" w:line="207" w:lineRule="exact"/>
        <w:rPr>
          <w:sz w:val="20"/>
          <w:szCs w:val="20"/>
          <w:color w:val="auto"/>
        </w:rPr>
      </w:pPr>
    </w:p>
    <w:p>
      <w:pPr>
        <w:jc w:val="both"/>
        <w:ind w:right="3479"/>
        <w:spacing w:after="0" w:line="268" w:lineRule="auto"/>
        <w:rPr>
          <w:sz w:val="20"/>
          <w:szCs w:val="20"/>
          <w:color w:val="auto"/>
        </w:rPr>
      </w:pPr>
      <w:r>
        <w:rPr>
          <w:rFonts w:ascii="Courier New" w:cs="Courier New" w:eastAsia="Courier New" w:hAnsi="Courier New"/>
          <w:sz w:val="16"/>
          <w:szCs w:val="16"/>
          <w:color w:val="auto"/>
        </w:rPr>
        <w:t>Earnings from farm, timber, and real estate operations increased from $3.6 million in the second quarter of 1993 to $5.4 million in the current quarter, with timber operations contributing $4.5 million, an increase of 112 percent over the prior year.</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Sawtimber harvested increased from 7.7 million board feet to 13.7 million in the current quarter, and the average sales price was up 19 percent. Lumber sales increased 38 percent, and average lumber prices were up six percent. Thirty-two lots were sold at the Chenal Valley development in western Little Rock during the second quarter of 1994 compared to 84 a year ago.</w:t>
      </w:r>
    </w:p>
    <w:p>
      <w:pPr>
        <w:spacing w:after="0" w:line="210"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Corporate functions reflected a loss of $2.2 million in the current quarter compared to a loss of $.4 million in the second quarter of 1993.</w:t>
      </w:r>
    </w:p>
    <w:p>
      <w:pPr>
        <w:spacing w:after="0" w:line="209"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SIX MONTHS ENDED JUNE 30, 1994 COMPARED WITH SIX MONTHS ENDED JUNE 30, 1993</w:t>
      </w:r>
    </w:p>
    <w:p>
      <w:pPr>
        <w:spacing w:after="0" w:line="208"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6"/>
          <w:szCs w:val="16"/>
          <w:color w:val="auto"/>
        </w:rPr>
        <w:t>The Company's net income for the six months ended June 30, 1994 was $51.2 million, $1.14 a share, compared to $61.9 million, $1.38 a share, in 1993. Earnings for the first six months of 1994 included the previously discussed benefit of $6.4 million, $.14 a share, for settlement of U.K. tax matters. Unusual items included in the Company's net income for the six months ended June 30, 1993 were benefits of $11.3 million, $.25 a share, from refund of U.K. income taxes, and $15.3 million, $.34 a share, from recording the cumulative effect of accounting changes adopted effective January 1, 1993.</w:t>
      </w:r>
    </w:p>
    <w:p>
      <w:pPr>
        <w:spacing w:after="0" w:line="38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Excluding the unusual items, earnings for the first six months of 1994 totaled $44.8 million, $1.00 a share, compared to $35.3 million, $.79 a share, for the first half of 1993. All operating segments registered improved earnings over those for the prior year. The largest increase both in absolute dollars and on a percentage basis was in farm, timber, and real estate operations, which were up a total of $5.2 million, or 69 percent, due to higher volumes and prices for both timber and lumber. Earnings from refining, marketing, and transportation increased 52 percent, as the effect of higher average unit margins in the U.S. more than offset lower unit margins and higher marketing costs in Western Europe and lower earnings from crude oil trading activities in Canada. Exploration and production income was up 19 percent, as the effects of new sources of crude oil and gas liquids production, higher natural gas prices, and lower exploration expenses were only partially offset by lower crude oil prices. Results from corporate activities were unfavorable due primarily to lower income from interest and miscellaneous revenues.</w:t>
      </w:r>
    </w:p>
    <w:p>
      <w:pPr>
        <w:spacing w:after="0" w:line="210"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Earnings from exploration and production for the first six months of 1994 were $23.3 million compared to $19.6 million a year earlier. U.S. operations earned $14.6 million, down from $17.7 million in the first half of 1993, and international operations earned $8.7 million compared to $1.9 million a year ago. Total crude oil and gas liquids production averaged 47,893 barrels a day compared to 33,498 in the first six months of 1993. Production of synthetic oil from Murphy's interest in the Canadian Syncrude project, acquired in late 1993, averaged 8,701 barrels a day in the first half of 1994. U.K. crude production of 12,936 barrels a day in 1994 more than doubled that of the first six months of 1993; the increase was due to production from the "T" Block, which started up in late 1993, and the acquisition of an additional interest in the Ninian field effective January 1, 1994. Crude production decreased 670 barrels a day in the U.S., 447 for other oil produced in Canada, and 287 in other international areas. The Company's crude oil and gas liquids sales prices averaged $14.34 a barrel in the U.S. and $15.00 in the U.K., decreases of 19 percent and 17 percent, respectively. In Canada, sales prices averaged $12.89 a barrel</w:t>
      </w:r>
    </w:p>
    <w:p>
      <w:pPr>
        <w:sectPr>
          <w:pgSz w:w="11900" w:h="16838" w:orient="portrait"/>
          <w:cols w:equalWidth="0" w:num="1">
            <w:col w:w="10219"/>
          </w:cols>
          <w:pgMar w:left="240" w:top="717" w:right="1440" w:bottom="145" w:gutter="0" w:footer="0" w:header="0"/>
        </w:sectPr>
      </w:pPr>
    </w:p>
    <w:bookmarkStart w:id="14" w:name="page15"/>
    <w:bookmarkEnd w:id="14"/>
    <w:p>
      <w:pPr>
        <w:ind w:right="3359"/>
        <w:spacing w:after="0" w:line="237" w:lineRule="auto"/>
        <w:rPr>
          <w:sz w:val="20"/>
          <w:szCs w:val="20"/>
          <w:color w:val="auto"/>
        </w:rPr>
      </w:pPr>
      <w:r>
        <w:rPr>
          <w:rFonts w:ascii="Courier New" w:cs="Courier New" w:eastAsia="Courier New" w:hAnsi="Courier New"/>
          <w:sz w:val="18"/>
          <w:szCs w:val="18"/>
          <w:color w:val="auto"/>
        </w:rPr>
        <w:t>for light oil and $9.16 for heavy oil, down 16 percent and 13 percent, respectively. The sales price for Canadian synthetic oil averaged $14.77 a barrel in the first half of 1994. Murphy's average natural gas sales price in the U.S. was $2.13 an MCF in the first six months of 1994 compared to $2.02 a year ago, an increase of five percent. Natural gas sales prices averaged $1.55 an MCF in Canada and $2.39 in the U.K., increases of 36 percent and six percent,</w:t>
      </w: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42"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MANAGEMENT'S DISCUSSION AND ANALYSIS (CONTD.)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(CONTD.)</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respectively. In Spain, the price averaged $2.40 an MCF, a decrease of 11 percent from a year ago. Total natural gas sales increased one percent to 274,202 MCF a day, with a three-percent increase in U.S. sales nearly offset by slightly lower sales in Canada and the U.K. Exploration expenses totaled $20.1 million, down $4 million from the first half of 1993. Supporting tables on page 11 provide additional details of the results of exploration and production operations for the first six months of each year.</w:t>
      </w:r>
    </w:p>
    <w:p>
      <w:pPr>
        <w:spacing w:after="0" w:line="214"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Refining, marketing, and transportation operations earned $14.3 million in the first six months of 1994 compared to $9.4 million a year earlier. U.S. operations improved from $.4 million in the first six months of 1993 to $9.5 million as lower crude costs strengthened margins on most products. Operations in Western Europe earned $1.2 million, down from $3.7 million a year ago; the average unit margin declined 36 percent and marketing costs increased while sales volume was up 46 percent. Profits from purchasing, transporting, and reselling crude oil in Canada were $3.6 million in the first half of 1994 compared to $5.3 million in 1993, with the decline due mostly to lower crude trading margins. Refinery crude runs were 146,637 barrels a day compared to 133,252 in the first six months of 1993. Refined product sales were 160,285 barrels a day, up from 145,548 a year ago.</w:t>
      </w:r>
    </w:p>
    <w:p>
      <w:pPr>
        <w:spacing w:after="0" w:line="388"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Earnings from farm, timber, and real estate operations increased from $7.5 million in the first six months of 1993 to $12.7 million in the current six months. Timber operations contributed $11.3 million, an increase of 92 percent over the prior year. Harvested sawtimber increased from 19.7 million board feet in the first six months of 1993 to 34.2 million in the first half of 1994, and the average sales price was up 15 percent. Lumber prices and sawmill margins were also up. Seventy-five lots were sold at the Chenal Valley development in western Little Rock during the first six months of 1994 compared to 95 a year ago.</w:t>
      </w:r>
    </w:p>
    <w:p>
      <w:pPr>
        <w:spacing w:after="0" w:line="189"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Corporate functions for the first six months reflected losses of $5.5 million in 1994 and $1.2 million in 1993. The variance was primarily due to lower interest income, as the level of funds available for investment during the first half of 1993 was reduced later in the year by expenditures to acquire oil and gas properties.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w:t>
      </w:r>
    </w:p>
    <w:p>
      <w:pPr>
        <w:spacing w:after="0" w:line="207"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Cash provided by operating activities was $163.5 million for the first six months of 1994 compared to $136.4 million for the same period in 1993. Net increases in operating working capital other than cash and cash equivalents reduced cash by $17.4 million in 1994 and $40.1 million in 1993. The 1994 amount also reflected net recoveries of $13.8 million on an insurance claim to repair 1992 hurricane damage, whereas the 1993 amount was reduced by net expenditures of $14.9 million to repair the hurricane damage. Predominant uses of funds in both years were for capital expenditures (which, including amounts expensed, are summarized in the following table) and payment of dividends. Capital expenditures for exploration and production in 1993 included $100 million for the acquisition of an 8.52-percent interest in the U.K. North Sea "T" Block.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(Millions of dollars)</w:t>
            </w:r>
          </w:p>
        </w:tc>
        <w:tc>
          <w:tcPr>
            <w:tcW w:w="2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1994</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r>
    </w:tbl>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160" w:type="dxa"/>
            <w:vAlign w:val="bottom"/>
          </w:tcPr>
          <w:p>
            <w:pPr>
              <w:spacing w:after="0"/>
              <w:rPr>
                <w:sz w:val="20"/>
                <w:szCs w:val="20"/>
                <w:color w:val="auto"/>
              </w:rPr>
            </w:pPr>
            <w:r>
              <w:rPr>
                <w:rFonts w:ascii="Courier New" w:cs="Courier New" w:eastAsia="Courier New" w:hAnsi="Courier New"/>
                <w:sz w:val="18"/>
                <w:szCs w:val="18"/>
                <w:color w:val="auto"/>
              </w:rPr>
              <w:t>Exploration and production. . . . . .</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147.7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224.3</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Refining. . . . . . . . . . . . . . .</w:t>
            </w:r>
          </w:p>
        </w:tc>
        <w:tc>
          <w:tcPr>
            <w:tcW w:w="4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Marketing . . . . . . . . . . . . . .</w:t>
            </w:r>
          </w:p>
        </w:tc>
        <w:tc>
          <w:tcPr>
            <w:tcW w:w="4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Transportation. . . . . . . . . . . .</w:t>
            </w:r>
          </w:p>
        </w:tc>
        <w:tc>
          <w:tcPr>
            <w:tcW w:w="4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Farm, timber, and real estate . . . .</w:t>
            </w:r>
          </w:p>
        </w:tc>
        <w:tc>
          <w:tcPr>
            <w:tcW w:w="4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 . . . . . . . . . . . . . . .</w:t>
            </w:r>
          </w:p>
        </w:tc>
        <w:tc>
          <w:tcPr>
            <w:tcW w:w="4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4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196.8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271.7</w:t>
            </w:r>
          </w:p>
        </w:tc>
      </w:tr>
    </w:tbl>
    <w:p>
      <w:pPr>
        <w:sectPr>
          <w:pgSz w:w="11900" w:h="16838" w:orient="portrait"/>
          <w:cols w:equalWidth="0" w:num="1">
            <w:col w:w="10219"/>
          </w:cols>
          <w:pgMar w:left="240" w:top="717" w:right="1440" w:bottom="0" w:gutter="0" w:footer="0" w:header="0"/>
        </w:sectPr>
      </w:pPr>
    </w:p>
    <w:bookmarkStart w:id="16" w:name="page17"/>
    <w:bookmarkEnd w:id="16"/>
    <w:p>
      <w:pPr>
        <w:jc w:val="both"/>
        <w:ind w:left="5160"/>
        <w:spacing w:after="0"/>
        <w:tabs>
          <w:tab w:leader="none" w:pos="6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Working capital at June 30, 1994 was $107.6 million, down $22.6 million from December 31, 1993. This level of working capital does not fully reflect the Company's liquidity position, because the lower historical costs assigned to inventories under LIFO accounting were $69.3 million below current costs at June 30, 1994.</w:t>
      </w: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36"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MANAGEMENT'S DISCUSSION AND ANALYSIS (CONTD.)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 (CONTD.)</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At June 30, 1994, nonrecourse debt of a subsidiary was $108.1 million, an increase of $20.6 million during the first six months of 1994 for additional project financing. Notes payable and other long-term obligations of $21.8 million remained virtually unchanged. A summary of capital employed at June 30, 1994 and December 31, 1993 follows.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both"/>
        <w:ind w:left="5060"/>
        <w:spacing w:after="0"/>
        <w:tabs>
          <w:tab w:leader="none" w:pos="642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1993</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4300" w:val="left"/>
          <w:tab w:leader="none" w:pos="5360" w:val="left"/>
          <w:tab w:leader="none" w:pos="5780" w:val="left"/>
          <w:tab w:leader="none" w:pos="6720" w:val="left"/>
        </w:tabs>
        <w:rPr>
          <w:sz w:val="20"/>
          <w:szCs w:val="20"/>
          <w:color w:val="auto"/>
        </w:rPr>
      </w:pPr>
      <w:r>
        <w:rPr>
          <w:rFonts w:ascii="Courier New" w:cs="Courier New" w:eastAsia="Courier New" w:hAnsi="Courier New"/>
          <w:sz w:val="18"/>
          <w:szCs w:val="18"/>
          <w:color w:val="auto"/>
        </w:rPr>
        <w:t>(Millions of dollars)</w:t>
      </w:r>
      <w:r>
        <w:rPr>
          <w:sz w:val="20"/>
          <w:szCs w:val="20"/>
          <w:color w:val="auto"/>
        </w:rPr>
        <w:tab/>
      </w:r>
      <w:r>
        <w:rPr>
          <w:rFonts w:ascii="Courier New" w:cs="Courier New" w:eastAsia="Courier New" w:hAnsi="Courier New"/>
          <w:sz w:val="18"/>
          <w:szCs w:val="18"/>
          <w:color w:val="auto"/>
        </w:rPr>
        <w:t>Amount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Amount</w:t>
        <w:tab/>
        <w:t>%</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520" w:type="dxa"/>
            <w:vAlign w:val="bottom"/>
          </w:tcPr>
          <w:p>
            <w:pPr>
              <w:jc w:val="right"/>
              <w:ind w:right="1012"/>
              <w:spacing w:after="0"/>
              <w:rPr>
                <w:sz w:val="20"/>
                <w:szCs w:val="20"/>
                <w:color w:val="auto"/>
              </w:rPr>
            </w:pPr>
            <w:r>
              <w:rPr>
                <w:rFonts w:ascii="Courier New" w:cs="Courier New" w:eastAsia="Courier New" w:hAnsi="Courier New"/>
                <w:sz w:val="18"/>
                <w:szCs w:val="18"/>
                <w:color w:val="auto"/>
                <w:w w:val="96"/>
              </w:rPr>
              <w:t>Notes payable and other</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3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long-term obligations...........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21.8</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Nonrecourse debt of a subsidiary.</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108.1</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87.5</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Stockholders' equity.............</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1,242.3</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1,222.4</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w:t>
            </w:r>
          </w:p>
        </w:tc>
      </w:tr>
      <w:tr>
        <w:trPr>
          <w:trHeight w:val="203"/>
        </w:trPr>
        <w:tc>
          <w:tcPr>
            <w:tcW w:w="3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52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1,372.2</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1,331.6</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3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5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10</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OIL AND GAS OPERATING RESULTS*</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United</w:t>
      </w:r>
      <w:r>
        <w:rPr>
          <w:rFonts w:ascii="Courier New" w:cs="Courier New" w:eastAsia="Courier New" w:hAnsi="Courier New"/>
          <w:sz w:val="16"/>
          <w:szCs w:val="16"/>
          <w:color w:val="auto"/>
        </w:rPr>
        <w:t>Synthetic</w:t>
      </w:r>
    </w:p>
    <w:p>
      <w:pPr>
        <w:spacing w:after="0"/>
        <w:tabs>
          <w:tab w:leader="none" w:pos="1880" w:val="left"/>
          <w:tab w:leader="none" w:pos="3560" w:val="left"/>
          <w:tab w:leader="none" w:pos="5040" w:val="left"/>
          <w:tab w:leader="none" w:pos="5780" w:val="left"/>
        </w:tabs>
        <w:rPr>
          <w:sz w:val="20"/>
          <w:szCs w:val="20"/>
          <w:color w:val="auto"/>
        </w:rPr>
      </w:pPr>
      <w:r>
        <w:rPr>
          <w:rFonts w:ascii="Courier New" w:cs="Courier New" w:eastAsia="Courier New" w:hAnsi="Courier New"/>
          <w:sz w:val="18"/>
          <w:szCs w:val="18"/>
          <w:color w:val="auto"/>
        </w:rPr>
        <w:t>(Millions of</w:t>
      </w:r>
      <w:r>
        <w:rPr>
          <w:sz w:val="20"/>
          <w:szCs w:val="20"/>
          <w:color w:val="auto"/>
        </w:rPr>
        <w:tab/>
      </w:r>
      <w:r>
        <w:rPr>
          <w:rFonts w:ascii="Courier New" w:cs="Courier New" w:eastAsia="Courier New" w:hAnsi="Courier New"/>
          <w:sz w:val="18"/>
          <w:szCs w:val="18"/>
          <w:color w:val="auto"/>
        </w:rPr>
        <w:t>United</w:t>
      </w:r>
      <w:r>
        <w:rPr>
          <w:sz w:val="20"/>
          <w:szCs w:val="20"/>
          <w:color w:val="auto"/>
        </w:rPr>
        <w:tab/>
      </w:r>
      <w:r>
        <w:rPr>
          <w:rFonts w:ascii="Courier New" w:cs="Courier New" w:eastAsia="Courier New" w:hAnsi="Courier New"/>
          <w:sz w:val="18"/>
          <w:szCs w:val="18"/>
          <w:color w:val="auto"/>
        </w:rPr>
        <w:t>King-</w:t>
      </w:r>
      <w:r>
        <w:rPr>
          <w:sz w:val="20"/>
          <w:szCs w:val="20"/>
          <w:color w:val="auto"/>
        </w:rPr>
        <w:tab/>
      </w:r>
      <w:r>
        <w:rPr>
          <w:rFonts w:ascii="Courier New" w:cs="Courier New" w:eastAsia="Courier New" w:hAnsi="Courier New"/>
          <w:sz w:val="18"/>
          <w:szCs w:val="18"/>
          <w:color w:val="auto"/>
        </w:rPr>
        <w:t>Sub-</w:t>
      </w:r>
      <w:r>
        <w:rPr>
          <w:sz w:val="20"/>
          <w:szCs w:val="20"/>
          <w:color w:val="auto"/>
        </w:rPr>
        <w:tab/>
      </w:r>
      <w:r>
        <w:rPr>
          <w:rFonts w:ascii="Courier New" w:cs="Courier New" w:eastAsia="Courier New" w:hAnsi="Courier New"/>
          <w:sz w:val="16"/>
          <w:szCs w:val="16"/>
          <w:color w:val="auto"/>
        </w:rPr>
        <w:t>Oil-</w:t>
      </w:r>
    </w:p>
    <w:p>
      <w:pPr>
        <w:ind w:left="120"/>
        <w:spacing w:after="0" w:line="237" w:lineRule="auto"/>
        <w:tabs>
          <w:tab w:leader="none" w:pos="1880" w:val="left"/>
          <w:tab w:leader="none" w:pos="2720" w:val="left"/>
          <w:tab w:leader="none" w:pos="3680" w:val="left"/>
          <w:tab w:leader="none" w:pos="4840" w:val="left"/>
          <w:tab w:leader="none" w:pos="6300" w:val="left"/>
        </w:tabs>
        <w:rPr>
          <w:sz w:val="20"/>
          <w:szCs w:val="20"/>
          <w:color w:val="auto"/>
        </w:rPr>
      </w:pPr>
      <w:r>
        <w:rPr>
          <w:rFonts w:ascii="Courier New" w:cs="Courier New" w:eastAsia="Courier New" w:hAnsi="Courier New"/>
          <w:sz w:val="18"/>
          <w:szCs w:val="18"/>
          <w:color w:val="auto"/>
        </w:rPr>
        <w:t>dollars)</w:t>
      </w:r>
      <w:r>
        <w:rPr>
          <w:sz w:val="20"/>
          <w:szCs w:val="20"/>
          <w:color w:val="auto"/>
        </w:rPr>
        <w:tab/>
      </w:r>
      <w:r>
        <w:rPr>
          <w:rFonts w:ascii="Courier New" w:cs="Courier New" w:eastAsia="Courier New" w:hAnsi="Courier New"/>
          <w:sz w:val="18"/>
          <w:szCs w:val="18"/>
          <w:color w:val="auto"/>
        </w:rPr>
        <w:t>States</w:t>
        <w:tab/>
        <w:t>Canada</w:t>
      </w:r>
      <w:r>
        <w:rPr>
          <w:sz w:val="20"/>
          <w:szCs w:val="20"/>
          <w:color w:val="auto"/>
        </w:rPr>
        <w:tab/>
      </w:r>
      <w:r>
        <w:rPr>
          <w:rFonts w:ascii="Courier New" w:cs="Courier New" w:eastAsia="Courier New" w:hAnsi="Courier New"/>
          <w:sz w:val="18"/>
          <w:szCs w:val="18"/>
          <w:color w:val="auto"/>
        </w:rPr>
        <w:t>dom Other</w:t>
        <w:tab/>
        <w:t>total Canada</w:t>
        <w:tab/>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w w:val="96"/>
              </w:rPr>
              <w:t>THREE MONTHS ENDED</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JUNE 30, 1994</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$ 54.7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w:t>
            </w: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23.6</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102.6</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114.8</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Production costs</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w:t>
            </w: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8.1</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30.4</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39.4</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depletion, and</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23.2</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w:t>
            </w: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10.7</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39.6</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Exploration expenses</w:t>
            </w: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Dry hole costs</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Geological and</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geophysical</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costs</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costs</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5.4</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5.4</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Undeveloped lease</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amortization</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bl>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851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Total exploration</w:t>
      </w:r>
    </w:p>
    <w:p>
      <w:pPr>
        <w:ind w:left="540"/>
        <w:spacing w:after="0"/>
        <w:tabs>
          <w:tab w:leader="none" w:pos="2200" w:val="left"/>
          <w:tab w:leader="none" w:pos="3040" w:val="left"/>
          <w:tab w:leader="none" w:pos="3680" w:val="left"/>
          <w:tab w:leader="none" w:pos="4420" w:val="left"/>
          <w:tab w:leader="none" w:pos="5040" w:val="left"/>
          <w:tab w:leader="none" w:pos="6000" w:val="left"/>
          <w:tab w:leader="none" w:pos="6520" w:val="left"/>
        </w:tabs>
        <w:rPr>
          <w:sz w:val="20"/>
          <w:szCs w:val="20"/>
          <w:color w:val="auto"/>
        </w:rPr>
      </w:pPr>
      <w:r>
        <w:rPr>
          <w:rFonts w:ascii="Courier New" w:cs="Courier New" w:eastAsia="Courier New" w:hAnsi="Courier New"/>
          <w:sz w:val="18"/>
          <w:szCs w:val="18"/>
          <w:color w:val="auto"/>
        </w:rPr>
        <w:t>expenses</w:t>
      </w:r>
      <w:r>
        <w:rPr>
          <w:sz w:val="20"/>
          <w:szCs w:val="20"/>
          <w:color w:val="auto"/>
        </w:rPr>
        <w:tab/>
      </w: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1.7</w:t>
      </w:r>
      <w:r>
        <w:rPr>
          <w:sz w:val="20"/>
          <w:szCs w:val="20"/>
          <w:color w:val="auto"/>
        </w:rPr>
        <w:tab/>
      </w: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8.2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Other items, net</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2.7</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2.8</w:t>
            </w:r>
          </w:p>
        </w:tc>
      </w:tr>
      <w:tr>
        <w:trPr>
          <w:trHeight w:val="203"/>
        </w:trPr>
        <w:tc>
          <w:tcPr>
            <w:tcW w:w="1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Income tax</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1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provision</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8.3</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r>
    </w:tbl>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right"/>
        <w:ind w:left="120" w:right="799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Results of operations (excluding corporate</w:t>
      </w:r>
    </w:p>
    <w:p>
      <w:pPr>
        <w:ind w:left="120"/>
        <w:spacing w:after="0" w:line="233" w:lineRule="auto"/>
        <w:rPr>
          <w:sz w:val="20"/>
          <w:szCs w:val="20"/>
          <w:color w:val="auto"/>
        </w:rPr>
      </w:pPr>
      <w:r>
        <w:rPr>
          <w:rFonts w:ascii="Courier New" w:cs="Courier New" w:eastAsia="Courier New" w:hAnsi="Courier New"/>
          <w:sz w:val="18"/>
          <w:szCs w:val="18"/>
          <w:color w:val="auto"/>
        </w:rPr>
        <w:t>overhead and</w:t>
      </w:r>
    </w:p>
    <w:p>
      <w:pPr>
        <w:ind w:left="120"/>
        <w:spacing w:after="0"/>
        <w:tabs>
          <w:tab w:leader="none" w:pos="1880" w:val="left"/>
          <w:tab w:leader="none" w:pos="2200" w:val="left"/>
          <w:tab w:leader="none" w:pos="3040" w:val="left"/>
          <w:tab w:leader="none" w:pos="3780" w:val="left"/>
          <w:tab w:leader="none" w:pos="4300" w:val="left"/>
          <w:tab w:leader="none" w:pos="4940" w:val="left"/>
          <w:tab w:leader="none" w:pos="5780" w:val="left"/>
          <w:tab w:leader="none" w:pos="6420" w:val="left"/>
        </w:tabs>
        <w:rPr>
          <w:sz w:val="20"/>
          <w:szCs w:val="20"/>
          <w:color w:val="auto"/>
        </w:rPr>
      </w:pPr>
      <w:r>
        <w:rPr>
          <w:rFonts w:ascii="Courier New" w:cs="Courier New" w:eastAsia="Courier New" w:hAnsi="Courier New"/>
          <w:sz w:val="18"/>
          <w:szCs w:val="18"/>
          <w:color w:val="auto"/>
        </w:rPr>
        <w:t>interest)</w:t>
      </w:r>
      <w:r>
        <w:rPr>
          <w:sz w:val="20"/>
          <w:szCs w:val="20"/>
          <w:color w:val="auto"/>
        </w:rPr>
        <w:tab/>
      </w:r>
      <w:r>
        <w:rPr>
          <w:rFonts w:ascii="Courier New" w:cs="Courier New" w:eastAsia="Courier New" w:hAnsi="Courier New"/>
          <w:sz w:val="18"/>
          <w:szCs w:val="18"/>
          <w:color w:val="auto"/>
        </w:rPr>
        <w:t>$</w:t>
        <w:tab/>
        <w:t>6.9</w:t>
      </w:r>
      <w:r>
        <w:rPr>
          <w:sz w:val="20"/>
          <w:szCs w:val="20"/>
          <w:color w:val="auto"/>
        </w:rPr>
        <w:tab/>
      </w: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.8</w:t>
        <w:tab/>
        <w:t>1.6</w:t>
      </w:r>
      <w:r>
        <w:rPr>
          <w:sz w:val="20"/>
          <w:szCs w:val="20"/>
          <w:color w:val="auto"/>
        </w:rPr>
        <w:tab/>
      </w:r>
      <w:r>
        <w:rPr>
          <w:rFonts w:ascii="Courier New" w:cs="Courier New" w:eastAsia="Courier New" w:hAnsi="Courier New"/>
          <w:sz w:val="18"/>
          <w:szCs w:val="18"/>
          <w:color w:val="auto"/>
        </w:rPr>
        <w:t>13.4</w:t>
      </w:r>
      <w:r>
        <w:rPr>
          <w:sz w:val="20"/>
          <w:szCs w:val="20"/>
          <w:color w:val="auto"/>
        </w:rPr>
        <w:tab/>
      </w: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14.7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w w:val="96"/>
              </w:rPr>
              <w:t>THREE MONTHS ENDED</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JUNE 30, 1993</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$ 65.4</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w:t>
            </w: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11.3</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100.3</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100.3</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Production costs</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14.2</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w:t>
            </w: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5.5</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28.6</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depletion, and</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w:t>
            </w: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3.3</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33.2</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Exploration expenses</w:t>
            </w: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Dry hole costs</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Geological and</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geophysical</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costs</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costs</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4.9</w:t>
            </w:r>
          </w:p>
        </w:tc>
        <w:tc>
          <w:tcPr>
            <w:tcW w:w="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w:t>
            </w:r>
          </w:p>
        </w:tc>
        <w:tc>
          <w:tcPr>
            <w:tcW w:w="7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3.9</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9.4</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9.4</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Undeveloped lease</w:t>
            </w: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amortization</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w:t>
            </w:r>
          </w:p>
        </w:tc>
        <w:tc>
          <w:tcPr>
            <w:tcW w:w="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exploration</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expenses</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   3.9   12.3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Other items, net</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2.9</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w:t>
            </w:r>
          </w:p>
        </w:tc>
        <w:tc>
          <w:tcPr>
            <w:tcW w:w="6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5.5</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5.5</w:t>
            </w:r>
          </w:p>
        </w:tc>
      </w:tr>
      <w:tr>
        <w:trPr>
          <w:trHeight w:val="203"/>
        </w:trPr>
        <w:tc>
          <w:tcPr>
            <w:tcW w:w="1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Income tax</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1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provision</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w:t>
            </w:r>
          </w:p>
        </w:tc>
        <w:tc>
          <w:tcPr>
            <w:tcW w:w="6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w:t>
            </w:r>
          </w:p>
        </w:tc>
      </w:tr>
    </w:tbl>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Results of operations</w:t>
      </w:r>
    </w:p>
    <w:p>
      <w:pPr>
        <w:ind w:left="120"/>
        <w:spacing w:after="0"/>
        <w:rPr>
          <w:sz w:val="20"/>
          <w:szCs w:val="20"/>
          <w:color w:val="auto"/>
        </w:rPr>
      </w:pPr>
      <w:r>
        <w:rPr>
          <w:rFonts w:ascii="Courier New" w:cs="Courier New" w:eastAsia="Courier New" w:hAnsi="Courier New"/>
          <w:sz w:val="18"/>
          <w:szCs w:val="18"/>
          <w:color w:val="auto"/>
        </w:rPr>
        <w:t>(excluding corporate</w:t>
      </w:r>
    </w:p>
    <w:p>
      <w:pPr>
        <w:ind w:left="120"/>
        <w:spacing w:after="0" w:line="237" w:lineRule="auto"/>
        <w:rPr>
          <w:sz w:val="20"/>
          <w:szCs w:val="20"/>
          <w:color w:val="auto"/>
        </w:rPr>
      </w:pPr>
      <w:r>
        <w:rPr>
          <w:rFonts w:ascii="Courier New" w:cs="Courier New" w:eastAsia="Courier New" w:hAnsi="Courier New"/>
          <w:sz w:val="18"/>
          <w:szCs w:val="18"/>
          <w:color w:val="auto"/>
        </w:rPr>
        <w:t>overhead and</w:t>
      </w:r>
    </w:p>
    <w:p>
      <w:pPr>
        <w:ind w:left="120"/>
        <w:spacing w:after="0"/>
        <w:tabs>
          <w:tab w:leader="none" w:pos="1880" w:val="left"/>
          <w:tab w:leader="none" w:pos="3040" w:val="left"/>
          <w:tab w:leader="none" w:pos="3780" w:val="left"/>
          <w:tab w:leader="none" w:pos="4200" w:val="left"/>
          <w:tab w:leader="none" w:pos="4940" w:val="left"/>
          <w:tab w:leader="none" w:pos="6000" w:val="left"/>
          <w:tab w:leader="none" w:pos="6420" w:val="left"/>
        </w:tabs>
        <w:rPr>
          <w:sz w:val="20"/>
          <w:szCs w:val="20"/>
          <w:color w:val="auto"/>
        </w:rPr>
      </w:pPr>
      <w:r>
        <w:rPr>
          <w:rFonts w:ascii="Courier New" w:cs="Courier New" w:eastAsia="Courier New" w:hAnsi="Courier New"/>
          <w:sz w:val="18"/>
          <w:szCs w:val="18"/>
          <w:color w:val="auto"/>
        </w:rPr>
        <w:t>interest)</w:t>
      </w:r>
      <w:r>
        <w:rPr>
          <w:sz w:val="20"/>
          <w:szCs w:val="20"/>
          <w:color w:val="auto"/>
        </w:rPr>
        <w:tab/>
      </w:r>
      <w:r>
        <w:rPr>
          <w:rFonts w:ascii="Courier New" w:cs="Courier New" w:eastAsia="Courier New" w:hAnsi="Courier New"/>
          <w:sz w:val="18"/>
          <w:szCs w:val="18"/>
          <w:color w:val="auto"/>
        </w:rPr>
        <w:t>$ 10.7</w:t>
      </w:r>
      <w:r>
        <w:rPr>
          <w:sz w:val="20"/>
          <w:szCs w:val="20"/>
          <w:color w:val="auto"/>
        </w:rPr>
        <w:tab/>
      </w:r>
      <w:r>
        <w:rPr>
          <w:rFonts w:ascii="Courier New" w:cs="Courier New" w:eastAsia="Courier New" w:hAnsi="Courier New"/>
          <w:sz w:val="18"/>
          <w:szCs w:val="18"/>
          <w:color w:val="auto"/>
        </w:rPr>
        <w:t>2.9</w:t>
      </w:r>
      <w:r>
        <w:rPr>
          <w:sz w:val="20"/>
          <w:szCs w:val="20"/>
          <w:color w:val="auto"/>
        </w:rPr>
        <w:tab/>
      </w:r>
      <w:r>
        <w:rPr>
          <w:rFonts w:ascii="Courier New" w:cs="Courier New" w:eastAsia="Courier New" w:hAnsi="Courier New"/>
          <w:sz w:val="18"/>
          <w:szCs w:val="18"/>
          <w:color w:val="auto"/>
        </w:rPr>
        <w:t>.7</w:t>
        <w:tab/>
        <w:t>(3.1)</w:t>
        <w:tab/>
        <w:t>11.2</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11.2</w:t>
      </w: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SIX MONTHS ENDED</w:t>
      </w:r>
    </w:p>
    <w:p>
      <w:pPr>
        <w:ind w:left="120"/>
        <w:spacing w:after="0" w:line="238" w:lineRule="auto"/>
        <w:rPr>
          <w:sz w:val="20"/>
          <w:szCs w:val="20"/>
          <w:color w:val="auto"/>
        </w:rPr>
      </w:pPr>
      <w:r>
        <w:rPr>
          <w:rFonts w:ascii="Courier New" w:cs="Courier New" w:eastAsia="Courier New" w:hAnsi="Courier New"/>
          <w:sz w:val="18"/>
          <w:szCs w:val="18"/>
          <w:color w:val="auto"/>
        </w:rPr>
        <w:t>JUNE 30, 1994</w:t>
      </w:r>
    </w:p>
    <w:p>
      <w:pPr>
        <w:spacing w:after="0"/>
        <w:tabs>
          <w:tab w:leader="none" w:pos="1880" w:val="left"/>
          <w:tab w:leader="none" w:pos="2940" w:val="left"/>
          <w:tab w:leader="none" w:pos="3560" w:val="left"/>
          <w:tab w:leader="none" w:pos="4300" w:val="left"/>
          <w:tab w:leader="none" w:pos="4840" w:val="left"/>
          <w:tab w:leader="none" w:pos="5680" w:val="left"/>
          <w:tab w:leader="none" w:pos="6300" w:val="left"/>
        </w:tabs>
        <w:rPr>
          <w:sz w:val="20"/>
          <w:szCs w:val="20"/>
          <w:color w:val="auto"/>
        </w:rPr>
      </w:pPr>
      <w:r>
        <w:rPr>
          <w:rFonts w:ascii="Courier New" w:cs="Courier New" w:eastAsia="Courier New" w:hAnsi="Courier New"/>
          <w:sz w:val="18"/>
          <w:szCs w:val="18"/>
          <w:color w:val="auto"/>
        </w:rPr>
        <w:t>Revenues</w:t>
      </w:r>
      <w:r>
        <w:rPr>
          <w:sz w:val="20"/>
          <w:szCs w:val="20"/>
          <w:color w:val="auto"/>
        </w:rPr>
        <w:tab/>
      </w:r>
      <w:r>
        <w:rPr>
          <w:rFonts w:ascii="Courier New" w:cs="Courier New" w:eastAsia="Courier New" w:hAnsi="Courier New"/>
          <w:sz w:val="18"/>
          <w:szCs w:val="18"/>
          <w:color w:val="auto"/>
        </w:rPr>
        <w:t>$115.4</w:t>
      </w:r>
      <w:r>
        <w:rPr>
          <w:sz w:val="20"/>
          <w:szCs w:val="20"/>
          <w:color w:val="auto"/>
        </w:rPr>
        <w:tab/>
      </w:r>
      <w:r>
        <w:rPr>
          <w:rFonts w:ascii="Courier New" w:cs="Courier New" w:eastAsia="Courier New" w:hAnsi="Courier New"/>
          <w:sz w:val="18"/>
          <w:szCs w:val="18"/>
          <w:color w:val="auto"/>
        </w:rPr>
        <w:t>33.4</w:t>
        <w:tab/>
        <w:t>44.1</w:t>
        <w:tab/>
        <w:t>8.2</w:t>
        <w:tab/>
        <w:t>201.1</w:t>
      </w:r>
      <w:r>
        <w:rPr>
          <w:sz w:val="20"/>
          <w:szCs w:val="20"/>
          <w:color w:val="auto"/>
        </w:rPr>
        <w:tab/>
      </w:r>
      <w:r>
        <w:rPr>
          <w:rFonts w:ascii="Courier New" w:cs="Courier New" w:eastAsia="Courier New" w:hAnsi="Courier New"/>
          <w:sz w:val="18"/>
          <w:szCs w:val="18"/>
          <w:color w:val="auto"/>
        </w:rPr>
        <w:t>23.3</w:t>
        <w:tab/>
        <w:t>224.4</w:t>
      </w:r>
    </w:p>
    <w:p>
      <w:pPr>
        <w:spacing w:after="0" w:line="3"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Production costs 27.6 11.5 15.5 3.5 58.1 19.3 77.4 Depreciation,</w:t>
      </w:r>
    </w:p>
    <w:p>
      <w:pPr>
        <w:sectPr>
          <w:pgSz w:w="11900" w:h="16838" w:orient="portrait"/>
          <w:cols w:equalWidth="0" w:num="1">
            <w:col w:w="10219"/>
          </w:cols>
          <w:pgMar w:left="240" w:top="1122" w:right="1440"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4"/>
        </w:trPr>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depletion, and</w:t>
            </w: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49.2</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19.8</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79.8</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82.2</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Exploration expenses</w:t>
            </w: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Dry hole costs</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Geological and</w:t>
            </w: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geophysical</w:t>
            </w: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costs</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costs</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7.3</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3.4</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3.3</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14.7</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14.7</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Undeveloped lease</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amortization</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bl>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851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Total exploration</w:t>
      </w:r>
    </w:p>
    <w:tbl>
      <w:tblPr>
        <w:tblLayout w:type="fixed"/>
        <w:tblInd w:w="540" w:type="dxa"/>
        <w:tblCellMar>
          <w:top w:w="0" w:type="dxa"/>
          <w:left w:w="0" w:type="dxa"/>
          <w:bottom w:w="0" w:type="dxa"/>
          <w:right w:w="0" w:type="dxa"/>
        </w:tblCellMar>
      </w:tblPr>
      <w:tr>
        <w:trPr>
          <w:trHeight w:val="199"/>
        </w:trPr>
        <w:tc>
          <w:tcPr>
            <w:tcW w:w="1200" w:type="dxa"/>
            <w:vAlign w:val="bottom"/>
          </w:tcPr>
          <w:p>
            <w:pPr>
              <w:spacing w:after="0" w:line="198" w:lineRule="exact"/>
              <w:rPr>
                <w:sz w:val="20"/>
                <w:szCs w:val="20"/>
                <w:color w:val="auto"/>
              </w:rPr>
            </w:pPr>
            <w:r>
              <w:rPr>
                <w:rFonts w:ascii="Courier New" w:cs="Courier New" w:eastAsia="Courier New" w:hAnsi="Courier New"/>
                <w:sz w:val="18"/>
                <w:szCs w:val="18"/>
                <w:color w:val="auto"/>
              </w:rPr>
              <w:t>expenses</w:t>
            </w:r>
          </w:p>
        </w:tc>
        <w:tc>
          <w:tcPr>
            <w:tcW w:w="1060" w:type="dxa"/>
            <w:vAlign w:val="bottom"/>
          </w:tcPr>
          <w:p>
            <w:pPr>
              <w:jc w:val="right"/>
              <w:ind w:right="172"/>
              <w:spacing w:after="0" w:line="198" w:lineRule="exact"/>
              <w:rPr>
                <w:sz w:val="20"/>
                <w:szCs w:val="20"/>
                <w:color w:val="auto"/>
              </w:rPr>
            </w:pPr>
            <w:r>
              <w:rPr>
                <w:rFonts w:ascii="Courier New" w:cs="Courier New" w:eastAsia="Courier New" w:hAnsi="Courier New"/>
                <w:sz w:val="18"/>
                <w:szCs w:val="18"/>
                <w:color w:val="auto"/>
              </w:rPr>
              <w:t>11.4</w:t>
            </w:r>
          </w:p>
        </w:tc>
        <w:tc>
          <w:tcPr>
            <w:tcW w:w="1420" w:type="dxa"/>
            <w:vAlign w:val="bottom"/>
          </w:tcPr>
          <w:p>
            <w:pPr>
              <w:jc w:val="right"/>
              <w:ind w:right="112"/>
              <w:spacing w:after="0" w:line="198" w:lineRule="exact"/>
              <w:rPr>
                <w:sz w:val="20"/>
                <w:szCs w:val="20"/>
                <w:color w:val="auto"/>
              </w:rPr>
            </w:pPr>
            <w:r>
              <w:rPr>
                <w:rFonts w:ascii="Courier New" w:cs="Courier New" w:eastAsia="Courier New" w:hAnsi="Courier New"/>
                <w:sz w:val="18"/>
                <w:szCs w:val="18"/>
                <w:color w:val="auto"/>
              </w:rPr>
              <w:t>4.7   3.3</w:t>
            </w:r>
          </w:p>
        </w:tc>
        <w:tc>
          <w:tcPr>
            <w:tcW w:w="1480" w:type="dxa"/>
            <w:vAlign w:val="bottom"/>
          </w:tcPr>
          <w:p>
            <w:pPr>
              <w:jc w:val="right"/>
              <w:ind w:right="232"/>
              <w:spacing w:after="0" w:line="198" w:lineRule="exact"/>
              <w:rPr>
                <w:sz w:val="20"/>
                <w:szCs w:val="20"/>
                <w:color w:val="auto"/>
              </w:rPr>
            </w:pPr>
            <w:r>
              <w:rPr>
                <w:rFonts w:ascii="Courier New" w:cs="Courier New" w:eastAsia="Courier New" w:hAnsi="Courier New"/>
                <w:sz w:val="18"/>
                <w:szCs w:val="18"/>
                <w:color w:val="auto"/>
              </w:rPr>
              <w:t>.7   20.1</w:t>
            </w:r>
          </w:p>
        </w:tc>
        <w:tc>
          <w:tcPr>
            <w:tcW w:w="11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   20.1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Other items, net</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2.7</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6.9</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7.0</w:t>
            </w:r>
          </w:p>
        </w:tc>
      </w:tr>
      <w:tr>
        <w:trPr>
          <w:trHeight w:val="203"/>
        </w:trPr>
        <w:tc>
          <w:tcPr>
            <w:tcW w:w="1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Income tax</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provision</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13.9</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Results of operations</w:t>
      </w:r>
    </w:p>
    <w:p>
      <w:pPr>
        <w:ind w:left="120"/>
        <w:spacing w:after="0"/>
        <w:rPr>
          <w:sz w:val="20"/>
          <w:szCs w:val="20"/>
          <w:color w:val="auto"/>
        </w:rPr>
      </w:pPr>
      <w:r>
        <w:rPr>
          <w:rFonts w:ascii="Courier New" w:cs="Courier New" w:eastAsia="Courier New" w:hAnsi="Courier New"/>
          <w:sz w:val="18"/>
          <w:szCs w:val="18"/>
          <w:color w:val="auto"/>
        </w:rPr>
        <w:t>(excluding corporate</w:t>
      </w:r>
    </w:p>
    <w:p>
      <w:pPr>
        <w:ind w:left="120"/>
        <w:spacing w:after="0" w:line="237" w:lineRule="auto"/>
        <w:rPr>
          <w:sz w:val="20"/>
          <w:szCs w:val="20"/>
          <w:color w:val="auto"/>
        </w:rPr>
      </w:pPr>
      <w:r>
        <w:rPr>
          <w:rFonts w:ascii="Courier New" w:cs="Courier New" w:eastAsia="Courier New" w:hAnsi="Courier New"/>
          <w:sz w:val="18"/>
          <w:szCs w:val="18"/>
          <w:color w:val="auto"/>
        </w:rPr>
        <w:t>overhead and</w:t>
      </w:r>
    </w:p>
    <w:p>
      <w:pPr>
        <w:ind w:left="120"/>
        <w:spacing w:after="0"/>
        <w:tabs>
          <w:tab w:leader="none" w:pos="1880" w:val="left"/>
          <w:tab w:leader="none" w:pos="3040" w:val="left"/>
          <w:tab w:leader="none" w:pos="3680" w:val="left"/>
          <w:tab w:leader="none" w:pos="4300" w:val="left"/>
          <w:tab w:leader="none" w:pos="4940" w:val="left"/>
          <w:tab w:leader="none" w:pos="5780" w:val="left"/>
          <w:tab w:leader="none" w:pos="6420" w:val="left"/>
        </w:tabs>
        <w:rPr>
          <w:sz w:val="20"/>
          <w:szCs w:val="20"/>
          <w:color w:val="auto"/>
        </w:rPr>
      </w:pPr>
      <w:r>
        <w:rPr>
          <w:rFonts w:ascii="Courier New" w:cs="Courier New" w:eastAsia="Courier New" w:hAnsi="Courier New"/>
          <w:sz w:val="18"/>
          <w:szCs w:val="18"/>
          <w:color w:val="auto"/>
        </w:rPr>
        <w:t>interest)</w:t>
      </w:r>
      <w:r>
        <w:rPr>
          <w:sz w:val="20"/>
          <w:szCs w:val="20"/>
          <w:color w:val="auto"/>
        </w:rPr>
        <w:tab/>
      </w:r>
      <w:r>
        <w:rPr>
          <w:rFonts w:ascii="Courier New" w:cs="Courier New" w:eastAsia="Courier New" w:hAnsi="Courier New"/>
          <w:sz w:val="18"/>
          <w:szCs w:val="18"/>
          <w:color w:val="auto"/>
        </w:rPr>
        <w:t>$ 14.6</w:t>
      </w:r>
      <w:r>
        <w:rPr>
          <w:sz w:val="20"/>
          <w:szCs w:val="20"/>
          <w:color w:val="auto"/>
        </w:rPr>
        <w:tab/>
      </w:r>
      <w:r>
        <w:rPr>
          <w:rFonts w:ascii="Courier New" w:cs="Courier New" w:eastAsia="Courier New" w:hAnsi="Courier New"/>
          <w:sz w:val="18"/>
          <w:szCs w:val="18"/>
          <w:color w:val="auto"/>
        </w:rPr>
        <w:t>3.8</w:t>
      </w:r>
      <w:r>
        <w:rPr>
          <w:sz w:val="20"/>
          <w:szCs w:val="20"/>
          <w:color w:val="auto"/>
        </w:rPr>
        <w:tab/>
      </w:r>
      <w:r>
        <w:rPr>
          <w:rFonts w:ascii="Courier New" w:cs="Courier New" w:eastAsia="Courier New" w:hAnsi="Courier New"/>
          <w:sz w:val="18"/>
          <w:szCs w:val="18"/>
          <w:color w:val="auto"/>
        </w:rPr>
        <w:t>1.4</w:t>
        <w:tab/>
        <w:t>2.5</w:t>
      </w:r>
      <w:r>
        <w:rPr>
          <w:sz w:val="20"/>
          <w:szCs w:val="20"/>
          <w:color w:val="auto"/>
        </w:rPr>
        <w:tab/>
      </w:r>
      <w:r>
        <w:rPr>
          <w:rFonts w:ascii="Courier New" w:cs="Courier New" w:eastAsia="Courier New" w:hAnsi="Courier New"/>
          <w:sz w:val="18"/>
          <w:szCs w:val="18"/>
          <w:color w:val="auto"/>
        </w:rPr>
        <w:t>22.3</w:t>
      </w:r>
      <w:r>
        <w:rPr>
          <w:sz w:val="20"/>
          <w:szCs w:val="20"/>
          <w:color w:val="auto"/>
        </w:rPr>
        <w:tab/>
      </w: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23.3</w:t>
      </w: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SIX MONTHS ENDED</w:t>
            </w: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JUNE 30, 1993</w:t>
            </w: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$121.8</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35.5</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25.7</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193.1</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193.1</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Production costs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27.8</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55.7</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55.7</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depletion, and</w:t>
            </w: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66.8</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66.8</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Exploration expenses</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Dry hole costs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12.0</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Geological and</w:t>
            </w: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geophysical</w:t>
            </w: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costs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9.3</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3.2</w:t>
            </w:r>
          </w:p>
        </w:tc>
        <w:tc>
          <w:tcPr>
            <w:tcW w:w="62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1.0</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4.2</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17.7</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17.7</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Undeveloped lease</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amortization</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w:t>
            </w:r>
          </w:p>
        </w:tc>
        <w:tc>
          <w:tcPr>
            <w:tcW w:w="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exploration</w:t>
            </w: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expenses</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13.9</w:t>
            </w:r>
          </w:p>
        </w:tc>
        <w:tc>
          <w:tcPr>
            <w:tcW w:w="2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4.6   1.0   4.6   24.1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Other items, net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5.5</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2.4</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10.5</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10.5</w:t>
            </w:r>
          </w:p>
        </w:tc>
      </w:tr>
      <w:tr>
        <w:trPr>
          <w:trHeight w:val="203"/>
        </w:trPr>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6"/>
              </w:rPr>
              <w:t>Income tax</w:t>
            </w: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provision</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11.3</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16.4</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w:t>
            </w:r>
          </w:p>
        </w:tc>
      </w:tr>
    </w:tbl>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right"/>
        <w:ind w:left="120" w:right="799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Results of operations (excluding corporate</w:t>
      </w:r>
    </w:p>
    <w:p>
      <w:pPr>
        <w:ind w:left="120"/>
        <w:spacing w:after="0" w:line="233" w:lineRule="auto"/>
        <w:rPr>
          <w:sz w:val="20"/>
          <w:szCs w:val="20"/>
          <w:color w:val="auto"/>
        </w:rPr>
      </w:pPr>
      <w:r>
        <w:rPr>
          <w:rFonts w:ascii="Courier New" w:cs="Courier New" w:eastAsia="Courier New" w:hAnsi="Courier New"/>
          <w:sz w:val="18"/>
          <w:szCs w:val="18"/>
          <w:color w:val="auto"/>
        </w:rPr>
        <w:t>overhead and</w:t>
      </w:r>
    </w:p>
    <w:p>
      <w:pPr>
        <w:ind w:left="120"/>
        <w:spacing w:after="0"/>
        <w:tabs>
          <w:tab w:leader="none" w:pos="1880" w:val="left"/>
          <w:tab w:leader="none" w:pos="3040" w:val="left"/>
          <w:tab w:leader="none" w:pos="3680" w:val="left"/>
          <w:tab w:leader="none" w:pos="4200" w:val="left"/>
          <w:tab w:leader="none" w:pos="4940" w:val="left"/>
          <w:tab w:leader="none" w:pos="6000" w:val="left"/>
          <w:tab w:leader="none" w:pos="6420" w:val="left"/>
        </w:tabs>
        <w:rPr>
          <w:sz w:val="20"/>
          <w:szCs w:val="20"/>
          <w:color w:val="auto"/>
        </w:rPr>
      </w:pPr>
      <w:r>
        <w:rPr>
          <w:rFonts w:ascii="Courier New" w:cs="Courier New" w:eastAsia="Courier New" w:hAnsi="Courier New"/>
          <w:sz w:val="18"/>
          <w:szCs w:val="18"/>
          <w:color w:val="auto"/>
        </w:rPr>
        <w:t>interest)</w:t>
      </w:r>
      <w:r>
        <w:rPr>
          <w:sz w:val="20"/>
          <w:szCs w:val="20"/>
          <w:color w:val="auto"/>
        </w:rPr>
        <w:tab/>
      </w:r>
      <w:r>
        <w:rPr>
          <w:rFonts w:ascii="Courier New" w:cs="Courier New" w:eastAsia="Courier New" w:hAnsi="Courier New"/>
          <w:sz w:val="18"/>
          <w:szCs w:val="18"/>
          <w:color w:val="auto"/>
        </w:rPr>
        <w:t>$ 17.7</w:t>
      </w:r>
      <w:r>
        <w:rPr>
          <w:sz w:val="20"/>
          <w:szCs w:val="20"/>
          <w:color w:val="auto"/>
        </w:rPr>
        <w:tab/>
      </w: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8"/>
          <w:szCs w:val="18"/>
          <w:color w:val="auto"/>
        </w:rPr>
        <w:t>1.5</w:t>
        <w:tab/>
        <w:t>(2.9)</w:t>
        <w:tab/>
        <w:t>19.6</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19.6</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*Excludes unusual or infrequently occurring items.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36"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left="1480" w:right="3579" w:hanging="419"/>
        <w:spacing w:after="0" w:line="237"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Note C to the Consolidated Financial Statements, page 5 of this report, concerning certain legal proceedings in which the Company is involved, is incorporated herein by reference.</w:t>
      </w:r>
    </w:p>
    <w:p>
      <w:pPr>
        <w:spacing w:after="0" w:line="208" w:lineRule="exact"/>
        <w:rPr>
          <w:rFonts w:ascii="Courier New" w:cs="Courier New" w:eastAsia="Courier New" w:hAnsi="Courier New"/>
          <w:sz w:val="18"/>
          <w:szCs w:val="18"/>
          <w:color w:val="auto"/>
        </w:rPr>
      </w:pPr>
    </w:p>
    <w:p>
      <w:pPr>
        <w:ind w:left="1480" w:right="3479" w:hanging="419"/>
        <w:spacing w:after="0" w:line="270" w:lineRule="auto"/>
        <w:tabs>
          <w:tab w:leader="none" w:pos="14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of the Company's subsidiaries, Murphy Oil USA, Inc., owns and operates two oil refineries in the U.S. This subsidiary is a defendant in three governmental actions that (1) seek monetary sanctions of $100,000 or more, and (2) arise under enacted provisions that regulate the discharge of materials into the environment or have the purpose of protecting the environment. These actions individually or in the aggregate are not material to the financial condition of the Company.</w:t>
      </w:r>
    </w:p>
    <w:p>
      <w:pPr>
        <w:spacing w:after="0" w:line="189" w:lineRule="exact"/>
        <w:rPr>
          <w:rFonts w:ascii="Courier New" w:cs="Courier New" w:eastAsia="Courier New" w:hAnsi="Courier New"/>
          <w:sz w:val="16"/>
          <w:szCs w:val="16"/>
          <w:color w:val="auto"/>
        </w:rPr>
      </w:pPr>
    </w:p>
    <w:p>
      <w:pPr>
        <w:ind w:left="1480" w:right="3359" w:hanging="419"/>
        <w:spacing w:after="0" w:line="275" w:lineRule="auto"/>
        <w:tabs>
          <w:tab w:leader="none" w:pos="14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are engaged in a number of other legal proceedings, all of which the Company considers routine and incidental to its business and none of which is material as defined.</w:t>
      </w:r>
    </w:p>
    <w:p>
      <w:pPr>
        <w:spacing w:after="0" w:line="17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left="1060" w:right="3359"/>
        <w:spacing w:after="0" w:line="236" w:lineRule="auto"/>
        <w:rPr>
          <w:sz w:val="20"/>
          <w:szCs w:val="20"/>
          <w:color w:val="auto"/>
        </w:rPr>
      </w:pPr>
      <w:r>
        <w:rPr>
          <w:rFonts w:ascii="Courier New" w:cs="Courier New" w:eastAsia="Courier New" w:hAnsi="Courier New"/>
          <w:sz w:val="18"/>
          <w:szCs w:val="18"/>
          <w:color w:val="auto"/>
        </w:rPr>
        <w:t>At the annual meeting of security holders on May 11, 1994, the directors proposed by management were elected with a tabulation of shares as shown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2360" w:type="dxa"/>
            <w:vAlign w:val="bottom"/>
          </w:tcPr>
          <w:p>
            <w:pPr>
              <w:spacing w:after="0"/>
              <w:rPr>
                <w:sz w:val="17"/>
                <w:szCs w:val="17"/>
                <w:color w:val="auto"/>
              </w:rPr>
            </w:pPr>
          </w:p>
        </w:tc>
        <w:tc>
          <w:tcPr>
            <w:tcW w:w="1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For</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Withheld</w:t>
            </w:r>
          </w:p>
        </w:tc>
      </w:tr>
      <w:tr>
        <w:trPr>
          <w:trHeight w:val="203"/>
        </w:trPr>
        <w:tc>
          <w:tcPr>
            <w:tcW w:w="23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60" w:type="dxa"/>
            <w:vAlign w:val="bottom"/>
          </w:tcPr>
          <w:p>
            <w:pPr>
              <w:spacing w:after="0"/>
              <w:rPr>
                <w:sz w:val="20"/>
                <w:szCs w:val="20"/>
                <w:color w:val="auto"/>
              </w:rPr>
            </w:pPr>
            <w:r>
              <w:rPr>
                <w:rFonts w:ascii="Courier New" w:cs="Courier New" w:eastAsia="Courier New" w:hAnsi="Courier New"/>
                <w:sz w:val="18"/>
                <w:szCs w:val="18"/>
                <w:color w:val="auto"/>
              </w:rPr>
              <w:t>B. R. R. Butler</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39,682,272</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272,727</w:t>
            </w:r>
          </w:p>
        </w:tc>
      </w:tr>
      <w:tr>
        <w:trPr>
          <w:trHeight w:val="203"/>
        </w:trPr>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Claiborne P. Deming</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39,682,259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272,740</w:t>
            </w:r>
          </w:p>
        </w:tc>
      </w:tr>
      <w:tr>
        <w:trPr>
          <w:trHeight w:val="203"/>
        </w:trPr>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H. Rodes Hart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39,593,736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361,263</w:t>
            </w:r>
          </w:p>
        </w:tc>
      </w:tr>
      <w:tr>
        <w:trPr>
          <w:trHeight w:val="203"/>
        </w:trPr>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Vester T. Hughes Jr.</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39,598,394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356,605</w:t>
            </w:r>
          </w:p>
        </w:tc>
      </w:tr>
      <w:tr>
        <w:trPr>
          <w:trHeight w:val="203"/>
        </w:trPr>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Jack W. McNutt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39,599,339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355,660</w:t>
            </w:r>
          </w:p>
        </w:tc>
      </w:tr>
      <w:tr>
        <w:trPr>
          <w:trHeight w:val="203"/>
        </w:trPr>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C. H. Murphy Jr.</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39,682,156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272,843</w:t>
            </w:r>
          </w:p>
        </w:tc>
      </w:tr>
      <w:tr>
        <w:trPr>
          <w:trHeight w:val="203"/>
        </w:trPr>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W. Murphy</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39,682,173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272,826</w:t>
            </w:r>
          </w:p>
        </w:tc>
      </w:tr>
      <w:tr>
        <w:trPr>
          <w:trHeight w:val="203"/>
        </w:trPr>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R. Madison Murphy</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39,682,373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272,626</w:t>
            </w:r>
          </w:p>
        </w:tc>
      </w:tr>
      <w:tr>
        <w:trPr>
          <w:trHeight w:val="203"/>
        </w:trPr>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C. Nolan Jr.</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39,599,134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355,865</w:t>
            </w:r>
          </w:p>
        </w:tc>
      </w:tr>
      <w:tr>
        <w:trPr>
          <w:trHeight w:val="203"/>
        </w:trPr>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Caroline G. Theus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39,599,160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355,839</w:t>
            </w:r>
          </w:p>
        </w:tc>
      </w:tr>
      <w:tr>
        <w:trPr>
          <w:trHeight w:val="203"/>
        </w:trPr>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Lorne C. Webster</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39,682,262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272,737</w:t>
            </w:r>
          </w:p>
        </w:tc>
      </w:tr>
    </w:tbl>
    <w:p>
      <w:pPr>
        <w:spacing w:after="0" w:line="200" w:lineRule="exact"/>
        <w:rPr>
          <w:sz w:val="20"/>
          <w:szCs w:val="20"/>
          <w:color w:val="auto"/>
        </w:rPr>
      </w:pPr>
    </w:p>
    <w:p>
      <w:pPr>
        <w:spacing w:after="0" w:line="209" w:lineRule="exact"/>
        <w:rPr>
          <w:sz w:val="20"/>
          <w:szCs w:val="20"/>
          <w:color w:val="auto"/>
        </w:rPr>
      </w:pPr>
    </w:p>
    <w:p>
      <w:pPr>
        <w:ind w:left="1060" w:right="3479"/>
        <w:spacing w:after="0" w:line="237" w:lineRule="auto"/>
        <w:rPr>
          <w:sz w:val="20"/>
          <w:szCs w:val="20"/>
          <w:color w:val="auto"/>
        </w:rPr>
      </w:pPr>
      <w:r>
        <w:rPr>
          <w:rFonts w:ascii="Courier New" w:cs="Courier New" w:eastAsia="Courier New" w:hAnsi="Courier New"/>
          <w:sz w:val="18"/>
          <w:szCs w:val="18"/>
          <w:color w:val="auto"/>
        </w:rPr>
        <w:t>In addition, the earlier appointment of KPMG Peat Marwick by the Board of Directors as independent auditors for 1994 was ratified with 39,878,637 shares voted in favor, 24,606 shares voted in opposition, and 51,756 shares not voted.</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480" w:hanging="419"/>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 Not applicable</w:t>
      </w:r>
    </w:p>
    <w:p>
      <w:pPr>
        <w:spacing w:after="0" w:line="206" w:lineRule="exact"/>
        <w:rPr>
          <w:rFonts w:ascii="Courier New" w:cs="Courier New" w:eastAsia="Courier New" w:hAnsi="Courier New"/>
          <w:sz w:val="18"/>
          <w:szCs w:val="18"/>
          <w:color w:val="auto"/>
        </w:rPr>
      </w:pPr>
    </w:p>
    <w:p>
      <w:pPr>
        <w:ind w:left="1480" w:right="3899" w:hanging="419"/>
        <w:spacing w:after="0" w:line="235"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have been filed for the quarter covered by this report.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MURPHY OIL CORPORATION</w:t>
      </w:r>
    </w:p>
    <w:p>
      <w:pPr>
        <w:jc w:val="center"/>
        <w:ind w:right="1359"/>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60"/>
        <w:spacing w:after="0"/>
        <w:tabs>
          <w:tab w:leader="none" w:pos="3360" w:val="left"/>
        </w:tabs>
        <w:rPr>
          <w:sz w:val="20"/>
          <w:szCs w:val="20"/>
          <w:color w:val="auto"/>
        </w:rPr>
      </w:pPr>
      <w:r>
        <w:rPr>
          <w:rFonts w:ascii="Courier New" w:cs="Courier New" w:eastAsia="Courier New" w:hAnsi="Courier New"/>
          <w:sz w:val="18"/>
          <w:szCs w:val="18"/>
          <w:color w:val="auto"/>
        </w:rPr>
        <w:t>By</w:t>
        <w:tab/>
        <w:t>/s/ Ronald W. Herman</w:t>
      </w:r>
    </w:p>
    <w:p>
      <w:pPr>
        <w:sectPr>
          <w:pgSz w:w="11900" w:h="16838" w:orient="portrait"/>
          <w:cols w:equalWidth="0" w:num="1">
            <w:col w:w="10219"/>
          </w:cols>
          <w:pgMar w:left="240" w:top="717" w:right="1440" w:bottom="0" w:gutter="0" w:footer="0" w:header="0"/>
        </w:sectPr>
      </w:pPr>
    </w:p>
    <w:bookmarkStart w:id="21" w:name="page22"/>
    <w:bookmarkEnd w:id="21"/>
    <w:p>
      <w:pPr>
        <w:ind w:left="3160"/>
        <w:spacing w:after="0"/>
        <w:rPr>
          <w:sz w:val="20"/>
          <w:szCs w:val="20"/>
          <w:color w:val="auto"/>
        </w:rPr>
      </w:pPr>
      <w:r>
        <w:rPr>
          <w:rFonts w:ascii="Courier New" w:cs="Courier New" w:eastAsia="Courier New" w:hAnsi="Courier New"/>
          <w:sz w:val="18"/>
          <w:szCs w:val="18"/>
          <w:color w:val="auto"/>
        </w:rPr>
        <w:t>----------------------</w:t>
      </w:r>
    </w:p>
    <w:p>
      <w:pPr>
        <w:ind w:left="3160"/>
        <w:spacing w:after="0" w:line="238" w:lineRule="auto"/>
        <w:rPr>
          <w:sz w:val="20"/>
          <w:szCs w:val="20"/>
          <w:color w:val="auto"/>
        </w:rPr>
      </w:pPr>
      <w:r>
        <w:rPr>
          <w:rFonts w:ascii="Courier New" w:cs="Courier New" w:eastAsia="Courier New" w:hAnsi="Courier New"/>
          <w:sz w:val="18"/>
          <w:szCs w:val="18"/>
          <w:color w:val="auto"/>
        </w:rPr>
        <w:t>Ronald W. Herman, Controller</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(Chief Accounting Officer and Duly</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Authorized Officer)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11, 1994</w:t>
      </w:r>
    </w:p>
    <w:p>
      <w:pPr>
        <w:ind w:left="54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12</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2019-12-13T12:44:52Z</dcterms:created>
  <dcterms:modified xsi:type="dcterms:W3CDTF">2019-12-13T12:44:52Z</dcterms:modified>
</cp:coreProperties>
</file>