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Nolan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 KATY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MURPHY OIL CORP</w:t>
              </w:r>
            </w:hyperlink>
            <w:r>
              <w:rPr/>
              <w:t xml:space="preserve"> [ </w:t>
            </w:r>
            <w:r>
              <w:rPr>
                <w:rFonts w:ascii="Times;serif" w:hAnsi="Times;serif"/>
                <w:color w:val="0000FF"/>
                <w:sz w:val="24"/>
                <w:shd w:fill="FFFFFF" w:val="clear"/>
              </w:rPr>
              <w:t>MUR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28"/>
        <w:gridCol w:w="796"/>
        <w:gridCol w:w="616"/>
        <w:gridCol w:w="347"/>
        <w:gridCol w:w="830"/>
        <w:gridCol w:w="434"/>
        <w:gridCol w:w="759"/>
        <w:gridCol w:w="1141"/>
        <w:gridCol w:w="986"/>
        <w:gridCol w:w="12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2,174</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269,104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2,174</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31.51</w:t>
            </w:r>
            <w:r>
              <w:rPr/>
              <w:t xml:space="preserve"> </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266,930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292,012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Beneficiary Of Trust</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21,625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Self, Trustee For My Children</w:t>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31,758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Shares Held In Trust For My Children For Whom Others Are Trustee</w:t>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5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phantom stock is the economic equivalent of one (1) share of Murphy Oil Corporation common stock. On July 1, 2026, 2,174 of the reporting person's phantom stock units were settled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 Award granted under the 2026 Stock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generally do not carry a Conversion Price, Exercisable Date, or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has elected to defer settlement of restricted stock units in accordance with their deferral election form to either (1) following the reporting person's termination of service from the Board or (2) on a future date selected by the reporting person at the time of their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represent fully-vested restricted stock units ("RSUs") issued in lieu of quarterly cash retainer(s) payable under Murphy Oil Corporation's Non-Employee Director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shares of phantom stock were acquired under Murphy Oil Corporation's Non-Qualified Deferred Compensation Plan for Non-Employee Directors and become payable, in cash, consistent with the Reporting Person's distribution election made at the time of deferral.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Tricia M. Hammons,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5464" TargetMode="External"/><Relationship Id="rId5" Type="http://schemas.openxmlformats.org/officeDocument/2006/relationships/hyperlink" Target="http://www.sec.gov/cgi-bin/browse-edgar?action=getcompany&amp;CIK=0000717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4385</Characters>
  <CharactersWithSpaces>5092</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