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color w:val="000000"/>
          <w:sz w:val="20"/>
        </w:rPr>
        <w:t>October 12, 2026</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MURPHY OIL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8812" w:type="dxa"/>
        <w:jc w:val="center"/>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801"/>
        <w:gridCol w:w="801"/>
        <w:gridCol w:w="1142"/>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71-0361522</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488"/>
        <w:gridCol w:w="488"/>
        <w:gridCol w:w="488"/>
        <w:gridCol w:w="471"/>
        <w:gridCol w:w="471"/>
        <w:gridCol w:w="471"/>
        <w:gridCol w:w="471"/>
        <w:gridCol w:w="471"/>
        <w:gridCol w:w="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 Katy Fwy, Suite G-200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77024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center"/>
        <w:tblInd w:w="0" w:type="dxa"/>
        <w:tblLayout w:type="fixed"/>
        <w:tblCellMar>
          <w:top w:w="28" w:type="dxa"/>
          <w:left w:w="28" w:type="dxa"/>
          <w:bottom w:w="28" w:type="dxa"/>
          <w:right w:w="28" w:type="dxa"/>
        </w:tblCellMar>
      </w:tblPr>
      <w:tblGrid>
        <w:gridCol w:w="124"/>
        <w:gridCol w:w="109"/>
        <w:gridCol w:w="109"/>
        <w:gridCol w:w="608"/>
        <w:gridCol w:w="608"/>
        <w:gridCol w:w="615"/>
        <w:gridCol w:w="1017"/>
        <w:gridCol w:w="1017"/>
        <w:gridCol w:w="10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200" w:after="283"/>
              <w:jc w:val="right"/>
              <w:rPr>
                <w:rFonts w:ascii="Times New Roman;serif" w:hAnsi="Times New Roman;serif"/>
                <w:b/>
                <w:color w:val="000000"/>
                <w:sz w:val="20"/>
              </w:rPr>
            </w:pPr>
            <w:r>
              <w:rPr>
                <w:rFonts w:ascii="Times New Roman;serif" w:hAnsi="Times New Roman;serif"/>
                <w:b/>
                <w:color w:val="000000"/>
                <w:sz w:val="20"/>
              </w:rPr>
              <w:t>(281)</w:t>
            </w:r>
          </w:p>
        </w:tc>
        <w:tc>
          <w:tcPr>
            <w:tcW w:w="3057"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675-9000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(see General Instruction A.2. below):</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1"/>
        <w:gridCol w:w="2551"/>
        <w:gridCol w:w="36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092" w:type="dxa"/>
        <w:jc w:val="left"/>
        <w:tblInd w:w="0" w:type="dxa"/>
        <w:tblLayout w:type="fixed"/>
        <w:tblCellMar>
          <w:top w:w="28" w:type="dxa"/>
          <w:left w:w="28" w:type="dxa"/>
          <w:bottom w:w="28" w:type="dxa"/>
          <w:right w:w="28" w:type="dxa"/>
        </w:tblCellMar>
      </w:tblPr>
      <w:tblGrid>
        <w:gridCol w:w="907"/>
        <w:gridCol w:w="793"/>
        <w:gridCol w:w="804"/>
        <w:gridCol w:w="424"/>
        <w:gridCol w:w="424"/>
        <w:gridCol w:w="426"/>
        <w:gridCol w:w="970"/>
        <w:gridCol w:w="970"/>
        <w:gridCol w:w="1374"/>
      </w:tblGrid>
      <w:tr>
        <w:trPr/>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$1.00 Par Value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MUR</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60" w:after="283"/>
        <w:jc w:val="left"/>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w:t>
      </w:r>
    </w:p>
    <w:p>
      <w:pPr>
        <w:pStyle w:val="TextBody"/>
        <w:bidi w:val="0"/>
        <w:spacing w:lineRule="auto" w:line="288" w:before="260" w:after="283"/>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00"/>
        <w:jc w:val="both"/>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On October 12, 2026, Murphy Oil Corporation (the “Company”) issued a press release announcing successful appraisal at the Bubale West-1X well offshore Côte d’Ivoire, an exploration discovery at the Lac Da Trang (White Camel) North-1X well offshore Vietnam, first oil from the Lac Da Vang (Golden Camel) field offshore Vietnam, and production from the Chinook #8 development well in the Gulf of America. Attached hereto as Exhibit 99.1 is a copy of the press release issued by the Company relating to these announcements.</w:t>
      </w:r>
    </w:p>
    <w:p>
      <w:pPr>
        <w:pStyle w:val="TextBody"/>
        <w:bidi w:val="0"/>
        <w:spacing w:lineRule="auto" w:line="276" w:before="200" w:after="200"/>
        <w:jc w:val="both"/>
        <w:rPr>
          <w:rFonts w:ascii="Times New Roman;serif" w:hAnsi="Times New Roman;serif"/>
          <w:b w:val="false"/>
          <w:color w:val="000000"/>
          <w:sz w:val="24"/>
        </w:rPr>
      </w:pPr>
      <w:r>
        <w:rPr>
          <w:rFonts w:ascii="Times New Roman;serif" w:hAnsi="Times New Roman;serif"/>
          <w:b w:val="false"/>
          <w:color w:val="000000"/>
          <w:sz w:val="24"/>
        </w:rPr>
        <w:t>The information in this Item 7.01, including Exhibit 99.1,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spacing w:lineRule="auto" w:line="276" w:before="20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This Current Report on Form 8-K, including the information furnished pursuant to Item 7.01 and the related Item 9.01 hereto,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the Company’s website at http://ir.murphyoilcorp.com. Investors and others should note that we may announce material information using SEC filings, press releases, public conference calls, webcasts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00"/>
        <w:jc w:val="both"/>
        <w:rPr>
          <w:rFonts w:ascii="Times New Roman;serif" w:hAnsi="Times New Roman;serif"/>
          <w:b w:val="false"/>
          <w:color w:val="000000"/>
          <w:sz w:val="24"/>
        </w:rPr>
      </w:pPr>
      <w:r>
        <w:rPr>
          <w:rFonts w:ascii="Times New Roman;serif" w:hAnsi="Times New Roman;serif"/>
          <w:b w:val="false"/>
          <w:color w:val="000000"/>
          <w:sz w:val="24"/>
        </w:rPr>
        <w:t>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Each forward-looking statement contained in this report speaks only as of the date of this report. Except as required by applicable law, the Company undertakes no duty to publicly update or revise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tbl>
      <w:tblPr>
        <w:tblW w:w="5881" w:type="dxa"/>
        <w:jc w:val="left"/>
        <w:tblInd w:w="0" w:type="dxa"/>
        <w:tblLayout w:type="fixed"/>
        <w:tblCellMar>
          <w:top w:w="28" w:type="dxa"/>
          <w:left w:w="28" w:type="dxa"/>
          <w:bottom w:w="28" w:type="dxa"/>
          <w:right w:w="28" w:type="dxa"/>
        </w:tblCellMar>
      </w:tblPr>
      <w:tblGrid>
        <w:gridCol w:w="174"/>
        <w:gridCol w:w="153"/>
        <w:gridCol w:w="154"/>
        <w:gridCol w:w="1576"/>
        <w:gridCol w:w="1576"/>
        <w:gridCol w:w="22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mur-20261012xexhibit991.htm">
              <w:r>
                <w:rPr>
                  <w:rStyle w:val="InternetLink"/>
                  <w:rFonts w:ascii="Times New Roman;serif" w:hAnsi="Times New Roman;serif"/>
                  <w:b w:val="false"/>
                  <w:color w:val="0000FF"/>
                  <w:sz w:val="20"/>
                  <w:u w:val="single"/>
                </w:rPr>
                <w:t>99.1</w:t>
              </w:r>
            </w:hyperlink>
          </w:p>
        </w:tc>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r-20261012xexhibit991.htm">
              <w:r>
                <w:rPr>
                  <w:rStyle w:val="InternetLink"/>
                  <w:rFonts w:ascii="Times New Roman;serif" w:hAnsi="Times New Roman;serif"/>
                  <w:b w:val="false"/>
                  <w:color w:val="0000FF"/>
                  <w:sz w:val="20"/>
                  <w:u w:val="single"/>
                </w:rPr>
                <w:t>Press release of Murphy Oil Corporation dated October 12, 2026.</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5400"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540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6861" w:type="dxa"/>
        <w:jc w:val="left"/>
        <w:tblInd w:w="0" w:type="dxa"/>
        <w:tblLayout w:type="fixed"/>
        <w:tblCellMar>
          <w:top w:w="28" w:type="dxa"/>
          <w:left w:w="28" w:type="dxa"/>
          <w:bottom w:w="28" w:type="dxa"/>
          <w:right w:w="28" w:type="dxa"/>
        </w:tblCellMar>
      </w:tblPr>
      <w:tblGrid>
        <w:gridCol w:w="851"/>
        <w:gridCol w:w="750"/>
        <w:gridCol w:w="754"/>
        <w:gridCol w:w="517"/>
        <w:gridCol w:w="517"/>
        <w:gridCol w:w="517"/>
        <w:gridCol w:w="861"/>
        <w:gridCol w:w="861"/>
        <w:gridCol w:w="1233"/>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MURPHY OIL </w:t>
            </w:r>
            <w:r>
              <w:rPr>
                <w:rFonts w:ascii="Times New Roman;serif" w:hAnsi="Times New Roman;serif"/>
                <w:b w:val="false"/>
                <w:color w:val="000000"/>
                <w:sz w:val="22"/>
              </w:rPr>
              <w:t>CORPORATION</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October 13, 2026</w:t>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Paul D. Vaughan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Paul D. Vaughan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and Controller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tbl>
      <w:tblPr>
        <w:tblW w:w="7335" w:type="dxa"/>
        <w:jc w:val="left"/>
        <w:tblInd w:w="0" w:type="dxa"/>
        <w:tblLayout w:type="fixed"/>
        <w:tblCellMar>
          <w:top w:w="28" w:type="dxa"/>
          <w:left w:w="28" w:type="dxa"/>
          <w:bottom w:w="28" w:type="dxa"/>
          <w:right w:w="28" w:type="dxa"/>
        </w:tblCellMar>
      </w:tblPr>
      <w:tblGrid>
        <w:gridCol w:w="266"/>
        <w:gridCol w:w="234"/>
        <w:gridCol w:w="236"/>
        <w:gridCol w:w="1932"/>
        <w:gridCol w:w="1932"/>
        <w:gridCol w:w="273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No.</w:t>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mur-20261012xexhibit991.htm">
              <w:r>
                <w:rPr>
                  <w:rStyle w:val="InternetLink"/>
                  <w:rFonts w:ascii="Times New Roman;serif" w:hAnsi="Times New Roman;serif"/>
                  <w:b w:val="false"/>
                  <w:color w:val="0000FF"/>
                  <w:sz w:val="20"/>
                  <w:u w:val="single"/>
                </w:rPr>
                <w:t>99.1</w:t>
              </w:r>
            </w:hyperlink>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ur-20261012xexhibit991.htm">
              <w:r>
                <w:rPr>
                  <w:rStyle w:val="InternetLink"/>
                  <w:rFonts w:ascii="Times New Roman;serif" w:hAnsi="Times New Roman;serif"/>
                  <w:b w:val="false"/>
                  <w:color w:val="0000FF"/>
                  <w:sz w:val="20"/>
                  <w:u w:val="single"/>
                </w:rPr>
                <w:t>Press release of Murphy Oil Corporation dated October 12, 2026.</w:t>
              </w:r>
            </w:hyperlink>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200" w:after="200"/>
        <w:jc w:val="right"/>
        <w:rPr>
          <w:rFonts w:ascii="Avenir Next LT Pro;sans-serif" w:hAnsi="Avenir Next LT Pro;sans-serif"/>
          <w:b/>
          <w:color w:val="000000"/>
          <w:sz w:val="24"/>
        </w:rPr>
      </w:pPr>
      <w:r>
        <w:rPr>
          <w:rFonts w:ascii="Avenir Next LT Pro;sans-serif" w:hAnsi="Avenir Next LT Pro;sans-serif"/>
          <w:b/>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00"/>
        <w:jc w:val="both"/>
        <w:rPr/>
      </w:pPr>
      <w:r>
        <w:rPr/>
        <w:drawing>
          <wp:inline distT="0" distB="0" distL="0" distR="0">
            <wp:extent cx="1752600" cy="7810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752600" cy="781050"/>
                    </a:xfrm>
                    <a:prstGeom prst="rect">
                      <a:avLst/>
                    </a:prstGeom>
                  </pic:spPr>
                </pic:pic>
              </a:graphicData>
            </a:graphic>
          </wp:inline>
        </w:drawing>
      </w:r>
      <w:r>
        <w:rPr>
          <w:color w:val="000000"/>
        </w:rPr>
        <w:t xml:space="preserve"> </w:t>
      </w:r>
    </w:p>
    <w:p>
      <w:pPr>
        <w:pStyle w:val="TextBody"/>
        <w:bidi w:val="0"/>
        <w:spacing w:lineRule="auto" w:line="288" w:before="200" w:after="283"/>
        <w:jc w:val="both"/>
        <w:rPr>
          <w:rFonts w:ascii="Avenir Next LT Pro;sans-serif" w:hAnsi="Avenir Next LT Pro;sans-serif"/>
          <w:b/>
          <w:color w:val="000000"/>
          <w:sz w:val="28"/>
        </w:rPr>
      </w:pPr>
      <w:r>
        <w:rPr>
          <w:rFonts w:ascii="Avenir Next LT Pro;sans-serif" w:hAnsi="Avenir Next LT Pro;sans-serif"/>
          <w:b/>
          <w:color w:val="000000"/>
          <w:sz w:val="28"/>
        </w:rPr>
        <w:t>NEWS RELEASE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venir Next LT Pro;sans-serif" w:hAnsi="Avenir Next LT Pro;sans-serif"/>
          <w:b/>
          <w:color w:val="000000"/>
          <w:sz w:val="24"/>
        </w:rPr>
      </w:pPr>
      <w:r>
        <w:rPr>
          <w:rFonts w:ascii="Avenir Next LT Pro;sans-serif" w:hAnsi="Avenir Next LT Pro;sans-serif"/>
          <w:b/>
          <w:color w:val="000000"/>
          <w:sz w:val="24"/>
        </w:rPr>
        <w:t xml:space="preserve">MURPHY OIL CORPORATION ANNOUNCES APPRAISAL SUCCESS, </w:t>
      </w:r>
    </w:p>
    <w:p>
      <w:pPr>
        <w:pStyle w:val="TextBody"/>
        <w:bidi w:val="0"/>
        <w:spacing w:lineRule="auto" w:line="288" w:before="0" w:after="0"/>
        <w:jc w:val="center"/>
        <w:rPr>
          <w:rFonts w:ascii="Avenir Next LT Pro;sans-serif" w:hAnsi="Avenir Next LT Pro;sans-serif"/>
          <w:b/>
          <w:color w:val="000000"/>
          <w:sz w:val="24"/>
        </w:rPr>
      </w:pPr>
      <w:r>
        <w:rPr>
          <w:rFonts w:ascii="Avenir Next LT Pro;sans-serif" w:hAnsi="Avenir Next LT Pro;sans-serif"/>
          <w:b/>
          <w:color w:val="000000"/>
          <w:sz w:val="24"/>
        </w:rPr>
        <w:t>EXPLORATION DISCOVERY AND DEVELOPMENT PROGRESS</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HOUSTON, Texas, October 12, 2026 - Murphy Oil Corporation (NYSE: MUR) today announced successful appraisal at the Bubale West-1X well offshore Côte d’Ivoire and an exploration discovery at the Lac Da Trang (White Camel) North-1X well offshore Vietnam. The Company also announced first oil from the Lac Da Vang (Golden Camel) field offshore Vietnam and production from the Chinook #8 development well in the Gulf of America.</w:t>
      </w:r>
    </w:p>
    <w:p>
      <w:pPr>
        <w:pStyle w:val="TextBody"/>
        <w:bidi w:val="0"/>
        <w:spacing w:lineRule="auto" w:line="300" w:before="200" w:after="200"/>
        <w:jc w:val="both"/>
        <w:rPr>
          <w:color w:val="000000"/>
        </w:rPr>
      </w:pPr>
      <w:r>
        <w:rPr>
          <w:color w:val="000000"/>
        </w:rPr>
        <w:t>“</w:t>
      </w:r>
      <w:r>
        <w:rPr>
          <w:rFonts w:ascii="Avenir Next LT Pro;sans-serif" w:hAnsi="Avenir Next LT Pro;sans-serif"/>
          <w:b w:val="false"/>
          <w:color w:val="000000"/>
          <w:sz w:val="24"/>
        </w:rPr>
        <w:t>These achievements highlight Murphy’s ability to create value across exploration, appraisal and development,” stated Eric M. Hambly, President and Chief Executive Officer. “Bubale West-1X and Lac Da Trang North-1X further expand our resource potential, while development progress at Lac Da Vang and Chinook #8 demonstrate our ability to efficiently convert resources into production and cash flow. Together, these results strengthen our portfolio and position Murphy to create long-term shareholder value.”</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CÔTE D’IVOIRE</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The Bubale West-1X well in Block CI-103 offshore Côte d’Ivoire was drilled to a total measured depth of approximately 19,357 feet (5,900 meters) in 9,039 feet (2,755 meters) of water and encountered approximately 88 feet (27 meters) of net oil pay in the Turonian reservoir. Additional hydrocarbons were also encountered in the deeper Albian reservoir.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Preliminary analysis of logs and fluid samples indicates high-quality oil. Information obtained from the well will be integrated with existing subsurface data to optimize the remaining appraisal program at Bubale.</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Murphy’s subsidiary, Murphy CI-103 Oil Co., Ltd., holds an 85 percent working interest in Block CI-103 and serves as operator. Société Nationale d’Opérations Pétrolières de la Côte d’Ivoire (PETROCI) holds the remaining 15 percent working interest.</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VIETNAM</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achieved first oil from the Lac Da Vang field in Block 15-1/05 offshore Vietnam on September 27, 2026. The development is expected to ramp up through 2028 as additional wells are brought online, with net peak production of approximately 10-15 MBOEPD in 2028-2029.</w:t>
      </w:r>
    </w:p>
    <w:p>
      <w:pPr>
        <w:pStyle w:val="TextBody"/>
        <w:bidi w:val="0"/>
        <w:spacing w:before="200" w:after="20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78510"/>
                <wp:effectExtent l="0" t="0" r="0" b="0"/>
                <wp:wrapNone/>
                <wp:docPr id="7" name="Frame6"/>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r>
                              <w:br w:type="page"/>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1</w:t>
                      </w:r>
                    </w:p>
                    <w:p>
                      <w:pPr>
                        <w:pStyle w:val="TextBody"/>
                        <w:bidi w:val="0"/>
                        <w:spacing w:before="200" w:after="200"/>
                        <w:jc w:val="center"/>
                        <w:rPr/>
                      </w:pPr>
                      <w:r>
                        <w:rPr/>
                      </w:r>
                    </w:p>
                  </w:txbxContent>
                </v:textbox>
                <w10:wrap type="none"/>
              </v:rect>
            </w:pict>
          </mc:Fallback>
        </mc:AlternateConten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The achievement of first oil represents a major milestone in Murphy’s Vietnam strategy and establishes a new source of production and cash flow from the Company’s offshore portfolio.</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also announced a successful exploration result at the Lac Da Trang North-1X well in Block 15-1/05, which encountered 131 feet (40 meters) of net oil pay. The well was drilled to a total measured depth of approximately 12,579 feet (3,834 meters) in 147 feet (45 meters) of water.</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The Company and its partners will evaluate the Lac Da Trang North-1X data and assess potential appraisal and development options. Importantly, the now-producing Lac Da Vang asset provides nearby infrastructure for a potential tieback of the Lac Da Trang North discovery, creating a pathway to a capital-efficient, shorter-cycle development.</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Murphy’s subsidiary, Murphy Cuu Long Bac Oil Co., Ltd., serves as the operator of Block 15-1/05, holding a 40 percent working interest. PetroVietnam Exploration Production Corporation Ltd. holds a 35 percent working interest and SK Earthon Co. Ltd. holds the remaining 25 percent.</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GULF OF AMERICA</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The Chinook #8 development well in Walker Ridge Block 425 is now online and producing through the Pioneer floating production, storage and offloading vessel (FPSO) in the Cascade-Chinook field. Consistent with pre-drill expectations, the well achieved an initial gross production rate of approximately 15 MBOEPD. </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through its subsidiaries, holds an 86.7 percent working interest in Chinook #8. Petrobras America Inc. holds the remaining 13.3 percent through its ownership interest in MP GOM.</w: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ABOUT MURPHY OIL CORPORATION</w:t>
      </w:r>
    </w:p>
    <w:p>
      <w:pPr>
        <w:pStyle w:val="TextBody"/>
        <w:bidi w:val="0"/>
        <w:spacing w:lineRule="auto" w:line="300" w:before="200" w:after="200"/>
        <w:jc w:val="both"/>
        <w:rPr>
          <w:rFonts w:ascii="Avenir Next LT Pro;sans-serif" w:hAnsi="Avenir Next LT Pro;sans-serif"/>
          <w:b w:val="false"/>
          <w:color w:val="000000"/>
          <w:sz w:val="24"/>
        </w:rPr>
      </w:pPr>
      <w:r>
        <w:rPr>
          <w:rFonts w:ascii="Avenir Next LT Pro;sans-serif" w:hAnsi="Avenir Next LT Pro;sans-serif"/>
          <w:b w:val="false"/>
          <w:color w:val="000000"/>
          <w:sz w:val="24"/>
        </w:rPr>
        <w:t>Murphy Oil Corporation is an independent oil and natural gas company with a multi-basin onshore and offshore portfolio and significant exploration opportunities. The Company has more than a century-long history of demonstrating strong execution and innovative, full-cycle development capabilities with a focus on value creation that drives shareholder returns. Murphy’s foresight and financial discipline, along with its culture of adaptability and accountability, will allow the Company to continue its outstanding legacy and exceptional reputation. The Company’s current operations include extensive inventory located onshore in the Eagle Ford Shale, Tupper Montney and Kaybob Duvernay, as well as offshore in the Gulf of America and Canada. Murphy also strives to create long-term shareholder value through offshore exploration and development in the Gulf of America, Vietnam and Côte d’Ivoire. Additional information can be found on the Company’s website at www.murphyoilcorp.com.</w:t>
      </w:r>
    </w:p>
    <w:p>
      <w:pPr>
        <w:pStyle w:val="TextBody"/>
        <w:bidi w:val="0"/>
        <w:spacing w:before="200" w:after="20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78510"/>
                <wp:effectExtent l="0" t="0" r="0" b="0"/>
                <wp:wrapNone/>
                <wp:docPr id="8" name="Frame7"/>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r>
                              <w:br w:type="page"/>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2</w:t>
                      </w:r>
                    </w:p>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left"/>
        <w:rPr>
          <w:rFonts w:ascii="Avenir Next LT Pro;sans-serif" w:hAnsi="Avenir Next LT Pro;sans-serif"/>
          <w:b/>
          <w:color w:val="000000"/>
          <w:sz w:val="24"/>
        </w:rPr>
      </w:pPr>
      <w:r>
        <w:rPr>
          <w:rFonts w:ascii="Avenir Next LT Pro;sans-serif" w:hAnsi="Avenir Next LT Pro;sans-serif"/>
          <w:b/>
          <w:color w:val="000000"/>
          <w:sz w:val="24"/>
        </w:rPr>
        <w:t>FORWARD-LOOKING STATEMENTS</w:t>
      </w:r>
    </w:p>
    <w:p>
      <w:pPr>
        <w:pStyle w:val="TextBody"/>
        <w:bidi w:val="0"/>
        <w:spacing w:lineRule="auto" w:line="300" w:before="200" w:after="200"/>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 xml:space="preserve">This news release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Murphy Oil Corporation’s website at http://ir.murphyoilcorp.com. Investors and others should note that we may announce </w:t>
      </w:r>
    </w:p>
    <w:p>
      <w:pPr>
        <w:pStyle w:val="TextBody"/>
        <w:bidi w:val="0"/>
        <w:spacing w:before="200" w:after="20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78510"/>
                <wp:effectExtent l="0" t="0" r="0" b="0"/>
                <wp:wrapNone/>
                <wp:docPr id="9" name="Frame8"/>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r>
                              <w:br w:type="page"/>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3</w:t>
                      </w:r>
                    </w:p>
                    <w:p>
                      <w:pPr>
                        <w:pStyle w:val="TextBody"/>
                        <w:bidi w:val="0"/>
                        <w:spacing w:before="200" w:after="200"/>
                        <w:jc w:val="center"/>
                        <w:rPr/>
                      </w:pPr>
                      <w:r>
                        <w:rPr/>
                      </w:r>
                    </w:p>
                  </w:txbxContent>
                </v:textbox>
                <w10:wrap type="none"/>
              </v:rect>
            </w:pict>
          </mc:Fallback>
        </mc:AlternateContent>
      </w:r>
    </w:p>
    <w:p>
      <w:pPr>
        <w:pStyle w:val="TextBody"/>
        <w:bidi w:val="0"/>
        <w:spacing w:lineRule="auto" w:line="300" w:before="200" w:after="200"/>
        <w:jc w:val="both"/>
        <w:rPr>
          <w:rFonts w:ascii="Avenir Next LT Pro;sans-serif" w:hAnsi="Avenir Next LT Pro;sans-serif"/>
          <w:b w:val="false"/>
          <w:i/>
          <w:color w:val="000000"/>
          <w:sz w:val="24"/>
        </w:rPr>
      </w:pPr>
      <w:r>
        <w:rPr>
          <w:rFonts w:ascii="Avenir Next LT Pro;sans-serif" w:hAnsi="Avenir Next LT Pro;sans-serif"/>
          <w:b w:val="false"/>
          <w:i/>
          <w:color w:val="000000"/>
          <w:sz w:val="24"/>
        </w:rPr>
        <w:t>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news release. Each forward-looking statement contained in this news release speaks only as of the date of this news release. Except as required by applicable law, Murphy Oil Corporation undertakes no duty to publicly update or revise any forward-looking statement, whether as a result of new information, future events or otherwise.</w:t>
      </w:r>
    </w:p>
    <w:tbl>
      <w:tblPr>
        <w:tblW w:w="4889" w:type="dxa"/>
        <w:jc w:val="left"/>
        <w:tblInd w:w="0" w:type="dxa"/>
        <w:tblLayout w:type="fixed"/>
        <w:tblCellMar>
          <w:top w:w="28" w:type="dxa"/>
          <w:left w:w="28" w:type="dxa"/>
          <w:bottom w:w="28" w:type="dxa"/>
          <w:right w:w="28" w:type="dxa"/>
        </w:tblCellMar>
      </w:tblPr>
      <w:tblGrid>
        <w:gridCol w:w="1563"/>
        <w:gridCol w:w="1374"/>
        <w:gridCol w:w="1952"/>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venir Next LT Pro;sans-serif" w:hAnsi="Avenir Next LT Pro;sans-serif"/>
                <w:b/>
                <w:color w:val="000000"/>
                <w:sz w:val="24"/>
              </w:rPr>
            </w:pPr>
            <w:r>
              <w:rPr>
                <w:rFonts w:ascii="Avenir Next LT Pro;sans-serif" w:hAnsi="Avenir Next LT Pro;sans-serif"/>
                <w:b/>
                <w:color w:val="000000"/>
                <w:sz w:val="24"/>
              </w:rPr>
              <w:t xml:space="preserve">Investor Contacts: </w:t>
            </w:r>
          </w:p>
        </w:tc>
      </w:tr>
      <w:tr>
        <w:trPr/>
        <w:tc>
          <w:tcPr>
            <w:tcW w:w="48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 xml:space="preserve">InvestorRelations@murphyoilcorp.com </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Atif Riaz, 281-675-9358</w:t>
            </w:r>
          </w:p>
        </w:tc>
      </w:tr>
      <w:tr>
        <w:trPr/>
        <w:tc>
          <w:tcPr>
            <w:tcW w:w="488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rFonts w:ascii="Avenir Next LT Pro;sans-serif" w:hAnsi="Avenir Next LT Pro;sans-serif"/>
                <w:b w:val="false"/>
                <w:color w:val="000000"/>
                <w:sz w:val="24"/>
              </w:rPr>
            </w:pPr>
            <w:r>
              <w:rPr>
                <w:rFonts w:ascii="Avenir Next LT Pro;sans-serif" w:hAnsi="Avenir Next LT Pro;sans-serif"/>
                <w:b w:val="false"/>
                <w:color w:val="000000"/>
                <w:sz w:val="24"/>
              </w:rPr>
              <w:t>Beth Heller, 281-675-9363</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78510"/>
                <wp:effectExtent l="0" t="0" r="0" b="0"/>
                <wp:wrapNone/>
                <wp:docPr id="10" name="Frame9"/>
                <a:graphic xmlns:a="http://schemas.openxmlformats.org/drawingml/2006/main">
                  <a:graphicData uri="http://schemas.microsoft.com/office/word/2010/wordprocessingShape">
                    <wps:wsp>
                      <wps:cNvSpPr txBox="1"/>
                      <wps:spPr>
                        <a:xfrm>
                          <a:off x="0" y="0"/>
                          <a:ext cx="6480175" cy="778510"/>
                        </a:xfrm>
                        <a:prstGeom prst="rect"/>
                        <a:solidFill>
                          <a:srgbClr val="FFFFFF"/>
                        </a:solidFill>
                      </wps:spPr>
                      <wps:txb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r>
                              <w:br w:type="page"/>
                            </w:r>
                          </w:p>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200" w:after="200"/>
                        <w:jc w:val="center"/>
                        <w:rPr>
                          <w:rFonts w:ascii="Avenir Next LT Pro;sans-serif" w:hAnsi="Avenir Next LT Pro;sans-serif"/>
                          <w:b w:val="false"/>
                          <w:color w:val="000000"/>
                          <w:sz w:val="24"/>
                        </w:rPr>
                      </w:pPr>
                      <w:r>
                        <w:rPr>
                          <w:rFonts w:ascii="Avenir Next LT Pro;sans-serif" w:hAnsi="Avenir Next LT Pro;sans-serif"/>
                          <w:b w:val="false"/>
                          <w:color w:val="000000"/>
                          <w:sz w:val="24"/>
                        </w:rPr>
                        <w:t>4</w:t>
                      </w:r>
                    </w:p>
                    <w:p>
                      <w:pPr>
                        <w:pStyle w:val="TextBody"/>
                        <w:bidi w:val="0"/>
                        <w:spacing w:before="20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venir Next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2573</Words>
  <Characters>14963</Characters>
  <CharactersWithSpaces>17542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