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216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2165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Hambly Eric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9805 KATY FREEWAY</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G-200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MURPHY OIL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03/21/2022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40"/>
        <w:spacing w:after="0"/>
        <w:rPr>
          <w:sz w:val="20"/>
          <w:szCs w:val="20"/>
          <w:color w:val="auto"/>
        </w:rPr>
      </w:pPr>
      <w:r>
        <w:rPr>
          <w:rFonts w:ascii="Arial" w:cs="Arial" w:eastAsia="Arial" w:hAnsi="Arial"/>
          <w:sz w:val="17"/>
          <w:szCs w:val="17"/>
          <w:color w:val="0000FF"/>
        </w:rPr>
        <w:t>Executive Vice President</w:t>
      </w:r>
    </w:p>
    <w:p>
      <w:pPr>
        <w:spacing w:after="0" w:line="38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8"/>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HOUSTON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77024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ind w:left="840"/>
              <w:spacing w:after="0"/>
              <w:rPr>
                <w:sz w:val="20"/>
                <w:szCs w:val="20"/>
                <w:color w:val="auto"/>
              </w:rPr>
            </w:pPr>
            <w:r>
              <w:rPr>
                <w:rFonts w:ascii="Arial" w:cs="Arial" w:eastAsia="Arial" w:hAnsi="Arial"/>
                <w:sz w:val="17"/>
                <w:szCs w:val="17"/>
                <w:color w:val="0000FF"/>
              </w:rPr>
              <w:t>03/21/2022</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133"/>
              <w:spacing w:after="0"/>
              <w:rPr>
                <w:sz w:val="20"/>
                <w:szCs w:val="20"/>
                <w:color w:val="auto"/>
              </w:rPr>
            </w:pPr>
            <w:r>
              <w:rPr>
                <w:rFonts w:ascii="Arial" w:cs="Arial" w:eastAsia="Arial" w:hAnsi="Arial"/>
                <w:sz w:val="17"/>
                <w:szCs w:val="17"/>
                <w:color w:val="0000FF"/>
                <w:w w:val="88"/>
              </w:rPr>
              <w:t>13,000</w:t>
            </w:r>
          </w:p>
        </w:tc>
        <w:tc>
          <w:tcPr>
            <w:tcW w:w="640" w:type="dxa"/>
            <w:vAlign w:val="bottom"/>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9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126,268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03/21/2022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(1)</w:t>
            </w:r>
          </w:p>
        </w:tc>
        <w:tc>
          <w:tcPr>
            <w:tcW w:w="700" w:type="dxa"/>
            <w:vAlign w:val="bottom"/>
            <w:tcBorders>
              <w:bottom w:val="single" w:sz="8" w:color="2C2C2C"/>
            </w:tcBorders>
          </w:tcPr>
          <w:p>
            <w:pPr>
              <w:jc w:val="center"/>
              <w:ind w:left="133"/>
              <w:spacing w:after="0"/>
              <w:rPr>
                <w:sz w:val="20"/>
                <w:szCs w:val="20"/>
                <w:color w:val="auto"/>
              </w:rPr>
            </w:pPr>
            <w:r>
              <w:rPr>
                <w:rFonts w:ascii="Arial" w:cs="Arial" w:eastAsia="Arial" w:hAnsi="Arial"/>
                <w:sz w:val="17"/>
                <w:szCs w:val="17"/>
                <w:color w:val="0000FF"/>
                <w:w w:val="88"/>
              </w:rPr>
              <w:t>10,695</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40.285</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115,573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03/22/2022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00" w:type="dxa"/>
            <w:vAlign w:val="bottom"/>
            <w:tcBorders>
              <w:bottom w:val="single" w:sz="8" w:color="2C2C2C"/>
            </w:tcBorders>
          </w:tcPr>
          <w:p>
            <w:pPr>
              <w:jc w:val="center"/>
              <w:ind w:left="133"/>
              <w:spacing w:after="0"/>
              <w:rPr>
                <w:sz w:val="20"/>
                <w:szCs w:val="20"/>
                <w:color w:val="auto"/>
              </w:rPr>
            </w:pPr>
            <w:r>
              <w:rPr>
                <w:rFonts w:ascii="Arial" w:cs="Arial" w:eastAsia="Arial" w:hAnsi="Arial"/>
                <w:sz w:val="17"/>
                <w:szCs w:val="17"/>
                <w:color w:val="0000FF"/>
                <w:w w:val="89"/>
              </w:rPr>
              <w:t>2,305</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40.86</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113,268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28.505</w:t>
            </w:r>
          </w:p>
        </w:tc>
        <w:tc>
          <w:tcPr>
            <w:tcW w:w="140" w:type="dxa"/>
            <w:vAlign w:val="bottom"/>
          </w:tcPr>
          <w:p>
            <w:pPr>
              <w:spacing w:after="0"/>
              <w:rPr>
                <w:sz w:val="15"/>
                <w:szCs w:val="15"/>
                <w:color w:val="auto"/>
              </w:rPr>
            </w:pPr>
          </w:p>
        </w:tc>
        <w:tc>
          <w:tcPr>
            <w:tcW w:w="1040" w:type="dxa"/>
            <w:vAlign w:val="bottom"/>
            <w:vMerge w:val="restart"/>
          </w:tcPr>
          <w:p>
            <w:pPr>
              <w:ind w:left="260"/>
              <w:spacing w:after="0"/>
              <w:rPr>
                <w:sz w:val="20"/>
                <w:szCs w:val="20"/>
                <w:color w:val="auto"/>
              </w:rPr>
            </w:pPr>
            <w:r>
              <w:rPr>
                <w:rFonts w:ascii="Arial" w:cs="Arial" w:eastAsia="Arial" w:hAnsi="Arial"/>
                <w:sz w:val="13"/>
                <w:szCs w:val="13"/>
                <w:color w:val="0000FF"/>
              </w:rPr>
              <w:t>03/21/2022</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5"/>
                <w:szCs w:val="15"/>
                <w:color w:val="auto"/>
              </w:rPr>
            </w:pPr>
          </w:p>
        </w:tc>
        <w:tc>
          <w:tcPr>
            <w:tcW w:w="860" w:type="dxa"/>
            <w:vAlign w:val="bottom"/>
            <w:vMerge w:val="restart"/>
          </w:tcPr>
          <w:p>
            <w:pPr>
              <w:ind w:left="380"/>
              <w:spacing w:after="0"/>
              <w:rPr>
                <w:sz w:val="20"/>
                <w:szCs w:val="20"/>
                <w:color w:val="auto"/>
              </w:rPr>
            </w:pPr>
            <w:r>
              <w:rPr>
                <w:rFonts w:ascii="Arial" w:cs="Arial" w:eastAsia="Arial" w:hAnsi="Arial"/>
                <w:sz w:val="13"/>
                <w:szCs w:val="13"/>
                <w:color w:val="0000FF"/>
              </w:rPr>
              <w:t>13,000</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spacing w:after="0"/>
              <w:rPr>
                <w:sz w:val="20"/>
                <w:szCs w:val="20"/>
                <w:color w:val="auto"/>
              </w:rPr>
            </w:pPr>
            <w:r>
              <w:rPr>
                <w:rFonts w:ascii="Arial" w:cs="Arial" w:eastAsia="Arial" w:hAnsi="Arial"/>
                <w:sz w:val="13"/>
                <w:szCs w:val="13"/>
                <w:color w:val="0000FF"/>
              </w:rPr>
              <w:t>01/31/2024</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13,000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Arial" w:cs="Arial" w:eastAsia="Arial" w:hAnsi="Arial"/>
                <w:sz w:val="6"/>
                <w:szCs w:val="6"/>
                <w:color w:val="0000FF"/>
              </w:rPr>
              <w:t>Option</w:t>
            </w:r>
            <w:r>
              <w:rPr>
                <w:rFonts w:ascii="Arial" w:cs="Arial" w:eastAsia="Arial" w:hAnsi="Arial"/>
                <w:sz w:val="7"/>
                <w:szCs w:val="7"/>
                <w:color w:val="008000"/>
                <w:vertAlign w:val="superscript"/>
              </w:rPr>
              <w:t>(3)</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tcPr>
          <w:p>
            <w:pPr>
              <w:ind w:left="120"/>
              <w:spacing w:after="0" w:line="65" w:lineRule="exact"/>
              <w:rPr>
                <w:sz w:val="20"/>
                <w:szCs w:val="20"/>
                <w:color w:val="auto"/>
              </w:rPr>
            </w:pPr>
            <w:r>
              <w:rPr>
                <w:rFonts w:ascii="Arial" w:cs="Arial" w:eastAsia="Arial" w:hAnsi="Arial"/>
                <w:sz w:val="6"/>
                <w:szCs w:val="6"/>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-1936115</wp:posOffset>
            </wp:positionV>
            <wp:extent cx="29210" cy="1941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41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"net exercise" of outstanding stock options. These shares were withheld by the Company for payment of the exercise price and applicable taxes, using the average high and low price on March 21, 2022 of $40.2850.</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made pursuant to a previously adopted trading plan on February 7, 2022, which is intended to comply with Rule 10b5-1.</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granted under the 2012 Long-Term Incentive Plan.</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two equal installments, the first half two years after the original grant date and the final half three years after the original grant date.</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E. Ted Botner,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03/22/2022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1754" TargetMode="External"/><Relationship Id="rId13" Type="http://schemas.openxmlformats.org/officeDocument/2006/relationships/hyperlink" Target="http://www.sec.gov/cgi-bin/browse-edgar?action=getcompany&amp;CIK=0000717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2022-03-22T16:00:15Z</dcterms:created>
  <dcterms:modified xsi:type="dcterms:W3CDTF">2022-03-22T16:00:15Z</dcterms:modified>
</cp:coreProperties>
</file>