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26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200" w:after="283"/>
        <w:jc w:val="center"/>
        <w:rPr>
          <w:rFonts w:ascii="Times New Roman;serif" w:hAnsi="Times New Roman;serif"/>
          <w:b/>
          <w:color w:val="000000"/>
          <w:sz w:val="36"/>
        </w:rPr>
      </w:pPr>
      <w:r>
        <w:rPr>
          <w:rFonts w:ascii="Times New Roman;serif" w:hAnsi="Times New Roman;serif"/>
          <w:b/>
          <w:color w:val="000000"/>
          <w:sz w:val="36"/>
        </w:rPr>
        <w:t>CURRENT REPORT</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PURSUANT TO SECTION 13 OR 15(d) OF THE</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SECURITIES EXCHANGE ACT OF 1934</w:t>
      </w: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May 13, 2026</w:t>
      </w:r>
    </w:p>
    <w:p>
      <w:pPr>
        <w:pStyle w:val="TextBody"/>
        <w:bidi w:val="0"/>
        <w:spacing w:lineRule="auto" w:line="288" w:before="360" w:after="283"/>
        <w:jc w:val="center"/>
        <w:rPr>
          <w:rFonts w:ascii="Times New Roman;serif" w:hAnsi="Times New Roman;serif"/>
          <w:b/>
          <w:color w:val="000000"/>
          <w:sz w:val="36"/>
        </w:rPr>
      </w:pPr>
      <w:r>
        <w:rPr>
          <w:rFonts w:ascii="Times New Roman;serif" w:hAnsi="Times New Roman;serif"/>
          <w:b/>
          <w:color w:val="000000"/>
          <w:sz w:val="36"/>
        </w:rPr>
        <w:t>MURPHY OIL CORPORATION</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tbl>
      <w:tblPr>
        <w:tblW w:w="8812" w:type="dxa"/>
        <w:jc w:val="center"/>
        <w:tblInd w:w="0" w:type="dxa"/>
        <w:tblLayout w:type="fixed"/>
        <w:tblCellMar>
          <w:top w:w="28" w:type="dxa"/>
          <w:left w:w="28" w:type="dxa"/>
          <w:bottom w:w="28" w:type="dxa"/>
          <w:right w:w="28" w:type="dxa"/>
        </w:tblCellMar>
      </w:tblPr>
      <w:tblGrid>
        <w:gridCol w:w="1220"/>
        <w:gridCol w:w="1070"/>
        <w:gridCol w:w="1085"/>
        <w:gridCol w:w="109"/>
        <w:gridCol w:w="109"/>
        <w:gridCol w:w="109"/>
        <w:gridCol w:w="677"/>
        <w:gridCol w:w="677"/>
        <w:gridCol w:w="685"/>
        <w:gridCol w:w="109"/>
        <w:gridCol w:w="109"/>
        <w:gridCol w:w="109"/>
        <w:gridCol w:w="801"/>
        <w:gridCol w:w="801"/>
        <w:gridCol w:w="1142"/>
      </w:tblGrid>
      <w:tr>
        <w:trPr/>
        <w:tc>
          <w:tcPr>
            <w:tcW w:w="122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1-8590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71-0361522</w:t>
            </w:r>
          </w:p>
        </w:tc>
      </w:tr>
      <w:tr>
        <w:trPr/>
        <w:tc>
          <w:tcPr>
            <w:tcW w:w="33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bl>
    <w:tbl>
      <w:tblPr>
        <w:tblW w:w="5004" w:type="dxa"/>
        <w:jc w:val="center"/>
        <w:tblInd w:w="0" w:type="dxa"/>
        <w:tblLayout w:type="fixed"/>
        <w:tblCellMar>
          <w:top w:w="28" w:type="dxa"/>
          <w:left w:w="28" w:type="dxa"/>
          <w:bottom w:w="28" w:type="dxa"/>
          <w:right w:w="28" w:type="dxa"/>
        </w:tblCellMar>
      </w:tblPr>
      <w:tblGrid>
        <w:gridCol w:w="124"/>
        <w:gridCol w:w="109"/>
        <w:gridCol w:w="109"/>
        <w:gridCol w:w="488"/>
        <w:gridCol w:w="488"/>
        <w:gridCol w:w="488"/>
        <w:gridCol w:w="471"/>
        <w:gridCol w:w="471"/>
        <w:gridCol w:w="471"/>
        <w:gridCol w:w="471"/>
        <w:gridCol w:w="471"/>
        <w:gridCol w:w="47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 Katy Fwy, Suite G-200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Houston,</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Texas</w:t>
            </w:r>
          </w:p>
        </w:tc>
        <w:tc>
          <w:tcPr>
            <w:tcW w:w="14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77024</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 including zip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602" w:type="dxa"/>
        <w:jc w:val="center"/>
        <w:tblInd w:w="0" w:type="dxa"/>
        <w:tblLayout w:type="fixed"/>
        <w:tblCellMar>
          <w:top w:w="28" w:type="dxa"/>
          <w:left w:w="28" w:type="dxa"/>
          <w:bottom w:w="28" w:type="dxa"/>
          <w:right w:w="28" w:type="dxa"/>
        </w:tblCellMar>
      </w:tblPr>
      <w:tblGrid>
        <w:gridCol w:w="124"/>
        <w:gridCol w:w="109"/>
        <w:gridCol w:w="109"/>
        <w:gridCol w:w="608"/>
        <w:gridCol w:w="608"/>
        <w:gridCol w:w="615"/>
        <w:gridCol w:w="1017"/>
        <w:gridCol w:w="1017"/>
        <w:gridCol w:w="1023"/>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200" w:after="283"/>
              <w:jc w:val="right"/>
              <w:rPr>
                <w:rFonts w:ascii="Times New Roman;serif" w:hAnsi="Times New Roman;serif"/>
                <w:b/>
                <w:color w:val="000000"/>
                <w:sz w:val="20"/>
              </w:rPr>
            </w:pPr>
            <w:r>
              <w:rPr>
                <w:rFonts w:ascii="Times New Roman;serif" w:hAnsi="Times New Roman;serif"/>
                <w:b/>
                <w:color w:val="000000"/>
                <w:sz w:val="20"/>
              </w:rPr>
              <w:t>(281)</w:t>
            </w:r>
          </w:p>
        </w:tc>
        <w:tc>
          <w:tcPr>
            <w:tcW w:w="3057" w:type="dxa"/>
            <w:gridSpan w:val="3"/>
            <w:tcBorders/>
            <w:tcMar>
              <w:top w:w="0" w:type="dxa"/>
              <w:left w:w="0" w:type="dxa"/>
              <w:bottom w:w="0" w:type="dxa"/>
              <w:right w:w="0" w:type="dxa"/>
            </w:tcMar>
            <w:vAlign w:val="center"/>
          </w:tcPr>
          <w:p>
            <w:pPr>
              <w:pStyle w:val="TableContents"/>
              <w:bidi w:val="0"/>
              <w:spacing w:lineRule="auto" w:line="240" w:before="200" w:after="283"/>
              <w:jc w:val="left"/>
              <w:rPr>
                <w:rFonts w:ascii="Times New Roman;serif" w:hAnsi="Times New Roman;serif"/>
                <w:b/>
                <w:color w:val="000000"/>
                <w:sz w:val="20"/>
              </w:rPr>
            </w:pPr>
            <w:r>
              <w:rPr>
                <w:rFonts w:ascii="Times New Roman;serif" w:hAnsi="Times New Roman;serif"/>
                <w:b/>
                <w:color w:val="000000"/>
                <w:sz w:val="20"/>
              </w:rPr>
              <w:t>675-9000</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Registrant’s telephone number, including area code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Not applicable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Check the appropriate box below if the Form 8-K filing is intended to simultaneously satisfy the filing obligation of the registrant under any of the following provisions (see General Instruction A.2. below):</w:t>
      </w:r>
    </w:p>
    <w:tbl>
      <w:tblPr>
        <w:tblW w:w="9057" w:type="dxa"/>
        <w:jc w:val="left"/>
        <w:tblInd w:w="0" w:type="dxa"/>
        <w:tblLayout w:type="fixed"/>
        <w:tblCellMar>
          <w:top w:w="28" w:type="dxa"/>
          <w:left w:w="28" w:type="dxa"/>
          <w:bottom w:w="28" w:type="dxa"/>
          <w:right w:w="28" w:type="dxa"/>
        </w:tblCellMar>
      </w:tblPr>
      <w:tblGrid>
        <w:gridCol w:w="124"/>
        <w:gridCol w:w="109"/>
        <w:gridCol w:w="109"/>
        <w:gridCol w:w="2551"/>
        <w:gridCol w:w="2551"/>
        <w:gridCol w:w="361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361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7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7092" w:type="dxa"/>
        <w:jc w:val="left"/>
        <w:tblInd w:w="0" w:type="dxa"/>
        <w:tblLayout w:type="fixed"/>
        <w:tblCellMar>
          <w:top w:w="28" w:type="dxa"/>
          <w:left w:w="28" w:type="dxa"/>
          <w:bottom w:w="28" w:type="dxa"/>
          <w:right w:w="28" w:type="dxa"/>
        </w:tblCellMar>
      </w:tblPr>
      <w:tblGrid>
        <w:gridCol w:w="907"/>
        <w:gridCol w:w="793"/>
        <w:gridCol w:w="804"/>
        <w:gridCol w:w="424"/>
        <w:gridCol w:w="424"/>
        <w:gridCol w:w="426"/>
        <w:gridCol w:w="970"/>
        <w:gridCol w:w="970"/>
        <w:gridCol w:w="1374"/>
      </w:tblGrid>
      <w:tr>
        <w:trPr/>
        <w:tc>
          <w:tcPr>
            <w:tcW w:w="907"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6"/>
              </w:rPr>
              <w:t>Title of each class</w:t>
            </w:r>
          </w:p>
        </w:tc>
        <w:tc>
          <w:tcPr>
            <w:tcW w:w="127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w:t>
            </w:r>
          </w:p>
        </w:tc>
        <w:tc>
          <w:tcPr>
            <w:tcW w:w="331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250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 $1.00 Par Value</w:t>
            </w:r>
          </w:p>
        </w:tc>
        <w:tc>
          <w:tcPr>
            <w:tcW w:w="127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MUR</w:t>
            </w:r>
          </w:p>
        </w:tc>
        <w:tc>
          <w:tcPr>
            <w:tcW w:w="3314"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New York Stock Exchange</w:t>
            </w:r>
          </w:p>
        </w:tc>
      </w:tr>
    </w:tbl>
    <w:p>
      <w:pPr>
        <w:pStyle w:val="TextBody"/>
        <w:bidi w:val="0"/>
        <w:spacing w:lineRule="auto" w:line="288" w:before="160" w:after="283"/>
        <w:jc w:val="left"/>
        <w:rPr/>
      </w:pPr>
      <w:r>
        <w:rPr>
          <w:rFonts w:ascii="Times New Roman;serif" w:hAnsi="Times New Roman;serif"/>
          <w:b/>
          <w:color w:val="000000"/>
          <w:sz w:val="20"/>
        </w:rPr>
        <w:t>Indicate by check mark whether the registrant is an emerging growth company as defined in Rule 405 of the Securities Act of 1933 (§230.405 of this chapter) or Rule 12b-2 of the Securities Exchange Act of 1934 (§240.12b-2 of this chapter).                                             Emerging growth company</w:t>
      </w:r>
      <w:r>
        <w:rPr>
          <w:color w:val="000000"/>
        </w:rPr>
        <w:t xml:space="preserve"> ☐</w:t>
      </w:r>
    </w:p>
    <w:p>
      <w:pPr>
        <w:pStyle w:val="TextBody"/>
        <w:bidi w:val="0"/>
        <w:spacing w:lineRule="auto" w:line="288" w:before="260" w:after="283"/>
        <w:jc w:val="left"/>
        <w:rPr/>
      </w:pPr>
      <w:r>
        <w:rPr>
          <w:rFonts w:ascii="Times New Roman;serif" w:hAnsi="Times New Roman;serif"/>
          <w:b/>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200" w:after="283"/>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200" w:after="283"/>
        <w:ind w:left="0" w:right="0" w:hanging="1260"/>
        <w:jc w:val="both"/>
        <w:rPr>
          <w:rFonts w:ascii="Times New Roman;serif" w:hAnsi="Times New Roman;serif"/>
          <w:b/>
          <w:color w:val="000000"/>
          <w:sz w:val="24"/>
        </w:rPr>
      </w:pPr>
      <w:r>
        <w:rPr>
          <w:rFonts w:ascii="Times New Roman;serif" w:hAnsi="Times New Roman;serif"/>
          <w:b/>
          <w:color w:val="000000"/>
          <w:sz w:val="24"/>
        </w:rPr>
        <w:t xml:space="preserve">Item 5.07.   Submission of Matters to a Vote of Security Holders </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The following information is furnished pursuant to Item 5.07, “Submission of Matters to a Vote of Security Holders.”</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 xml:space="preserve">On May 13, 2026, Murphy Oil Corporation held its annual meeting of stockholders. The results of voting related to matters brought before stockholders are shown below. </w:t>
      </w:r>
    </w:p>
    <w:p>
      <w:pPr>
        <w:pStyle w:val="TextBody"/>
        <w:bidi w:val="0"/>
        <w:spacing w:before="0" w:after="0"/>
        <w:jc w:val="left"/>
        <w:rPr/>
      </w:pPr>
      <w:r>
        <w:rPr/>
      </w:r>
    </w:p>
    <w:tbl>
      <w:tblPr>
        <w:tblW w:w="10205" w:type="dxa"/>
        <w:jc w:val="center"/>
        <w:tblInd w:w="0" w:type="dxa"/>
        <w:tblLayout w:type="fixed"/>
        <w:tblCellMar>
          <w:top w:w="28" w:type="dxa"/>
          <w:left w:w="28" w:type="dxa"/>
          <w:bottom w:w="28" w:type="dxa"/>
          <w:right w:w="28" w:type="dxa"/>
        </w:tblCellMar>
      </w:tblPr>
      <w:tblGrid>
        <w:gridCol w:w="1446"/>
        <w:gridCol w:w="895"/>
        <w:gridCol w:w="898"/>
        <w:gridCol w:w="795"/>
        <w:gridCol w:w="571"/>
        <w:gridCol w:w="117"/>
        <w:gridCol w:w="117"/>
        <w:gridCol w:w="117"/>
        <w:gridCol w:w="117"/>
        <w:gridCol w:w="563"/>
        <w:gridCol w:w="563"/>
        <w:gridCol w:w="286"/>
        <w:gridCol w:w="117"/>
        <w:gridCol w:w="117"/>
        <w:gridCol w:w="117"/>
        <w:gridCol w:w="473"/>
        <w:gridCol w:w="473"/>
        <w:gridCol w:w="286"/>
        <w:gridCol w:w="117"/>
        <w:gridCol w:w="117"/>
        <w:gridCol w:w="117"/>
        <w:gridCol w:w="623"/>
        <w:gridCol w:w="623"/>
        <w:gridCol w:w="383"/>
        <w:gridCol w:w="157"/>
      </w:tblGrid>
      <w:tr>
        <w:trPr/>
        <w:tc>
          <w:tcPr>
            <w:tcW w:w="1446"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1 – Election of Directors</w:t>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048" w:type="dxa"/>
            <w:gridSpan w:val="24"/>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The directors proposed by management were elected with a tabulation of votes to the nearest share as shown below.</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Broker</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For</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Against</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Abstain</w:t>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2"/>
              </w:rPr>
            </w:pPr>
            <w:r>
              <w:rPr>
                <w:rFonts w:ascii="Times New Roman;serif" w:hAnsi="Times New Roman;serif"/>
                <w:b/>
                <w:color w:val="000000"/>
                <w:sz w:val="22"/>
              </w:rPr>
              <w:t>Non-Votes</w:t>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Claiborne P. Deming</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115,489,401 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3,309,977 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250,847 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Lawrence R. Dickerson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116,136,105 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2,198,007 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716,113 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Michelle A. Earley</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118,095,855 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252,440 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701,930 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Eric M. Hambly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116,685,409 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1,649,131 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715,685 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Elisabeth W. Keller</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116,052,401 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2,272,689 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725,135 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 Madison Murphy</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115,461,615 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2,878,028 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710,582 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Jeffrey W. Nolan</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114,293,769 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4,039,632 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716,824 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N. Ryan, Jr.</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118,115,010 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232,654 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702,561 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Laura A. Sugg</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116,068,417 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2,262,515 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719,293 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Robert B. Tudor, III</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117,202,990 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1,146,402 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700,833 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12,483,996 </w:t>
            </w:r>
          </w:p>
        </w:tc>
        <w:tc>
          <w:tcPr>
            <w:tcW w:w="3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2 – Advisory Vote to Approve Executive Compensation</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117,714,410</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988,954</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346,861</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12,483,996</w:t>
            </w: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Regarding an advisory vote on executive compensation, stockholders approved, by vote, the compensation of the Company’s named executive officers as shown.</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3 – Approval of the Proposed Stock Plan for Non-Employee Directors</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115,379,463</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2,886,090</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784,672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12,483,996</w:t>
            </w: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Regarding a vote to adopt the proposed 2026 Stock Plan for Non-Employee Directors (2026 NED Plan), stockholders approved, by vote, the 2026 NED Plan as shown.</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2"/>
              </w:rPr>
            </w:pPr>
            <w:r>
              <w:rPr>
                <w:rFonts w:ascii="Times New Roman;serif" w:hAnsi="Times New Roman;serif"/>
                <w:b/>
                <w:color w:val="000000"/>
                <w:sz w:val="22"/>
              </w:rPr>
              <w:t>Proposal 4 – Approval of Appointment of Independent Registered Public Accounting Firm</w:t>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128,702,169</w:t>
            </w:r>
            <w:r>
              <w:rPr>
                <w:color w:val="000000"/>
              </w:rPr>
              <w:t> </w:t>
            </w:r>
          </w:p>
        </w:tc>
        <w:tc>
          <w:tcPr>
            <w:tcW w:w="11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2,572,829</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2"/>
              </w:rPr>
              <w:t>259,223</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Regarding the earlier appointment by the Audit Committee of the Board of Directors of KPMG LLP as the Company’s independent registered public accounting firm for 2026, stockholders approved, by vote, the appointment as shown.</w:t>
            </w:r>
          </w:p>
        </w:tc>
        <w:tc>
          <w:tcPr>
            <w:tcW w:w="14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rFonts w:ascii="Times New Roman;serif" w:hAnsi="Times New Roman;serif"/>
          <w:b/>
          <w:color w:val="000000"/>
          <w:sz w:val="24"/>
        </w:rPr>
      </w:pPr>
      <w:r>
        <w:rPr>
          <w:rFonts w:ascii="Times New Roman;serif" w:hAnsi="Times New Roman;serif"/>
          <w:b/>
          <w:color w:val="000000"/>
          <w:sz w:val="24"/>
        </w:rPr>
        <w:t>Item 9.01.  Financial Statements and Exhibits</w:t>
      </w:r>
    </w:p>
    <w:tbl>
      <w:tblPr>
        <w:tblW w:w="8220" w:type="dxa"/>
        <w:jc w:val="left"/>
        <w:tblInd w:w="0" w:type="dxa"/>
        <w:tblLayout w:type="fixed"/>
        <w:tblCellMar>
          <w:top w:w="28" w:type="dxa"/>
          <w:left w:w="28" w:type="dxa"/>
          <w:bottom w:w="28" w:type="dxa"/>
          <w:right w:w="28" w:type="dxa"/>
        </w:tblCellMar>
      </w:tblPr>
      <w:tblGrid>
        <w:gridCol w:w="174"/>
        <w:gridCol w:w="153"/>
        <w:gridCol w:w="154"/>
        <w:gridCol w:w="2255"/>
        <w:gridCol w:w="2255"/>
        <w:gridCol w:w="3229"/>
      </w:tblGrid>
      <w:tr>
        <w:trPr/>
        <w:tc>
          <w:tcPr>
            <w:tcW w:w="174"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3229" w:type="dxa"/>
            <w:tcBorders/>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w:t>
            </w:r>
          </w:p>
        </w:tc>
        <w:tc>
          <w:tcPr>
            <w:tcW w:w="7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Exhibits</w:t>
            </w:r>
          </w:p>
        </w:tc>
      </w:tr>
      <w:tr>
        <w:trPr/>
        <w:tc>
          <w:tcPr>
            <w:tcW w:w="4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104</w:t>
            </w:r>
          </w:p>
        </w:tc>
        <w:tc>
          <w:tcPr>
            <w:tcW w:w="7739" w:type="dxa"/>
            <w:gridSpan w:val="3"/>
            <w:tcBorders/>
            <w:shd w:fill="CCEEFF" w:val="clear"/>
            <w:tcMar>
              <w:top w:w="0" w:type="dxa"/>
              <w:left w:w="0" w:type="dxa"/>
              <w:bottom w:w="0" w:type="dxa"/>
              <w:right w:w="0" w:type="dxa"/>
            </w:tcMar>
            <w:vAlign w:val="center"/>
          </w:tcPr>
          <w:p>
            <w:pPr>
              <w:pStyle w:val="TableContents"/>
              <w:bidi w:val="0"/>
              <w:spacing w:lineRule="auto" w:line="256" w:before="0" w:after="283"/>
              <w:jc w:val="left"/>
              <w:rPr>
                <w:rFonts w:ascii="Times New Roman;serif" w:hAnsi="Times New Roman;serif"/>
                <w:b w:val="false"/>
                <w:color w:val="000000"/>
                <w:sz w:val="24"/>
              </w:rPr>
            </w:pPr>
            <w:r>
              <w:rPr>
                <w:rFonts w:ascii="Times New Roman;serif" w:hAnsi="Times New Roman;serif"/>
                <w:b w:val="false"/>
                <w:color w:val="000000"/>
                <w:sz w:val="24"/>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Signature</w:t>
      </w:r>
    </w:p>
    <w:p>
      <w:pPr>
        <w:pStyle w:val="TextBody"/>
        <w:bidi w:val="0"/>
        <w:spacing w:lineRule="auto" w:line="288" w:before="200" w:after="283"/>
        <w:jc w:val="left"/>
        <w:rPr>
          <w:rFonts w:ascii="Times New Roman;serif" w:hAnsi="Times New Roman;serif"/>
          <w:b w:val="false"/>
          <w:color w:val="000000"/>
          <w:sz w:val="24"/>
        </w:rPr>
      </w:pPr>
      <w:r>
        <w:rPr>
          <w:rFonts w:ascii="Times New Roman;serif" w:hAnsi="Times New Roman;serif"/>
          <w:b w:val="false"/>
          <w:color w:val="000000"/>
          <w:sz w:val="24"/>
        </w:rPr>
        <w:t>Pursuant to the requirements of the Securities Exchange Act of 1934, the registrant has duly caused this report to be signed on its behalf by the undersigned hereunto duly authorized.</w:t>
      </w:r>
    </w:p>
    <w:tbl>
      <w:tblPr>
        <w:tblW w:w="6606" w:type="dxa"/>
        <w:jc w:val="left"/>
        <w:tblInd w:w="0" w:type="dxa"/>
        <w:tblLayout w:type="fixed"/>
        <w:tblCellMar>
          <w:top w:w="28" w:type="dxa"/>
          <w:left w:w="28" w:type="dxa"/>
          <w:bottom w:w="28" w:type="dxa"/>
          <w:right w:w="28" w:type="dxa"/>
        </w:tblCellMar>
      </w:tblPr>
      <w:tblGrid>
        <w:gridCol w:w="732"/>
        <w:gridCol w:w="645"/>
        <w:gridCol w:w="648"/>
        <w:gridCol w:w="542"/>
        <w:gridCol w:w="542"/>
        <w:gridCol w:w="542"/>
        <w:gridCol w:w="865"/>
        <w:gridCol w:w="865"/>
        <w:gridCol w:w="1225"/>
      </w:tblGrid>
      <w:tr>
        <w:trPr/>
        <w:tc>
          <w:tcPr>
            <w:tcW w:w="732"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MURPHY OIL CORPORATION</w:t>
            </w:r>
          </w:p>
        </w:tc>
      </w:tr>
      <w:tr>
        <w:trPr/>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Date: May 14, 2026</w:t>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By:</w:t>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/s/ Paul D. Vaughan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Paul D. Vaughan</w:t>
            </w:r>
          </w:p>
        </w:tc>
      </w:tr>
      <w:tr>
        <w:trPr/>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4"/>
              </w:rPr>
            </w:pPr>
            <w:r>
              <w:rPr>
                <w:rFonts w:ascii="Times New Roman;serif" w:hAnsi="Times New Roman;serif"/>
                <w:b w:val="false"/>
                <w:color w:val="000000"/>
                <w:sz w:val="24"/>
              </w:rPr>
              <w:t>Vice President and Controller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658</Words>
  <Characters>3792</Characters>
  <CharactersWithSpaces>4471</CharactersWithSpaces>
  <Paragraphs>139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