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ind w:left="0" w:right="0" w:firstLine="1800"/>
        <w:jc w:val="left"/>
        <w:rPr/>
      </w:pPr>
      <w:r>
        <w:rPr/>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UNITED STATES</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SECURITIES AND EXCHANGE COMMISSION</w:t>
      </w:r>
    </w:p>
    <w:p>
      <w:pPr>
        <w:pStyle w:val="TextBody"/>
        <w:bidi w:val="0"/>
        <w:spacing w:before="0" w:after="0"/>
        <w:ind w:left="0" w:right="0" w:firstLine="180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Washington, D.C. 20549</w:t>
      </w:r>
    </w:p>
    <w:p>
      <w:pPr>
        <w:pStyle w:val="TextBody"/>
        <w:bidi w:val="0"/>
        <w:spacing w:before="0" w:after="0"/>
        <w:ind w:left="0" w:right="0" w:firstLine="1800"/>
        <w:jc w:val="center"/>
        <w:rPr/>
      </w:pPr>
      <w:r>
        <w:rPr/>
      </w:r>
    </w:p>
    <w:p>
      <w:pPr>
        <w:pStyle w:val="TextBody"/>
        <w:bidi w:val="0"/>
        <w:spacing w:before="0" w:after="0"/>
        <w:ind w:left="0" w:right="0" w:firstLine="180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11-K</w:t>
      </w:r>
    </w:p>
    <w:p>
      <w:pPr>
        <w:pStyle w:val="TextBody"/>
        <w:bidi w:val="0"/>
        <w:spacing w:before="0" w:after="0"/>
        <w:ind w:left="0" w:right="0" w:firstLine="1800"/>
        <w:jc w:val="center"/>
        <w:rPr/>
      </w:pPr>
      <w:r>
        <w:rPr/>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(Mark One)</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[X] ANNUAL REPORT PURSUANT TO SECTION 15(d) OF THE</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SECURITIES EXCHANGE ACT OF 1934</w:t>
      </w:r>
    </w:p>
    <w:p>
      <w:pPr>
        <w:pStyle w:val="TextBody"/>
        <w:bidi w:val="0"/>
        <w:spacing w:before="0" w:after="0"/>
        <w:ind w:left="0" w:right="0" w:firstLine="1800"/>
        <w:jc w:val="center"/>
        <w:rPr/>
      </w:pPr>
      <w:r>
        <w:rPr/>
      </w:r>
    </w:p>
    <w:p>
      <w:pPr>
        <w:pStyle w:val="TextBody"/>
        <w:bidi w:val="0"/>
        <w:spacing w:lineRule="auto" w:line="288" w:before="0" w:after="0"/>
        <w:jc w:val="center"/>
        <w:rPr/>
      </w:pPr>
      <w:r>
        <w:rPr>
          <w:rFonts w:ascii="Arial;sans-serif" w:hAnsi="Arial;sans-serif"/>
          <w:b w:val="false"/>
          <w:color w:val="000000"/>
          <w:sz w:val="20"/>
        </w:rPr>
        <w:t xml:space="preserve">For the fiscal year ended </w:t>
      </w:r>
      <w:r>
        <w:rPr>
          <w:rFonts w:ascii="Arial;sans-serif" w:hAnsi="Arial;sans-serif"/>
          <w:b/>
          <w:color w:val="000000"/>
          <w:sz w:val="20"/>
        </w:rPr>
        <w:t>December 31, 2025</w:t>
      </w:r>
      <w:r>
        <w:rPr>
          <w:color w:val="000000"/>
        </w:rPr>
        <w:t xml:space="preserve"> </w:t>
      </w:r>
    </w:p>
    <w:p>
      <w:pPr>
        <w:pStyle w:val="TextBody"/>
        <w:bidi w:val="0"/>
        <w:spacing w:before="0" w:after="0"/>
        <w:ind w:left="0" w:right="0" w:firstLine="1800"/>
        <w:jc w:val="center"/>
        <w:rPr/>
      </w:pPr>
      <w:r>
        <w:rPr/>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OR</w:t>
      </w:r>
    </w:p>
    <w:p>
      <w:pPr>
        <w:pStyle w:val="TextBody"/>
        <w:bidi w:val="0"/>
        <w:spacing w:before="0" w:after="0"/>
        <w:ind w:left="0" w:right="0" w:firstLine="1800"/>
        <w:jc w:val="center"/>
        <w:rPr/>
      </w:pPr>
      <w:r>
        <w:rPr/>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  ] TRANSITION REPORT PURSUANT TO SECTION 15(d) OF THE</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SECURITIES EXCHANGE ACT OF 1934</w:t>
      </w:r>
    </w:p>
    <w:p>
      <w:pPr>
        <w:pStyle w:val="TextBody"/>
        <w:bidi w:val="0"/>
        <w:spacing w:before="0" w:after="0"/>
        <w:ind w:left="0" w:right="0" w:firstLine="1800"/>
        <w:jc w:val="center"/>
        <w:rPr/>
      </w:pPr>
      <w:r>
        <w:rPr/>
      </w:r>
    </w:p>
    <w:p>
      <w:pPr>
        <w:pStyle w:val="TextBody"/>
        <w:bidi w:val="0"/>
        <w:spacing w:lineRule="auto" w:line="288" w:before="0" w:after="0"/>
        <w:jc w:val="center"/>
        <w:rPr/>
      </w:pPr>
      <w:r>
        <w:rPr>
          <w:rFonts w:ascii="Arial;sans-serif" w:hAnsi="Arial;sans-serif"/>
          <w:b w:val="false"/>
          <w:color w:val="000000"/>
          <w:sz w:val="20"/>
        </w:rPr>
        <w:t xml:space="preserve">For the transition period from </w:t>
      </w:r>
      <w:r>
        <w:rPr>
          <w:color w:val="000000"/>
          <w:u w:val="single"/>
        </w:rPr>
        <w:t>                    </w:t>
      </w:r>
      <w:r>
        <w:rPr>
          <w:color w:val="000000"/>
        </w:rPr>
        <w:t xml:space="preserve"> </w:t>
      </w:r>
      <w:r>
        <w:rPr>
          <w:rFonts w:ascii="Arial;sans-serif" w:hAnsi="Arial;sans-serif"/>
          <w:b w:val="false"/>
          <w:color w:val="000000"/>
          <w:sz w:val="20"/>
        </w:rPr>
        <w:t xml:space="preserve">to </w:t>
      </w:r>
      <w:r>
        <w:rPr>
          <w:color w:val="000000"/>
          <w:u w:val="single"/>
        </w:rPr>
        <w:t>                               </w:t>
      </w:r>
    </w:p>
    <w:p>
      <w:pPr>
        <w:pStyle w:val="TextBody"/>
        <w:bidi w:val="0"/>
        <w:spacing w:before="0" w:after="0"/>
        <w:ind w:left="0" w:right="0" w:firstLine="1800"/>
        <w:jc w:val="center"/>
        <w:rPr/>
      </w:pPr>
      <w:r>
        <w:rPr/>
      </w:r>
    </w:p>
    <w:p>
      <w:pPr>
        <w:pStyle w:val="TextBody"/>
        <w:bidi w:val="0"/>
        <w:spacing w:lineRule="auto" w:line="288" w:before="0" w:after="0"/>
        <w:jc w:val="center"/>
        <w:rPr/>
      </w:pPr>
      <w:r>
        <w:rPr>
          <w:rFonts w:ascii="Arial;sans-serif" w:hAnsi="Arial;sans-serif"/>
          <w:b w:val="false"/>
          <w:color w:val="000000"/>
          <w:sz w:val="20"/>
        </w:rPr>
        <w:t xml:space="preserve">Commission file number </w:t>
      </w:r>
      <w:r>
        <w:rPr>
          <w:rFonts w:ascii="Arial;sans-serif" w:hAnsi="Arial;sans-serif"/>
          <w:b/>
          <w:color w:val="000000"/>
          <w:sz w:val="20"/>
        </w:rPr>
        <w:t>1-8590</w:t>
      </w:r>
    </w:p>
    <w:p>
      <w:pPr>
        <w:pStyle w:val="TextBody"/>
        <w:bidi w:val="0"/>
        <w:spacing w:before="0" w:after="0"/>
        <w:ind w:left="0" w:right="0" w:firstLine="1800"/>
        <w:jc w:val="center"/>
        <w:rPr/>
      </w:pPr>
      <w:r>
        <w:rPr/>
      </w:r>
    </w:p>
    <w:p>
      <w:pPr>
        <w:pStyle w:val="TextBody"/>
        <w:bidi w:val="0"/>
        <w:spacing w:before="0" w:after="0"/>
        <w:ind w:left="0" w:right="0" w:firstLine="180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THE MURPHY OIL CORPORATION 401(K) PLAN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(Full title of the Plan)</w:t>
      </w:r>
    </w:p>
    <w:p>
      <w:pPr>
        <w:pStyle w:val="TextBody"/>
        <w:bidi w:val="0"/>
        <w:spacing w:before="0" w:after="0"/>
        <w:ind w:left="0" w:right="0" w:firstLine="1800"/>
        <w:jc w:val="center"/>
        <w:rPr/>
      </w:pPr>
      <w:r>
        <w:rPr/>
      </w:r>
    </w:p>
    <w:p>
      <w:pPr>
        <w:pStyle w:val="TextBody"/>
        <w:bidi w:val="0"/>
        <w:spacing w:lineRule="auto" w:line="288" w:before="0" w:after="0"/>
        <w:jc w:val="center"/>
        <w:rPr/>
      </w:pPr>
      <w:r>
        <w:rPr/>
        <w:drawing>
          <wp:inline distT="0" distB="0" distL="0" distR="0">
            <wp:extent cx="1571625"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71625" cy="933450"/>
                    </a:xfrm>
                    <a:prstGeom prst="rect">
                      <a:avLst/>
                    </a:prstGeom>
                  </pic:spPr>
                </pic:pic>
              </a:graphicData>
            </a:graphic>
          </wp:inline>
        </w:drawing>
      </w:r>
      <w:bookmarkStart w:id="0" w:name="i-1"/>
      <w:bookmarkEnd w:id="0"/>
      <w:r>
        <w:rPr>
          <w:color w:val="000000"/>
        </w:rPr>
        <w:t> </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MURPHY OIL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(Name of issuer of securities held pursuant to Plan)</w:t>
      </w:r>
    </w:p>
    <w:p>
      <w:pPr>
        <w:pStyle w:val="TextBody"/>
        <w:bidi w:val="0"/>
        <w:spacing w:before="0" w:after="0"/>
        <w:ind w:left="0" w:right="0" w:firstLine="1800"/>
        <w:jc w:val="center"/>
        <w:rPr/>
      </w:pPr>
      <w:r>
        <w:rPr/>
      </w:r>
    </w:p>
    <w:p>
      <w:pPr>
        <w:pStyle w:val="TextBody"/>
        <w:bidi w:val="0"/>
        <w:spacing w:before="0" w:after="0"/>
        <w:ind w:left="0" w:right="0" w:firstLine="180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9805 Katy Fwy, Suite G-200, Houston, Texas 77024</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issuer’s principal executive office) (Zip Code)</w:t>
      </w:r>
    </w:p>
    <w:p>
      <w:pPr>
        <w:pStyle w:val="TextBody"/>
        <w:bidi w:val="0"/>
        <w:spacing w:before="0" w:after="0"/>
        <w:ind w:left="0" w:right="0" w:firstLine="1800"/>
        <w:jc w:val="center"/>
        <w:rPr/>
      </w:pPr>
      <w:r>
        <w:rPr/>
      </w:r>
    </w:p>
    <w:p>
      <w:pPr>
        <w:pStyle w:val="TextBody"/>
        <w:bidi w:val="0"/>
        <w:spacing w:before="0" w:after="0"/>
        <w:ind w:left="0" w:right="0" w:firstLine="1800"/>
        <w:jc w:val="center"/>
        <w:rPr/>
      </w:pPr>
      <w:r>
        <w:rPr/>
      </w:r>
    </w:p>
    <w:p>
      <w:pPr>
        <w:pStyle w:val="TextBody"/>
        <w:bidi w:val="0"/>
        <w:spacing w:before="0" w:after="0"/>
        <w:ind w:left="0" w:right="0" w:firstLine="1800"/>
        <w:jc w:val="both"/>
        <w:rPr/>
      </w:pPr>
      <w:r>
        <w:rPr/>
      </w:r>
    </w:p>
    <w:p>
      <w:pPr>
        <w:pStyle w:val="TextBody"/>
        <w:bidi w:val="0"/>
        <w:spacing w:before="0" w:after="0"/>
        <w:ind w:left="0" w:right="0" w:firstLine="1800"/>
        <w:jc w:val="both"/>
        <w:rPr/>
      </w:pPr>
      <w:r>
        <w:rPr/>
      </w:r>
    </w:p>
    <w:p>
      <w:pPr>
        <w:pStyle w:val="TextBody"/>
        <w:bidi w:val="0"/>
        <w:spacing w:before="0" w:after="0"/>
        <w:ind w:left="0" w:right="0" w:firstLine="18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THE MURPHY OIL CORPORATION 401(K) PLAN</w:t>
      </w:r>
    </w:p>
    <w:p>
      <w:pPr>
        <w:pStyle w:val="TextBody"/>
        <w:bidi w:val="0"/>
        <w:spacing w:lineRule="auto" w:line="288" w:before="0" w:after="0"/>
        <w:ind w:left="0" w:right="0" w:firstLine="180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TABLE OF CONTENTS</w:t>
      </w:r>
    </w:p>
    <w:tbl>
      <w:tblPr>
        <w:tblW w:w="10156" w:type="dxa"/>
        <w:jc w:val="center"/>
        <w:tblInd w:w="0" w:type="dxa"/>
        <w:tblLayout w:type="fixed"/>
        <w:tblCellMar>
          <w:top w:w="28" w:type="dxa"/>
          <w:left w:w="28" w:type="dxa"/>
          <w:bottom w:w="28" w:type="dxa"/>
          <w:right w:w="28" w:type="dxa"/>
        </w:tblCellMar>
      </w:tblPr>
      <w:tblGrid>
        <w:gridCol w:w="3441"/>
        <w:gridCol w:w="3031"/>
        <w:gridCol w:w="3038"/>
        <w:gridCol w:w="189"/>
        <w:gridCol w:w="189"/>
        <w:gridCol w:w="268"/>
      </w:tblGrid>
      <w:tr>
        <w:trPr/>
        <w:tc>
          <w:tcPr>
            <w:tcW w:w="3441"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9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1"/>
              </w:rPr>
            </w:pPr>
            <w:r>
              <w:rPr>
                <w:rFonts w:ascii="Arial;sans-serif" w:hAnsi="Arial;sans-serif"/>
                <w:b w:val="false"/>
                <w:color w:val="000000"/>
                <w:sz w:val="21"/>
              </w:rPr>
              <w:t>Page</w:t>
            </w:r>
          </w:p>
        </w:tc>
      </w:tr>
      <w:tr>
        <w:trPr/>
        <w:tc>
          <w:tcPr>
            <w:tcW w:w="9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c5d2b1f3ff54958a33752958392d31c_13">
              <w:r>
                <w:rPr>
                  <w:rStyle w:val="InternetLink"/>
                  <w:rFonts w:ascii="Arial;sans-serif" w:hAnsi="Arial;sans-serif"/>
                  <w:b w:val="false"/>
                  <w:color w:val="0000FF"/>
                  <w:sz w:val="21"/>
                  <w:u w:val="single"/>
                </w:rPr>
                <w:t>Report of Independent Registered Public Accounting Firm</w:t>
              </w:r>
            </w:hyperlink>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c5d2b1f3ff54958a33752958392d31c_13">
              <w:r>
                <w:rPr>
                  <w:rStyle w:val="InternetLink"/>
                  <w:rFonts w:ascii="Arial;sans-serif" w:hAnsi="Arial;sans-serif"/>
                  <w:b w:val="false"/>
                  <w:color w:val="000000"/>
                  <w:sz w:val="21"/>
                </w:rPr>
                <w:t>3</w:t>
              </w:r>
            </w:hyperlink>
          </w:p>
        </w:tc>
      </w:tr>
      <w:tr>
        <w:trPr/>
        <w:tc>
          <w:tcPr>
            <w:tcW w:w="9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FINANCIAL STATEMENTS</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35"/>
              <w:jc w:val="left"/>
              <w:rPr/>
            </w:pPr>
            <w:hyperlink w:anchor="iac5d2b1f3ff54958a33752958392d31c_19">
              <w:r>
                <w:rPr>
                  <w:rStyle w:val="InternetLink"/>
                  <w:rFonts w:ascii="Arial;sans-serif" w:hAnsi="Arial;sans-serif"/>
                  <w:b w:val="false"/>
                  <w:color w:val="000080"/>
                  <w:sz w:val="21"/>
                  <w:u w:val="single"/>
                </w:rPr>
                <w:t xml:space="preserve">Statements of Net Assets Available for Benefits as of </w:t>
              </w:r>
            </w:hyperlink>
            <w:r>
              <w:rPr>
                <w:rFonts w:ascii="Arial;sans-serif" w:hAnsi="Arial;sans-serif"/>
                <w:b w:val="false"/>
                <w:color w:val="0000FF"/>
                <w:sz w:val="21"/>
                <w:u w:val="single"/>
              </w:rPr>
              <w:t>December 31, 2025</w:t>
            </w:r>
            <w:hyperlink w:anchor="iac5d2b1f3ff54958a33752958392d31c_19">
              <w:r>
                <w:rPr>
                  <w:rStyle w:val="InternetLink"/>
                  <w:rFonts w:ascii="Arial;sans-serif" w:hAnsi="Arial;sans-serif"/>
                  <w:b w:val="false"/>
                  <w:color w:val="000080"/>
                  <w:sz w:val="21"/>
                  <w:u w:val="single"/>
                </w:rPr>
                <w:t xml:space="preserve"> and </w:t>
              </w:r>
            </w:hyperlink>
            <w:r>
              <w:rPr>
                <w:rFonts w:ascii="Arial;sans-serif" w:hAnsi="Arial;sans-serif"/>
                <w:b w:val="false"/>
                <w:color w:val="0000FF"/>
                <w:sz w:val="21"/>
                <w:u w:val="single"/>
              </w:rPr>
              <w:t>2024</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c5d2b1f3ff54958a33752958392d31c_19">
              <w:r>
                <w:rPr>
                  <w:rStyle w:val="InternetLink"/>
                  <w:rFonts w:ascii="Arial;sans-serif" w:hAnsi="Arial;sans-serif"/>
                  <w:b w:val="false"/>
                  <w:color w:val="000000"/>
                  <w:sz w:val="21"/>
                </w:rPr>
                <w:t>4</w:t>
              </w:r>
            </w:hyperlink>
          </w:p>
        </w:tc>
      </w:tr>
      <w:tr>
        <w:trPr/>
        <w:tc>
          <w:tcPr>
            <w:tcW w:w="9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35"/>
              <w:jc w:val="left"/>
              <w:rPr/>
            </w:pPr>
            <w:hyperlink w:anchor="iac5d2b1f3ff54958a33752958392d31c_22">
              <w:r>
                <w:rPr>
                  <w:rStyle w:val="InternetLink"/>
                  <w:rFonts w:ascii="Arial;sans-serif" w:hAnsi="Arial;sans-serif"/>
                  <w:b w:val="false"/>
                  <w:color w:val="000080"/>
                  <w:sz w:val="21"/>
                  <w:u w:val="single"/>
                </w:rPr>
                <w:t xml:space="preserve">Statement of Changes in Net Assets Available for Benefits for the year ended </w:t>
              </w:r>
            </w:hyperlink>
            <w:r>
              <w:rPr>
                <w:rFonts w:ascii="Arial;sans-serif" w:hAnsi="Arial;sans-serif"/>
                <w:b w:val="false"/>
                <w:color w:val="0000FF"/>
                <w:sz w:val="21"/>
                <w:u w:val="single"/>
              </w:rPr>
              <w:t>December 31, 2025</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c5d2b1f3ff54958a33752958392d31c_22">
              <w:r>
                <w:rPr>
                  <w:rStyle w:val="InternetLink"/>
                  <w:rFonts w:ascii="Arial;sans-serif" w:hAnsi="Arial;sans-serif"/>
                  <w:b w:val="false"/>
                  <w:color w:val="000000"/>
                  <w:sz w:val="21"/>
                </w:rPr>
                <w:t>5</w:t>
              </w:r>
            </w:hyperlink>
          </w:p>
        </w:tc>
      </w:tr>
      <w:tr>
        <w:trPr/>
        <w:tc>
          <w:tcPr>
            <w:tcW w:w="9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35"/>
              <w:jc w:val="left"/>
              <w:rPr/>
            </w:pPr>
            <w:hyperlink w:anchor="iac5d2b1f3ff54958a33752958392d31c_25">
              <w:r>
                <w:rPr>
                  <w:rStyle w:val="InternetLink"/>
                  <w:rFonts w:ascii="Arial;sans-serif" w:hAnsi="Arial;sans-serif"/>
                  <w:b w:val="false"/>
                  <w:color w:val="0000FF"/>
                  <w:sz w:val="21"/>
                  <w:u w:val="single"/>
                </w:rPr>
                <w:t>Notes to Financial Statements</w:t>
              </w:r>
            </w:hyperlink>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c5d2b1f3ff54958a33752958392d31c_25">
              <w:r>
                <w:rPr>
                  <w:rStyle w:val="InternetLink"/>
                  <w:rFonts w:ascii="Arial;sans-serif" w:hAnsi="Arial;sans-serif"/>
                  <w:b w:val="false"/>
                  <w:color w:val="000000"/>
                  <w:sz w:val="21"/>
                </w:rPr>
                <w:t>6</w:t>
              </w:r>
            </w:hyperlink>
          </w:p>
        </w:tc>
      </w:tr>
      <w:tr>
        <w:trPr/>
        <w:tc>
          <w:tcPr>
            <w:tcW w:w="9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SUPPLEMENTAL SCHEDULES*</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FF"/>
              </w:rPr>
              <w:t> </w:t>
            </w:r>
            <w:hyperlink w:anchor="iac5d2b1f3ff54958a33752958392d31c_58">
              <w:r>
                <w:rPr>
                  <w:rStyle w:val="InternetLink"/>
                  <w:rFonts w:ascii="Arial;sans-serif" w:hAnsi="Arial;sans-serif"/>
                  <w:b w:val="false"/>
                  <w:color w:val="000080"/>
                  <w:sz w:val="21"/>
                  <w:u w:val="single"/>
                </w:rPr>
                <w:t xml:space="preserve">Schedule H, Line 4i  Schedule of Assets (Held at End of Year) </w:t>
              </w:r>
            </w:hyperlink>
            <w:r>
              <w:rPr>
                <w:rFonts w:ascii="Arial;sans-serif" w:hAnsi="Arial;sans-serif"/>
                <w:b w:val="false"/>
                <w:color w:val="0000FF"/>
                <w:sz w:val="21"/>
                <w:u w:val="single"/>
              </w:rPr>
              <w:t>December 31, 2025</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c5d2b1f3ff54958a33752958392d31c_58">
              <w:r>
                <w:rPr>
                  <w:rStyle w:val="InternetLink"/>
                  <w:rFonts w:ascii="Arial;sans-serif" w:hAnsi="Arial;sans-serif"/>
                  <w:b w:val="false"/>
                  <w:color w:val="000000"/>
                  <w:sz w:val="21"/>
                </w:rPr>
                <w:t>13</w:t>
              </w:r>
            </w:hyperlink>
          </w:p>
        </w:tc>
      </w:tr>
      <w:tr>
        <w:trPr/>
        <w:tc>
          <w:tcPr>
            <w:tcW w:w="9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ac5d2b1f3ff54958a33752958392d31c_61">
              <w:r>
                <w:rPr>
                  <w:rStyle w:val="InternetLink"/>
                  <w:rFonts w:ascii="Arial;sans-serif" w:hAnsi="Arial;sans-serif"/>
                  <w:b w:val="false"/>
                  <w:color w:val="0000FF"/>
                  <w:sz w:val="21"/>
                  <w:u w:val="single"/>
                </w:rPr>
                <w:t>Signature</w:t>
              </w:r>
            </w:hyperlink>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c5d2b1f3ff54958a33752958392d31c_61">
              <w:r>
                <w:rPr>
                  <w:rStyle w:val="InternetLink"/>
                  <w:rFonts w:ascii="Arial;sans-serif" w:hAnsi="Arial;sans-serif"/>
                  <w:b w:val="false"/>
                  <w:color w:val="000000"/>
                  <w:sz w:val="21"/>
                </w:rPr>
                <w:t>14</w:t>
              </w:r>
            </w:hyperlink>
          </w:p>
        </w:tc>
      </w:tr>
      <w:tr>
        <w:trPr/>
        <w:tc>
          <w:tcPr>
            <w:tcW w:w="9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a11-k401kmoc12312025xex23.htm">
              <w:r>
                <w:rPr>
                  <w:rStyle w:val="InternetLink"/>
                  <w:rFonts w:ascii="Arial;sans-serif" w:hAnsi="Arial;sans-serif"/>
                  <w:b w:val="false"/>
                  <w:color w:val="0000FF"/>
                  <w:sz w:val="21"/>
                  <w:u w:val="single"/>
                </w:rPr>
                <w:t>Exhibit 23 Consent of Independent Registered Public Accounting Firm</w:t>
              </w:r>
            </w:hyperlink>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15</w:t>
            </w:r>
          </w:p>
        </w:tc>
      </w:tr>
    </w:tbl>
    <w:p>
      <w:pPr>
        <w:pStyle w:val="TextBody"/>
        <w:bidi w:val="0"/>
        <w:spacing w:before="0" w:after="0"/>
        <w:ind w:left="0" w:right="0" w:firstLine="1800"/>
        <w:jc w:val="left"/>
        <w:rPr/>
      </w:pPr>
      <w:r>
        <w:rPr/>
      </w:r>
    </w:p>
    <w:p>
      <w:pPr>
        <w:pStyle w:val="TextBody"/>
        <w:bidi w:val="0"/>
        <w:spacing w:before="0" w:after="0"/>
        <w:ind w:left="0" w:right="0" w:firstLine="180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*All other supplemental schedules required by the Department of Labor’s Rules and Regulations for Reporting and Disclosure under the Employee Retirement Income Security Act of 1974 have been omitted, as they are inapplicable or not required.</w:t>
      </w:r>
    </w:p>
    <w:p>
      <w:pPr>
        <w:pStyle w:val="TextBody"/>
        <w:bidi w:val="0"/>
        <w:spacing w:before="0" w:after="0"/>
        <w:ind w:left="0" w:right="0" w:firstLine="180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Report of Independent Registered Public Accounting Firm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Plan Administrator, Plan Participants, Audit Committee, and Board of Directors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Murphy Oil Corporation 401(K) Plan</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Houston, Texas</w:t>
      </w:r>
    </w:p>
    <w:p>
      <w:pPr>
        <w:pStyle w:val="TextBody"/>
        <w:bidi w:val="0"/>
        <w:spacing w:before="0" w:after="0"/>
        <w:ind w:left="0" w:right="0" w:firstLine="144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Opinion on the Financial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audited the accompanying statements of net assets available for benefits of The Murphy Oil Corporation 401(K) Plan (Plan) as of December 31, 2025 and 2024, the related statement of changes in net assets available for benefits for the year ended December 31, 2025, and the related notes (collectively referred to as the “financial statements”). In our opinion, the financial statements referred to above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Basis of Opinion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These financial statements are the responsibility of the Plan’s management. Our responsibility is to express an opinion on these financial statements based on our audits.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firstLine="144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Report on Supplemental Information</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The supplemental information in the accompanying Schedule H, Line 4i – Schedule of Assets (Held at End of Year) as of December 31, 2025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conformity with the Department of Labor’s Rules and Regulations for Reporting and Disclosure under the </w:t>
      </w:r>
      <w:r>
        <w:rPr>
          <w:rFonts w:ascii="Arial;sans-serif" w:hAnsi="Arial;sans-serif"/>
          <w:b w:val="false"/>
          <w:i/>
          <w:color w:val="000000"/>
          <w:sz w:val="20"/>
        </w:rPr>
        <w:t>Employee Retirement Income Security Act of 1974</w:t>
      </w:r>
      <w:r>
        <w:rPr>
          <w:rFonts w:ascii="Arial;sans-serif" w:hAnsi="Arial;sans-serif"/>
          <w:b w:val="false"/>
          <w:color w:val="000000"/>
          <w:sz w:val="20"/>
        </w:rPr>
        <w:t>. In our opinion, the Schedule of Assets (Held at End of Year) is fairly stated, in all material respects, in relation to the basic financial statements taken as a whole.</w:t>
      </w:r>
    </w:p>
    <w:p>
      <w:pPr>
        <w:pStyle w:val="TextBody"/>
        <w:bidi w:val="0"/>
        <w:spacing w:before="0" w:after="0"/>
        <w:ind w:left="0" w:right="0" w:firstLine="1440"/>
        <w:jc w:val="left"/>
        <w:rPr/>
      </w:pPr>
      <w:r>
        <w:rPr/>
      </w:r>
    </w:p>
    <w:p>
      <w:pPr>
        <w:pStyle w:val="TextBody"/>
        <w:bidi w:val="0"/>
        <w:spacing w:lineRule="auto" w:line="268" w:before="0" w:after="0"/>
        <w:jc w:val="left"/>
        <w:rPr/>
      </w:pPr>
      <w:r>
        <w:rPr>
          <w:rFonts w:ascii="Arial;sans-serif" w:hAnsi="Arial;sans-serif"/>
          <w:b w:val="false"/>
          <w:color w:val="000000"/>
          <w:sz w:val="20"/>
        </w:rPr>
        <w:t xml:space="preserve">/s/ </w:t>
      </w:r>
      <w:r>
        <w:rPr>
          <w:rFonts w:ascii="Arial;sans-serif" w:hAnsi="Arial;sans-serif"/>
          <w:b/>
          <w:color w:val="000000"/>
          <w:sz w:val="20"/>
        </w:rPr>
        <w:t>Forvis Mazars,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served as the Plan’s auditor since 2005.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Houston, Texas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June 12,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THE MURPHY OIL CORPORATION 401(K) PLAN</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Statements of Net Assets Available for Benefits</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 xml:space="preserve">December 31, 2025 and 2024 </w:t>
      </w:r>
    </w:p>
    <w:tbl>
      <w:tblPr>
        <w:tblW w:w="8256" w:type="dxa"/>
        <w:jc w:val="left"/>
        <w:tblInd w:w="0" w:type="dxa"/>
        <w:tblLayout w:type="fixed"/>
        <w:tblCellMar>
          <w:top w:w="28" w:type="dxa"/>
          <w:left w:w="28" w:type="dxa"/>
          <w:bottom w:w="28" w:type="dxa"/>
          <w:right w:w="28" w:type="dxa"/>
        </w:tblCellMar>
      </w:tblPr>
      <w:tblGrid>
        <w:gridCol w:w="1395"/>
        <w:gridCol w:w="1223"/>
        <w:gridCol w:w="1237"/>
        <w:gridCol w:w="109"/>
        <w:gridCol w:w="109"/>
        <w:gridCol w:w="109"/>
        <w:gridCol w:w="241"/>
        <w:gridCol w:w="1501"/>
        <w:gridCol w:w="109"/>
        <w:gridCol w:w="109"/>
        <w:gridCol w:w="109"/>
        <w:gridCol w:w="109"/>
        <w:gridCol w:w="241"/>
        <w:gridCol w:w="1501"/>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2024</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u w:val="single"/>
              </w:rPr>
            </w:pPr>
            <w:r>
              <w:rPr>
                <w:rFonts w:ascii="Arial;sans-serif" w:hAnsi="Arial;sans-serif"/>
                <w:b/>
                <w:color w:val="000000"/>
                <w:sz w:val="24"/>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Investments,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c>
          <w:tcPr>
            <w:tcW w:w="1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253,656,558 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c>
          <w:tcPr>
            <w:tcW w:w="1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214,011,393 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Notes receivable from participants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2,366,554 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2,205,448 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Participant contributions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252,679 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Employer contributions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213,856 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Net assets available for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c>
          <w:tcPr>
            <w:tcW w:w="1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256,023,112 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c>
          <w:tcPr>
            <w:tcW w:w="1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216,683,376 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44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THE MURPHY OIL CORPORATION 401(K) PLAN</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Statement of Changes in Net Assets Available for Benefits</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Year Ended December 31, 2025 </w:t>
      </w:r>
    </w:p>
    <w:p>
      <w:pPr>
        <w:pStyle w:val="TextBody"/>
        <w:bidi w:val="0"/>
        <w:spacing w:before="0" w:after="0"/>
        <w:ind w:left="0" w:right="0" w:firstLine="1440"/>
        <w:jc w:val="left"/>
        <w:rPr/>
      </w:pPr>
      <w:r>
        <w:rPr/>
      </w:r>
    </w:p>
    <w:tbl>
      <w:tblPr>
        <w:tblW w:w="7596" w:type="dxa"/>
        <w:jc w:val="left"/>
        <w:tblInd w:w="0" w:type="dxa"/>
        <w:tblLayout w:type="fixed"/>
        <w:tblCellMar>
          <w:top w:w="28" w:type="dxa"/>
          <w:left w:w="28" w:type="dxa"/>
          <w:bottom w:w="28" w:type="dxa"/>
          <w:right w:w="28" w:type="dxa"/>
        </w:tblCellMar>
      </w:tblPr>
      <w:tblGrid>
        <w:gridCol w:w="2063"/>
        <w:gridCol w:w="1815"/>
        <w:gridCol w:w="1822"/>
        <w:gridCol w:w="241"/>
        <w:gridCol w:w="1501"/>
        <w:gridCol w:w="154"/>
      </w:tblGrid>
      <w:tr>
        <w:trPr/>
        <w:tc>
          <w:tcPr>
            <w:tcW w:w="2063"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Additions</w:t>
            </w:r>
          </w:p>
        </w:tc>
        <w:tc>
          <w:tcPr>
            <w:tcW w:w="18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Investment income:</w:t>
            </w:r>
          </w:p>
        </w:tc>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Interest and dividend income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c>
          <w:tcPr>
            <w:tcW w:w="1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7,535,859 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Net appreciation in fair value of investments</w:t>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26,386,349 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Total investment income</w:t>
            </w:r>
          </w:p>
        </w:tc>
        <w:tc>
          <w:tcPr>
            <w:tcW w:w="17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33,922,208 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Interest income on notes receivable from participants</w:t>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173,593 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Contributions:</w:t>
            </w:r>
          </w:p>
        </w:tc>
        <w:tc>
          <w:tcPr>
            <w:tcW w:w="1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Employer</w:t>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6,854,413 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Participants</w:t>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10,660,577 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Rollovers from other plans</w:t>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4,348,866 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Total contributions</w:t>
            </w:r>
          </w:p>
        </w:tc>
        <w:tc>
          <w:tcPr>
            <w:tcW w:w="17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21,863,856 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Total additions</w:t>
            </w:r>
          </w:p>
        </w:tc>
        <w:tc>
          <w:tcPr>
            <w:tcW w:w="1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55,959,657 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Deductions</w:t>
            </w:r>
          </w:p>
        </w:tc>
        <w:tc>
          <w:tcPr>
            <w:tcW w:w="18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Benefits paid to participants</w:t>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16,540,435 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Administrative expense</w:t>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79,486 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Total deductions</w:t>
            </w:r>
          </w:p>
        </w:tc>
        <w:tc>
          <w:tcPr>
            <w:tcW w:w="1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16,619,921 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Net increase for the year</w:t>
            </w:r>
          </w:p>
        </w:tc>
        <w:tc>
          <w:tcPr>
            <w:tcW w:w="17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39,339,736 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Net assets available for benefits:</w:t>
            </w:r>
          </w:p>
        </w:tc>
        <w:tc>
          <w:tcPr>
            <w:tcW w:w="1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Beginning of year</w:t>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216,683,376 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End of year</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c>
          <w:tcPr>
            <w:tcW w:w="1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256,023,112 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THE MURPHY OIL CORPORATION 401(K) PLAN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1. Description of the Plan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following is a summary of certain information related to The Murphy Oil Corporation 401(k) Plan (the Plan), which is sponsored by Murphy Oil Corporation (Murphy) and is administered by Murphy’s Employee Benefits Committee (the Committee). The Plan documents should be referred to for a complete description of the Plan’s provisions. The Plan is subject to the provisions of the Employee Retirement Income Security Act of 1974 (ERISA).</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Eligibility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The Plan is a defined contribution plan generally available to certain employees of Murphy Oil Corporation (Murphy) and participating subsidiaries (collectively, the Company). Employees are generally eligible to participate as soon as administratively practicable after commencing employment.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Contributions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Participants may contribute up to 60% of their eligible pay to the Plan in the form of pre-tax, Roth, after-tax and catch-up contributions, subject to certain Internal Revenue Service (IRS) limitations. Participants who have attained age 50 before the end of the Plan year are eligible to make catch-up contributions. Participants may also contribute eligible rollover distributions from other qualified retirement plans. Participants direct the investment of their contributions into various investment options offered by the Plan. Eligible employees are automatically enrolled in the Plan at a 6% salary deferral rate beginning 35 days after hire unless they elect a different contribution rate or opt out during the notice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Roth contributions became available under the Plan effective January 1, 2025. The Plan was subsequently amended to permit in-plan Roth rollover contributions effective July 16,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Company makes matching contributions on eligible participant contributions up to a maximum of 6% of eligible pay. Company matching contributions are invested as directed by the participant.</w:t>
      </w:r>
    </w:p>
    <w:p>
      <w:pPr>
        <w:pStyle w:val="TextBody"/>
        <w:bidi w:val="0"/>
        <w:spacing w:before="0" w:after="0"/>
        <w:ind w:left="0" w:right="0" w:firstLine="117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Participant Accounts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Each participant’s account includes the participant’s contribution and allocations of (</w:t>
      </w:r>
      <w:r>
        <w:rPr>
          <w:rFonts w:ascii="Arial;sans-serif" w:hAnsi="Arial;sans-serif"/>
          <w:b w:val="false"/>
          <w:i/>
          <w:color w:val="000000"/>
          <w:sz w:val="24"/>
        </w:rPr>
        <w:t>a</w:t>
      </w:r>
      <w:r>
        <w:rPr>
          <w:rFonts w:ascii="Arial;sans-serif" w:hAnsi="Arial;sans-serif"/>
          <w:b w:val="false"/>
          <w:color w:val="000000"/>
          <w:sz w:val="24"/>
        </w:rPr>
        <w:t>) the Company’s contribution, (</w:t>
      </w:r>
      <w:r>
        <w:rPr>
          <w:rFonts w:ascii="Arial;sans-serif" w:hAnsi="Arial;sans-serif"/>
          <w:b w:val="false"/>
          <w:i/>
          <w:color w:val="000000"/>
          <w:sz w:val="24"/>
        </w:rPr>
        <w:t>b</w:t>
      </w:r>
      <w:r>
        <w:rPr>
          <w:rFonts w:ascii="Arial;sans-serif" w:hAnsi="Arial;sans-serif"/>
          <w:b w:val="false"/>
          <w:color w:val="000000"/>
          <w:sz w:val="24"/>
        </w:rPr>
        <w:t>) Plan earnings or losses, and (</w:t>
      </w:r>
      <w:r>
        <w:rPr>
          <w:rFonts w:ascii="Arial;sans-serif" w:hAnsi="Arial;sans-serif"/>
          <w:b w:val="false"/>
          <w:i/>
          <w:color w:val="000000"/>
          <w:sz w:val="24"/>
        </w:rPr>
        <w:t>c</w:t>
      </w:r>
      <w:r>
        <w:rPr>
          <w:rFonts w:ascii="Arial;sans-serif" w:hAnsi="Arial;sans-serif"/>
          <w:b w:val="false"/>
          <w:color w:val="000000"/>
          <w:sz w:val="24"/>
        </w:rPr>
        <w:t>) administrative expenses. Additionally, each participant’s account can be allocated revenue sharing credits upon the Company’s election.  Allocations are based on participant earnings or account balances, as defined. The amount to which a participant is entitled is the amount that can be provided from the participant’s vested account.</w:t>
      </w:r>
    </w:p>
    <w:p>
      <w:pPr>
        <w:pStyle w:val="TextBody"/>
        <w:bidi w:val="0"/>
        <w:spacing w:before="0" w:after="0"/>
        <w:ind w:left="0" w:right="0" w:firstLine="11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THE MURPHY OIL CORPORATION 401(K) PLAN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Financial Statements</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Vesting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Participants are immediately vested in their contributions, Company matching contributions, and the actual earnings or losses thereon.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Benefit Payments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Upon termination of employment, retirement, death or disability, a participant (or beneficiary) is entitled to receive the vested portion of the participant’s account. Benefits are generally distributed in the form of rollovers, lump sum distributions or installment payments.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Plan also permits withdrawals of participant accounts under certain circumstances, including hardship withdrawal and in-service withdrawals, subject to Plan provisions and applicable regulations.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Participant account balances below specified thresholds may be distributed automatically or rolled over into an individual retirement account in accordance with Plan provisions.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Participant Loans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An eligible employee may borrow a minimum of $500 and a maximum equal to the lesser of (a) $50,000 less the highest outstanding loan balance(s) in the last twelve months or (b) 50% of their vested account balance. An eligible employee may have one general-purpose loan and one residential loan outstanding at any one time. The term of each loan will be in whole years, with maximums of 5 years for a general-purpose loan and 15 years for a residential loan. Loan repayments, including interest at the prime rate as of the beginning of the loan period, are made into the participant’s account through after-tax payroll deductions. Interest rates on outstanding notes receivable at December 31, 2025 range from 3.25% to 8.50%.</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Administrative Expenses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Murphy pays certain costs of the Plan while employees pay administrative fees. Trustee fees and related expenses will be paid by the Plan. Certain administrative functions are performed by officers or employees of the Company. No such officer or employee receives compensation from the Plan. Administrative expenses of the Plan are netted directly from the participant accounts.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Certain investment options may generate revenue credits that are received by the Plan’s recordkeeper. To the extent such amounts exceed the Plan’s agreed-upon administrative fees, the excess is allocated to participant accounts. These amounts are reflected in the financial statements as a reduction of administrative expenses. For the year ended December 31, 2025, revenue credits of $75,305 were recognized as a reduction of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THE MURPHY OIL CORPORATION 401(K) PLAN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Financial Statements</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2. Summary of Significant Accounting Policies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Basis of Accounting</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financial statements of the Plan are prepared on the accrual basis of accounting and present the net assets available for benefits to participants in the Plan and changes in net assets available for benefits. Investments are reported at fair value, including the investment in the common collective trust which is valued using net asset value (NAV) as a practical expedient. Benefits are recorded when paid.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Use of Estimates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preparation of financial statements in conformity with accounting principles generally accepted in the United States of America (US GAAP) requires the Plan’s management to make informed estimates and assumptions and use judgments that affect certain reported amounts and disclosures. Accordingly, actual results could differ from those estimates.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Investment Valuation and Income Recognition</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Investments are reported at fair value. Fair value is the price that would be received to sell an asset or paid to transfer a liability in an orderly transaction between market participants at the measurement date. The Plan’s interest in the common collective trust fund is valued at net asset value (NAV) as a practical expedient. This practical expedient would not be used if it is determined to be probable that the investment would sell the investment for an amount different from the reported NAV.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Purchases and sales of securities are recorded on a trade-date basis. Interest income is recorded on the accrual basis. Dividends are recorded on the ex-dividend date. Net appreciation includes the Plan’s gains and losses on investment purchased and sold as well as held during the year.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Notes Receivable From Participants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Notes receivable from participants represent participant loans and are measured at their outstanding principal balance plus any accrued but unpaid interest. Delinquent participant loans are recorded as distributions on the basis of the terms of the Plan.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3. Net Assets and Investments </w:t>
      </w:r>
    </w:p>
    <w:p>
      <w:pPr>
        <w:pStyle w:val="TextBody"/>
        <w:bidi w:val="0"/>
        <w:spacing w:before="0" w:after="0"/>
        <w:ind w:left="0" w:right="0" w:firstLine="90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All assets in the Plan sponsored by Murphy Oil Corporation are associated only with The Murphy Oil Corporation 401(k) Plan. Fidelity Management Trust Company (FMTC), Boston, Massachusetts, is the Trustee for Plan assets.</w:t>
      </w:r>
    </w:p>
    <w:p>
      <w:pPr>
        <w:pStyle w:val="TextBody"/>
        <w:bidi w:val="0"/>
        <w:spacing w:before="0" w:after="0"/>
        <w:ind w:left="0" w:right="0" w:firstLine="90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THE MURPHY OIL CORPORATION 401(K) PLAN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Financial Statements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following table presents the net assets of the Plan as of December 31, 2025 and 2024.</w:t>
      </w:r>
    </w:p>
    <w:tbl>
      <w:tblPr>
        <w:tblW w:w="8255" w:type="dxa"/>
        <w:jc w:val="left"/>
        <w:tblInd w:w="0" w:type="dxa"/>
        <w:tblLayout w:type="fixed"/>
        <w:tblCellMar>
          <w:top w:w="28" w:type="dxa"/>
          <w:left w:w="28" w:type="dxa"/>
          <w:bottom w:w="28" w:type="dxa"/>
          <w:right w:w="28" w:type="dxa"/>
        </w:tblCellMar>
      </w:tblPr>
      <w:tblGrid>
        <w:gridCol w:w="1395"/>
        <w:gridCol w:w="1229"/>
        <w:gridCol w:w="1230"/>
        <w:gridCol w:w="109"/>
        <w:gridCol w:w="109"/>
        <w:gridCol w:w="109"/>
        <w:gridCol w:w="241"/>
        <w:gridCol w:w="1501"/>
        <w:gridCol w:w="109"/>
        <w:gridCol w:w="109"/>
        <w:gridCol w:w="109"/>
        <w:gridCol w:w="109"/>
        <w:gridCol w:w="241"/>
        <w:gridCol w:w="1501"/>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2024</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Investments,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Murphy Oil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c>
          <w:tcPr>
            <w:tcW w:w="1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18,799,163 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c>
          <w:tcPr>
            <w:tcW w:w="1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16,020,919 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Murphy USA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6,270,694 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9,664,391 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Total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25,069,857 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25,685,310 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Common/collective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16,727,821 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16,752,607 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Self-directed brokerage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5,171,145 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1,776,956 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206,687,735 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169,796,520 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Notes receivable from participants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2,366,554 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2,205,448 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Participant contributions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252,679 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Employer contributions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213,856 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c>
          <w:tcPr>
            <w:tcW w:w="1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256,023,112 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c>
          <w:tcPr>
            <w:tcW w:w="1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216,683,376 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0"/>
        <w:jc w:val="left"/>
        <w:rPr/>
      </w:pPr>
      <w:r>
        <w:rPr/>
      </w:r>
    </w:p>
    <w:p>
      <w:pPr>
        <w:pStyle w:val="TextBody"/>
        <w:bidi w:val="0"/>
        <w:spacing w:before="0" w:after="0"/>
        <w:ind w:left="0" w:right="0" w:firstLine="117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Plan invests in Management Income Portfolio II (MIP II), a common collective trust fund (CCT) managed by FMTC. FMTC maintains the contributions in a general account. Participant transactions (purchases and sales) may occur daily. The CCT had no unfunded commitments as of December 31, 2025 and 2024. The CCT has no redemption notice period, but does have a 90 days restriction for amounts transferred to a competing fund.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Net asset value (NAV) as reported to the Plan by FMTC, represents contributions made under the contract, plus earnings, less participant withdrawals and administrative expenses. Participants may ordinarily direct the withdrawal or transfer of all or a portion of their investment at NAV. There are no reserves against NAV for credit risk of the contract issuer or otherwise.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4. Investment Options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Each Plan participant may invest contributions in one or more of investment options available under the Plan. As of December 31, 2025 and 2024, the Plan offered 29 and 28 investment options, respectively. The Plan offers investments in common stock, common collective trust funds, mutual funds and a self-directed brokerage account feature (BrokerageLink).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Murphy Stock Fund (MSF), which is managed by FMTC, is a fund comprised of common stock of Murphy Oil Corporation. A participant withdrawing from MSF may elect to receive either cash or Murphy stock. If the participant elects to receive stock, the value of his/her MSF withdrawal is converted to equivalent shares of stock based on the market price at the effective date of withdrawal, and the participant receives the whole shares and cash for any fractional share.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THE MURPHY OIL CORPORATION 401(K) PLAN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Financial Statements</w:t>
      </w:r>
    </w:p>
    <w:p>
      <w:pPr>
        <w:pStyle w:val="TextBody"/>
        <w:bidi w:val="0"/>
        <w:spacing w:lineRule="auto" w:line="288" w:before="0" w:after="0"/>
        <w:jc w:val="left"/>
        <w:rPr/>
      </w:pPr>
      <w:r>
        <w:rPr>
          <w:rFonts w:ascii="Arial;sans-serif" w:hAnsi="Arial;sans-serif"/>
          <w:b/>
          <w:color w:val="000000"/>
          <w:sz w:val="24"/>
        </w:rPr>
        <w:t>5. </w:t>
      </w:r>
      <w:r>
        <w:rPr>
          <w:color w:val="000000"/>
        </w:rPr>
        <w:t xml:space="preserve"> </w:t>
      </w:r>
      <w:r>
        <w:rPr>
          <w:rFonts w:ascii="Arial;sans-serif" w:hAnsi="Arial;sans-serif"/>
          <w:b/>
          <w:color w:val="000000"/>
          <w:sz w:val="24"/>
        </w:rPr>
        <w:t>Risk and Uncertainties</w:t>
      </w:r>
      <w:r>
        <w:rPr>
          <w:color w:val="000000"/>
        </w:rPr>
        <w:t xml:space="preserve"> </w:t>
      </w:r>
    </w:p>
    <w:p>
      <w:pPr>
        <w:pStyle w:val="TextBody"/>
        <w:bidi w:val="0"/>
        <w:spacing w:before="0" w:after="0"/>
        <w:ind w:left="0" w:right="0" w:firstLine="90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Plan provides for investment in various investment securities. Investment securities, in general, are exposed to various risks, such as interest rate risk, credit risk, and overall market volatility.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4"/>
        </w:rPr>
        <w:t>6. </w:t>
      </w:r>
      <w:r>
        <w:rPr>
          <w:color w:val="000000"/>
        </w:rPr>
        <w:t xml:space="preserve"> </w:t>
      </w:r>
      <w:r>
        <w:rPr>
          <w:rFonts w:ascii="Arial;sans-serif" w:hAnsi="Arial;sans-serif"/>
          <w:b/>
          <w:color w:val="000000"/>
          <w:sz w:val="24"/>
        </w:rPr>
        <w:t>Related-Party Transactions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Fidelity Investments Institutional Operations Company, LLC. (FIIOC) handles record keeping and administration of the Plan. Certain of the Plan’s investment options are in mutual funds managed by Fidelity Management &amp; Research Company LLC (FMR). FIIOC and FMR are both affiliates of FMTC, who is the Trustee for the Plan and also manages the MIP II, the MSF and the Murphy USA Stock Fund. FMR’s fees were deducted from the earnings of the mutual funds it manages. For the year ended December 31, 2025, the Plan incurred costs of $79,486 for trustee and recordkeeping fees. In addition, the Plan provides for investment in Murphy Oil Corporation common stock and participant notes receivable, which also qualify as party-in-interest transactions.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For the year ended December 31, 2025, contributions into the MSF totaled $797,322, while benefit payments out of the MSF totaled $1,418,810. During the year ended December 31, 2025, the Plan recorded $812,310 of dividend income from the MSF. These transactions are covered by exemptions from the prohibited transactions provisions of ERISA and the Internal Revenue Code of 1986, as amended.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4"/>
        </w:rPr>
        <w:t>7. </w:t>
      </w:r>
      <w:r>
        <w:rPr>
          <w:color w:val="000000"/>
        </w:rPr>
        <w:t xml:space="preserve"> </w:t>
      </w:r>
      <w:r>
        <w:rPr>
          <w:rFonts w:ascii="Arial;sans-serif" w:hAnsi="Arial;sans-serif"/>
          <w:b/>
          <w:color w:val="000000"/>
          <w:sz w:val="24"/>
        </w:rPr>
        <w:t>Income Taxes</w:t>
      </w:r>
      <w:r>
        <w:rPr>
          <w:color w:val="000000"/>
        </w:rPr>
        <w:t xml:space="preserve"> </w:t>
      </w:r>
    </w:p>
    <w:p>
      <w:pPr>
        <w:pStyle w:val="TextBody"/>
        <w:bidi w:val="0"/>
        <w:spacing w:before="0" w:after="0"/>
        <w:ind w:left="0" w:right="0" w:firstLine="90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Although the Plan has been amended since receiving a favorable determination letter dated July 1, 2014, the Committee believes that the Plan meets the necessary requirements of Section 401(a) of the Internal Revenue Code of 1986, as amended, and accordingly, the Plan is exempt from taxation under the provisions of Section 501(a) of the Internal Revenue Code of 1986, as amended.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US GAAP requires plan management to evaluate tax positions taken by the plan and recognize a tax liability if the plan has taken an uncertain position that more likely than not would not be sustained upon examination by the IRS. The Plan is subject to routine audits by taxing jurisdictions; however, there are currently no audits for any tax periods in progress.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4"/>
        </w:rPr>
        <w:t>8. </w:t>
      </w:r>
      <w:r>
        <w:rPr>
          <w:color w:val="000000"/>
        </w:rPr>
        <w:t xml:space="preserve"> </w:t>
      </w:r>
      <w:r>
        <w:rPr>
          <w:rFonts w:ascii="Arial;sans-serif" w:hAnsi="Arial;sans-serif"/>
          <w:b/>
          <w:color w:val="000000"/>
          <w:sz w:val="24"/>
        </w:rPr>
        <w:t>Investments at Fair Value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Plan carries certain assets in its Statements of Net Assets Available for Benefits at fair value.</w:t>
      </w:r>
    </w:p>
    <w:p>
      <w:pPr>
        <w:pStyle w:val="TextBody"/>
        <w:bidi w:val="0"/>
        <w:spacing w:before="0" w:after="0"/>
        <w:ind w:left="0" w:right="0" w:firstLine="9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THE MURPHY OIL CORPORATION 401(K) PLAN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Financial Statements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fair value hierarchy is based on the quality of inputs used to measure fair value, with Level 1 being the highest quality and Level 3 being the lowest quality. Level 1 inputs are quoted prices in active markets for identical assets or liabilities. Level 2 inputs are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3 inputs are unobservable inputs that are supported by little or no market activity and that are significant to the fair value of the assets or liabilities.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Following is a description of the valuation methodologies used for instruments measured at fair value on a recurring basis and recognized in the accompanying Statements of Net Assets Available for Benefits, as well as the general classification of such instruments pursuant to the valuation hierarchy. There have been no significant changes in the valuation techniques during the year ended December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Where quoted market prices are available in an active market, securities are classified within Level 1 of the valuation hierarchy. Level 1 securities include common stock and mutual funds. If quoted market prices are not available, then fair values are estimated by using pricing models, quoted prices of securities with similar characteristics or discounted cash flows. In certain cases where Level 1 inputs are not available, securities or other investments would be classified within Level 2 or Level 3 of the hierarchy. The Plan had no Level 2 or Level 3 investments at December 31, 2025 or 2024.</w:t>
      </w:r>
    </w:p>
    <w:p>
      <w:pPr>
        <w:pStyle w:val="TextBody"/>
        <w:bidi w:val="0"/>
        <w:spacing w:before="0" w:after="0"/>
        <w:ind w:left="0" w:right="0" w:firstLine="90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There are no assets or liabilities measured at fair value on a nonrecurring basis.</w:t>
      </w:r>
    </w:p>
    <w:p>
      <w:pPr>
        <w:pStyle w:val="TextBody"/>
        <w:bidi w:val="0"/>
        <w:spacing w:before="0" w:after="0"/>
        <w:ind w:left="0" w:right="0" w:firstLine="11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THE MURPHY OIL CORPORATION 401(K) PLAN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Financial Statements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following table presents the fair value measurements of assets recognized in the accompanying Statements of Net Assets Available for Benefits measured at fair value on a recurring basis and the level within the fair value hierarchy in which the fair value measurements fall at December 31, 2025 and 2024.</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12"/>
        <w:gridCol w:w="487"/>
        <w:gridCol w:w="490"/>
        <w:gridCol w:w="109"/>
        <w:gridCol w:w="109"/>
        <w:gridCol w:w="109"/>
        <w:gridCol w:w="211"/>
        <w:gridCol w:w="1231"/>
        <w:gridCol w:w="109"/>
        <w:gridCol w:w="109"/>
        <w:gridCol w:w="109"/>
        <w:gridCol w:w="109"/>
        <w:gridCol w:w="1103"/>
        <w:gridCol w:w="599"/>
        <w:gridCol w:w="601"/>
        <w:gridCol w:w="109"/>
        <w:gridCol w:w="109"/>
        <w:gridCol w:w="109"/>
        <w:gridCol w:w="540"/>
        <w:gridCol w:w="540"/>
        <w:gridCol w:w="541"/>
        <w:gridCol w:w="109"/>
        <w:gridCol w:w="109"/>
        <w:gridCol w:w="109"/>
        <w:gridCol w:w="505"/>
        <w:gridCol w:w="505"/>
        <w:gridCol w:w="723"/>
      </w:tblGrid>
      <w:tr>
        <w:trPr/>
        <w:tc>
          <w:tcPr>
            <w:tcW w:w="71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Fair Value Measurements Using</w:t>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Quoted Prices in Active Markets for 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Significant Other 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Significant Unobservable Inputs</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3)</w:t>
            </w:r>
          </w:p>
        </w:tc>
      </w:tr>
      <w:tr>
        <w:trPr/>
        <w:tc>
          <w:tcPr>
            <w:tcW w:w="1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25,069,857 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25,069,857 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206,687,735 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206,687,735 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Self-directed brokerage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5,171,145 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 in fair value hierarchy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236,928,737 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236,928,737 </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Investments measured at NAV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16,727,821 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253,656,558 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236,928,737 </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25,685,310 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25,685,310 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169,796,520 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169,796,520 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Self-directed brokerage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1,776,956 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1,776,956 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 in fair value hierarchy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197,258,786 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197,258,786 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Investments measured at NAV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16,752,607 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214,011,393 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197,258,786 </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2"/>
        </w:rPr>
        <w:t xml:space="preserve">1 </w:t>
      </w:r>
      <w:r>
        <w:rPr>
          <w:rFonts w:ascii="Arial;sans-serif" w:hAnsi="Arial;sans-serif"/>
          <w:b w:val="false"/>
          <w:color w:val="000000"/>
          <w:sz w:val="18"/>
        </w:rPr>
        <w:t>Certain investments that are measured at fair value using the NAV per share (or its equivalent) as a practical expedient have not been categorized in the fair value hierarchy. The fair value amounts presented in this table are intended to permit reconciliation of the fair value hierarchy to the amounts presented on the Statements of Net Assets Available for Benefits.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following table summarizes investments for which fair value is measured using the NAV per share practical expedient as of December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22"/>
        <w:gridCol w:w="722"/>
        <w:gridCol w:w="725"/>
        <w:gridCol w:w="109"/>
        <w:gridCol w:w="109"/>
        <w:gridCol w:w="109"/>
        <w:gridCol w:w="548"/>
        <w:gridCol w:w="517"/>
        <w:gridCol w:w="518"/>
        <w:gridCol w:w="109"/>
        <w:gridCol w:w="109"/>
        <w:gridCol w:w="109"/>
        <w:gridCol w:w="548"/>
        <w:gridCol w:w="517"/>
        <w:gridCol w:w="518"/>
        <w:gridCol w:w="109"/>
        <w:gridCol w:w="109"/>
        <w:gridCol w:w="109"/>
        <w:gridCol w:w="644"/>
        <w:gridCol w:w="644"/>
        <w:gridCol w:w="645"/>
        <w:gridCol w:w="541"/>
        <w:gridCol w:w="541"/>
        <w:gridCol w:w="774"/>
      </w:tblGrid>
      <w:tr>
        <w:trPr/>
        <w:tc>
          <w:tcPr>
            <w:tcW w:w="8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Unfunded Commitments</w:t>
            </w:r>
          </w:p>
        </w:tc>
        <w:tc>
          <w:tcPr>
            <w:tcW w:w="1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Redemption Frequency</w:t>
            </w:r>
          </w:p>
        </w:tc>
      </w:tr>
      <w:tr>
        <w:trPr/>
        <w:tc>
          <w:tcPr>
            <w:tcW w:w="2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Managed Income Portfolio II Class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16,727,821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16,752,607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Daily</w:t>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THE MURPHY OIL CORPORATION 401(K) PLAN</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EIN 71-0361522, Plan 001</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Schedule H, Line 4i – Schedule of Assets (Held at End of Year)</w:t>
      </w:r>
    </w:p>
    <w:p>
      <w:pPr>
        <w:pStyle w:val="TextBody"/>
        <w:bidi w:val="0"/>
        <w:spacing w:lineRule="auto" w:line="288" w:before="0" w:after="0"/>
        <w:ind w:left="0" w:right="0" w:firstLine="720"/>
        <w:jc w:val="center"/>
        <w:rPr>
          <w:rFonts w:ascii="Arial;sans-serif" w:hAnsi="Arial;sans-serif"/>
          <w:b w:val="false"/>
          <w:color w:val="000000"/>
          <w:sz w:val="22"/>
        </w:rPr>
      </w:pPr>
      <w:r>
        <w:rPr>
          <w:rFonts w:ascii="Arial;sans-serif" w:hAnsi="Arial;sans-serif"/>
          <w:b w:val="false"/>
          <w:color w:val="000000"/>
          <w:sz w:val="22"/>
        </w:rPr>
        <w:t xml:space="preserve">December 31, 2025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474"/>
        <w:gridCol w:w="1359"/>
        <w:gridCol w:w="1366"/>
        <w:gridCol w:w="1331"/>
        <w:gridCol w:w="1331"/>
        <w:gridCol w:w="1336"/>
        <w:gridCol w:w="109"/>
        <w:gridCol w:w="211"/>
        <w:gridCol w:w="1186"/>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w:t>
              <w:br/>
              <w:t>Identity of Issuer</w:t>
            </w:r>
          </w:p>
        </w:tc>
        <w:tc>
          <w:tcPr>
            <w:tcW w:w="3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w:t>
              <w:br/>
              <w:t>Description of Investment</w:t>
            </w:r>
          </w:p>
        </w:tc>
        <w:tc>
          <w:tcPr>
            <w:tcW w:w="109" w:type="dxa"/>
            <w:tcBorders/>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w:t>
            </w:r>
          </w:p>
          <w:p>
            <w:pPr>
              <w:pStyle w:val="TableContents"/>
              <w:bidi w:val="0"/>
              <w:spacing w:lineRule="auto" w:line="240" w:before="0" w:after="0"/>
              <w:jc w:val="center"/>
              <w:rPr/>
            </w:pPr>
            <w:r>
              <w:rPr>
                <w:rFonts w:ascii="Arial;sans-serif" w:hAnsi="Arial;sans-serif"/>
                <w:b/>
                <w:color w:val="000000"/>
                <w:sz w:val="18"/>
              </w:rPr>
              <w:t xml:space="preserve">Current Value </w:t>
            </w:r>
            <w:r>
              <w:rPr>
                <w:rFonts w:ascii="Arial;sans-serif" w:hAnsi="Arial;sans-serif"/>
                <w:b/>
                <w:color w:val="000000"/>
                <w:sz w:val="12"/>
              </w:rPr>
              <w:t>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500 Index Fund</w:t>
            </w:r>
          </w:p>
        </w:tc>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65,194,810 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Murphy Stock Fund</w:t>
            </w:r>
          </w:p>
        </w:tc>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18,799,163 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Freedom 2045 Fund Class K6</w:t>
            </w:r>
          </w:p>
        </w:tc>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17,179,259 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Managed Income Portfolio II Class 1</w:t>
            </w:r>
          </w:p>
        </w:tc>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Common/Collective Trust</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16,727,821 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Freedom 2050 Fund Class K6</w:t>
            </w:r>
          </w:p>
        </w:tc>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16,016,518 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Freedom 2040 Fund Class K6</w:t>
            </w:r>
          </w:p>
        </w:tc>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15,989,014 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Freedom 2035 Fund Class K6</w:t>
            </w:r>
          </w:p>
        </w:tc>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14,166,056 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Mid Cap Index Fund</w:t>
            </w:r>
          </w:p>
        </w:tc>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11,991,622 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Freedom 2055 Fund Class K6</w:t>
            </w:r>
          </w:p>
        </w:tc>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9,198,519 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Freedom 2030 Fund Class K6</w:t>
            </w:r>
          </w:p>
        </w:tc>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8,672,208 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Diversified International K6 Fund</w:t>
            </w:r>
          </w:p>
        </w:tc>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8,462,451 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Murphy USA Stock Fund </w:t>
            </w:r>
            <w:r>
              <w:rPr>
                <w:rFonts w:ascii="Arial;sans-serif" w:hAnsi="Arial;sans-serif"/>
                <w:b w:val="false"/>
                <w:color w:val="000000"/>
                <w:sz w:val="12"/>
              </w:rPr>
              <w:t>1</w:t>
            </w:r>
          </w:p>
        </w:tc>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6,270,694 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Small Cap Index Fund</w:t>
            </w:r>
          </w:p>
        </w:tc>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6,127,561 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Freedom 2025 Fund Class K6</w:t>
            </w:r>
          </w:p>
        </w:tc>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5,909,317 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BrokerageLink</w:t>
            </w:r>
          </w:p>
        </w:tc>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Brokerage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5,171,145 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Freedom 2020 Fund Class K6</w:t>
            </w:r>
          </w:p>
        </w:tc>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3,874,103 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Government Money Market Fund Class K6</w:t>
            </w:r>
          </w:p>
        </w:tc>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3,623,709 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PIMCO Total Return Fund Class A</w:t>
            </w:r>
          </w:p>
        </w:tc>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2,953,534 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Freedom 2060 Fund Class K6</w:t>
            </w:r>
          </w:p>
        </w:tc>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2,582,652 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U.S. Bond Index Fund</w:t>
            </w:r>
          </w:p>
        </w:tc>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2,530,319 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PIMCO Income Fund Class A</w:t>
            </w:r>
          </w:p>
        </w:tc>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2,384,868 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MFS Massachusetts Investors Growth Stock Fund Class R6</w:t>
            </w:r>
          </w:p>
        </w:tc>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2,215,286 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International Index Fund</w:t>
            </w:r>
          </w:p>
        </w:tc>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2,147,397 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Eaton Vance Large-Cap Value Fund Class R6</w:t>
            </w:r>
          </w:p>
        </w:tc>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1,723,653 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Freedom Income Fund Class K6</w:t>
            </w:r>
          </w:p>
        </w:tc>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1,570,002 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Freedom 2065 Fund Class K6</w:t>
            </w:r>
          </w:p>
        </w:tc>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1,011,258 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Freedom 2015 Fund Class K6</w:t>
            </w:r>
          </w:p>
        </w:tc>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678,513 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GNMA</w:t>
            </w:r>
          </w:p>
        </w:tc>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395,463 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Freedom 2010 Fund Class K6</w:t>
            </w:r>
          </w:p>
        </w:tc>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Freedom 2070 Fund Class K6</w:t>
            </w:r>
          </w:p>
        </w:tc>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Government Cash Reserves</w:t>
            </w:r>
          </w:p>
        </w:tc>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Participant Loans</w:t>
            </w:r>
          </w:p>
        </w:tc>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3.25%-8.50%, maturing through November 2040</w:t>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2,366,554 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256,023,112 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 Party-in-interest.</w:t>
      </w:r>
    </w:p>
    <w:p>
      <w:pPr>
        <w:pStyle w:val="TextBody"/>
        <w:bidi w:val="0"/>
        <w:spacing w:lineRule="auto" w:line="288" w:before="0" w:after="0"/>
        <w:jc w:val="left"/>
        <w:rPr/>
      </w:pPr>
      <w:r>
        <w:rPr>
          <w:rFonts w:ascii="Arial;sans-serif" w:hAnsi="Arial;sans-serif"/>
          <w:b w:val="false"/>
          <w:color w:val="000000"/>
          <w:sz w:val="11"/>
        </w:rPr>
        <w:t xml:space="preserve">1 </w:t>
      </w:r>
      <w:r>
        <w:rPr>
          <w:rFonts w:ascii="Arial;sans-serif" w:hAnsi="Arial;sans-serif"/>
          <w:b w:val="false"/>
          <w:color w:val="000000"/>
          <w:sz w:val="17"/>
        </w:rPr>
        <w:t>This fund is comprised of common stock of Murphy USA Inc. (MUSA). MUSA was wholly owned by Murphy prior to August 30, 2013, when Murphy’s stockholders received MUSA common stock in a spin-off transaction. These investments resulted from the spin-off of MSF held in the Master Trust at the date of distribution. The Master Trust was dissolved at the time of the spin-off transaction. No new investments are allowed in this fund.</w:t>
      </w:r>
    </w:p>
    <w:p>
      <w:pPr>
        <w:pStyle w:val="TextBody"/>
        <w:bidi w:val="0"/>
        <w:spacing w:lineRule="auto" w:line="288" w:before="0" w:after="0"/>
        <w:jc w:val="left"/>
        <w:rPr/>
      </w:pPr>
      <w:r>
        <w:rPr>
          <w:rFonts w:ascii="Arial;sans-serif" w:hAnsi="Arial;sans-serif"/>
          <w:b w:val="false"/>
          <w:color w:val="000000"/>
          <w:sz w:val="11"/>
        </w:rPr>
        <w:t xml:space="preserve">2 </w:t>
      </w:r>
      <w:r>
        <w:rPr>
          <w:rFonts w:ascii="Arial;sans-serif" w:hAnsi="Arial;sans-serif"/>
          <w:b w:val="false"/>
          <w:color w:val="000000"/>
          <w:sz w:val="17"/>
        </w:rPr>
        <w:t>Cost information is not required for participant-directed investments and therefore is not included.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SIGNATURE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Pursuant to the requirements of the Securities Exchange Act of 1934, the Employee Benefits Committee has duly caused this Annual Report to be signed on its behalf by the undersigned hereunto duly authorized.</w:t>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tbl>
      <w:tblPr>
        <w:tblW w:w="10205" w:type="dxa"/>
        <w:jc w:val="left"/>
        <w:tblInd w:w="0" w:type="dxa"/>
        <w:tblLayout w:type="fixed"/>
        <w:tblCellMar>
          <w:top w:w="28" w:type="dxa"/>
          <w:left w:w="28" w:type="dxa"/>
          <w:bottom w:w="28" w:type="dxa"/>
          <w:right w:w="28" w:type="dxa"/>
        </w:tblCellMar>
      </w:tblPr>
      <w:tblGrid>
        <w:gridCol w:w="696"/>
        <w:gridCol w:w="610"/>
        <w:gridCol w:w="613"/>
        <w:gridCol w:w="130"/>
        <w:gridCol w:w="130"/>
        <w:gridCol w:w="131"/>
        <w:gridCol w:w="2554"/>
        <w:gridCol w:w="2209"/>
        <w:gridCol w:w="3132"/>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313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The Murphy Oil Corporation 401(k) Plan</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Date: June 12, 2026</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By</w:t>
            </w:r>
          </w:p>
        </w:tc>
        <w:tc>
          <w:tcPr>
            <w:tcW w:w="7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 Maria A. Martinez</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Maria A. Martinez</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Senior Vice President, Human Resources, Administration and Communications, and Chair of Employee Benefits Committee, Murphy Oil Corporation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23</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We consent to the incorporation by reference in the Registration Statement on Form S-8 (No. 333-177206) of our report dated June 12, 2026, with respect to the financial statements and supplemental schedule of The Murphy Oil Corporation 401(K) Plan, included in this Annual Report on Form 11-K for the year ended December 31,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/s/ </w:t>
      </w:r>
      <w:r>
        <w:rPr>
          <w:rFonts w:ascii="Arial;sans-serif" w:hAnsi="Arial;sans-serif"/>
          <w:b w:val="false"/>
          <w:color w:val="000000"/>
          <w:sz w:val="24"/>
        </w:rPr>
        <w:t>Forvis Mazars, LLP</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Houston, TX</w:t>
      </w:r>
    </w:p>
    <w:p>
      <w:pPr>
        <w:pStyle w:val="TextBody"/>
        <w:bidi w:val="0"/>
        <w:spacing w:lineRule="auto" w:line="288" w:before="0" w:after="0"/>
        <w:jc w:val="left"/>
        <w:rPr/>
      </w:pPr>
      <w:r>
        <w:rPr>
          <w:rFonts w:ascii="Arial;sans-serif" w:hAnsi="Arial;sans-serif"/>
          <w:b/>
          <w:color w:val="000000"/>
          <w:sz w:val="24"/>
        </w:rPr>
        <w:t>June 12, 2026</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3993</Words>
  <Characters>22225</Characters>
  <CharactersWithSpaces>25996</CharactersWithSpaces>
  <Paragraphs>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