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916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9169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DEMING CLAIBORNE P</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MURPHY OIL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60" w:lineRule="exact"/>
        <w:rPr>
          <w:sz w:val="24"/>
          <w:szCs w:val="24"/>
          <w:color w:val="auto"/>
        </w:rPr>
      </w:pPr>
    </w:p>
    <w:p>
      <w:pPr>
        <w:sectPr>
          <w:pgSz w:w="11900" w:h="16838" w:orient="portrait"/>
          <w:cols w:equalWidth="0" w:num="3">
            <w:col w:w="3180" w:space="720"/>
            <w:col w:w="3119" w:space="720"/>
            <w:col w:w="3341"/>
          </w:cols>
          <w:pgMar w:left="460" w:top="217" w:right="359" w:bottom="11"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9805 KATY FREEWAY</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540" w:type="dxa"/>
            <w:vAlign w:val="bottom"/>
            <w:gridSpan w:val="9"/>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3"/>
          </w:tcPr>
          <w:p>
            <w:pPr>
              <w:ind w:left="44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320" w:type="dxa"/>
            <w:vAlign w:val="bottom"/>
            <w:gridSpan w:val="5"/>
            <w:vMerge w:val="restart"/>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77024</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2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5"/>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29"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7"/>
                <w:szCs w:val="17"/>
                <w:color w:val="0000FF"/>
              </w:rPr>
              <w:t>987,092</w:t>
            </w:r>
          </w:p>
        </w:tc>
        <w:tc>
          <w:tcPr>
            <w:tcW w:w="280" w:type="dxa"/>
            <w:vAlign w:val="bottom"/>
          </w:tcPr>
          <w:p>
            <w:pPr>
              <w:spacing w:after="0"/>
              <w:rPr>
                <w:sz w:val="22"/>
                <w:szCs w:val="2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7"/>
                <w:szCs w:val="17"/>
                <w:color w:val="0000FF"/>
                <w:w w:val="99"/>
              </w:rPr>
              <w:t>1,639,538</w:t>
            </w:r>
          </w:p>
        </w:tc>
        <w:tc>
          <w:tcPr>
            <w:tcW w:w="28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Of Trusts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7"/>
                <w:szCs w:val="17"/>
                <w:color w:val="0000FF"/>
                <w:w w:val="98"/>
              </w:rPr>
              <w:t>50,224</w:t>
            </w:r>
          </w:p>
        </w:tc>
        <w:tc>
          <w:tcPr>
            <w:tcW w:w="280" w:type="dxa"/>
            <w:vAlign w:val="bottom"/>
          </w:tcPr>
          <w:p>
            <w:pPr>
              <w:spacing w:after="0"/>
              <w:rPr>
                <w:sz w:val="22"/>
                <w:szCs w:val="22"/>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Security (Instr. 3 and</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21"/>
                <w:szCs w:val="21"/>
                <w:color w:val="auto"/>
              </w:rPr>
            </w:pPr>
          </w:p>
        </w:tc>
        <w:tc>
          <w:tcPr>
            <w:tcW w:w="54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1"/>
              </w:rPr>
              <w:t>62,511</w:t>
            </w:r>
            <w:r>
              <w:rPr>
                <w:rFonts w:ascii="Times New Roman" w:cs="Times New Roman" w:eastAsia="Times New Roman" w:hAnsi="Times New Roman"/>
                <w:sz w:val="21"/>
                <w:szCs w:val="21"/>
                <w:color w:val="008000"/>
                <w:w w:val="91"/>
                <w:vertAlign w:val="superscript"/>
              </w:rPr>
              <w:t>(3)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gridSpan w:val="2"/>
          </w:tcPr>
          <w:p>
            <w:pPr>
              <w:jc w:val="center"/>
              <w:ind w:left="21"/>
              <w:spacing w:after="0"/>
              <w:rPr>
                <w:sz w:val="20"/>
                <w:szCs w:val="20"/>
                <w:color w:val="auto"/>
              </w:rPr>
            </w:pPr>
            <w:r>
              <w:rPr>
                <w:rFonts w:ascii="Times New Roman" w:cs="Times New Roman" w:eastAsia="Times New Roman" w:hAnsi="Times New Roman"/>
                <w:sz w:val="13"/>
                <w:szCs w:val="13"/>
                <w:color w:val="0000FF"/>
                <w:w w:val="92"/>
              </w:rPr>
              <w:t>62,511</w:t>
            </w:r>
            <w:r>
              <w:rPr>
                <w:rFonts w:ascii="Times New Roman" w:cs="Times New Roman" w:eastAsia="Times New Roman" w:hAnsi="Times New Roman"/>
                <w:sz w:val="21"/>
                <w:szCs w:val="21"/>
                <w:color w:val="008000"/>
                <w:w w:val="92"/>
                <w:vertAlign w:val="superscript"/>
              </w:rPr>
              <w:t>(3)</w:t>
            </w:r>
          </w:p>
        </w:tc>
        <w:tc>
          <w:tcPr>
            <w:tcW w:w="5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1" w:lineRule="exact"/>
              <w:rPr>
                <w:sz w:val="20"/>
                <w:szCs w:val="20"/>
                <w:color w:val="auto"/>
              </w:rPr>
            </w:pPr>
            <w:r>
              <w:rPr>
                <w:rFonts w:ascii="Times New Roman" w:cs="Times New Roman" w:eastAsia="Times New Roman" w:hAnsi="Times New Roman"/>
                <w:sz w:val="13"/>
                <w:szCs w:val="13"/>
                <w:color w:val="0000FF"/>
              </w:rPr>
              <w:t>03/31/2026</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455</w:t>
            </w:r>
          </w:p>
        </w:tc>
        <w:tc>
          <w:tcPr>
            <w:tcW w:w="30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(5)(6)</w:t>
            </w:r>
          </w:p>
        </w:tc>
        <w:tc>
          <w:tcPr>
            <w:tcW w:w="160" w:type="dxa"/>
            <w:vAlign w:val="bottom"/>
          </w:tcPr>
          <w:p>
            <w:pPr>
              <w:spacing w:after="0"/>
              <w:rPr>
                <w:sz w:val="6"/>
                <w:szCs w:val="6"/>
                <w:color w:val="auto"/>
              </w:rPr>
            </w:pPr>
          </w:p>
        </w:tc>
        <w:tc>
          <w:tcPr>
            <w:tcW w:w="5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1"/>
                <w:szCs w:val="11"/>
                <w:color w:val="008000"/>
              </w:rPr>
              <w:t>(5)(6)</w:t>
            </w: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gridSpan w:val="2"/>
            <w:vMerge w:val="restart"/>
          </w:tcPr>
          <w:p>
            <w:pPr>
              <w:jc w:val="center"/>
              <w:ind w:left="21"/>
              <w:spacing w:after="0" w:line="141" w:lineRule="exact"/>
              <w:rPr>
                <w:sz w:val="20"/>
                <w:szCs w:val="20"/>
                <w:color w:val="auto"/>
              </w:rPr>
            </w:pPr>
            <w:r>
              <w:rPr>
                <w:rFonts w:ascii="Times New Roman" w:cs="Times New Roman" w:eastAsia="Times New Roman" w:hAnsi="Times New Roman"/>
                <w:sz w:val="13"/>
                <w:szCs w:val="13"/>
                <w:color w:val="0000FF"/>
              </w:rPr>
              <w:t>29,203</w:t>
            </w:r>
          </w:p>
        </w:tc>
        <w:tc>
          <w:tcPr>
            <w:tcW w:w="580" w:type="dxa"/>
            <w:vAlign w:val="bottom"/>
            <w:vMerge w:val="restart"/>
          </w:tcPr>
          <w:p>
            <w:pPr>
              <w:ind w:left="4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1"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1" w:lineRule="exact"/>
              <w:rPr>
                <w:sz w:val="20"/>
                <w:szCs w:val="20"/>
                <w:color w:val="auto"/>
              </w:rPr>
            </w:pPr>
            <w:r>
              <w:rPr>
                <w:rFonts w:ascii="Times New Roman" w:cs="Times New Roman" w:eastAsia="Times New Roman" w:hAnsi="Times New Roman"/>
                <w:sz w:val="13"/>
                <w:szCs w:val="13"/>
                <w:color w:val="0000FF"/>
              </w:rPr>
              <w:t>03/31/2026</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jc w:val="right"/>
              <w:ind w:right="41"/>
              <w:spacing w:after="0" w:line="141" w:lineRule="exact"/>
              <w:rPr>
                <w:sz w:val="20"/>
                <w:szCs w:val="20"/>
                <w:color w:val="auto"/>
              </w:rPr>
            </w:pPr>
            <w:r>
              <w:rPr>
                <w:rFonts w:ascii="Times New Roman" w:cs="Times New Roman" w:eastAsia="Times New Roman" w:hAnsi="Times New Roman"/>
                <w:sz w:val="13"/>
                <w:szCs w:val="13"/>
                <w:color w:val="0000FF"/>
              </w:rPr>
              <w:t>1,000</w:t>
            </w:r>
          </w:p>
        </w:tc>
        <w:tc>
          <w:tcPr>
            <w:tcW w:w="30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(7)(8)</w:t>
            </w:r>
          </w:p>
        </w:tc>
        <w:tc>
          <w:tcPr>
            <w:tcW w:w="160" w:type="dxa"/>
            <w:vAlign w:val="bottom"/>
          </w:tcPr>
          <w:p>
            <w:pPr>
              <w:spacing w:after="0"/>
              <w:rPr>
                <w:sz w:val="6"/>
                <w:szCs w:val="6"/>
                <w:color w:val="auto"/>
              </w:rPr>
            </w:pPr>
          </w:p>
        </w:tc>
        <w:tc>
          <w:tcPr>
            <w:tcW w:w="5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1"/>
                <w:szCs w:val="11"/>
                <w:color w:val="008000"/>
              </w:rPr>
              <w:t>(7)(8)</w:t>
            </w: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gridSpan w:val="2"/>
            <w:vMerge w:val="restart"/>
          </w:tcPr>
          <w:p>
            <w:pPr>
              <w:jc w:val="center"/>
              <w:ind w:left="21"/>
              <w:spacing w:after="0" w:line="141" w:lineRule="exact"/>
              <w:rPr>
                <w:sz w:val="20"/>
                <w:szCs w:val="20"/>
                <w:color w:val="auto"/>
              </w:rPr>
            </w:pPr>
            <w:r>
              <w:rPr>
                <w:rFonts w:ascii="Times New Roman" w:cs="Times New Roman" w:eastAsia="Times New Roman" w:hAnsi="Times New Roman"/>
                <w:sz w:val="13"/>
                <w:szCs w:val="13"/>
                <w:color w:val="0000FF"/>
              </w:rPr>
              <w:t>30,203</w:t>
            </w:r>
          </w:p>
        </w:tc>
        <w:tc>
          <w:tcPr>
            <w:tcW w:w="580" w:type="dxa"/>
            <w:vAlign w:val="bottom"/>
            <w:vMerge w:val="restart"/>
          </w:tcPr>
          <w:p>
            <w:pPr>
              <w:ind w:left="4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1"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-2647950</wp:posOffset>
            </wp:positionV>
            <wp:extent cx="29210" cy="2653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530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is the economic equivalent of one (1) share of Murphy Oil Corporation common stock.</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of phantom stock were acquired under Murphy Oil Corporation's Non-Qualified Deferred Compensation Plan for Non-Employee Directors and become payable, in cash, consistent with the Reporting Person's distribution election made at the time of deferral.</w:t>
      </w:r>
    </w:p>
    <w:p>
      <w:pPr>
        <w:spacing w:after="0" w:line="17"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622 shares obtained under Murphy Oil Corporation's Non-Qualified Deferred Compensation Plan for Non-Employee Directors. The information in this report is based on a plan statement dated March 31, 2026.</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granted under the 2021 Stock Plan for Non-Employee Directors.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generally do not carry a Conversion Price, Exercisable Date, or Expiration Date.</w:t>
      </w:r>
    </w:p>
    <w:p>
      <w:pPr>
        <w:spacing w:after="0" w:line="43" w:lineRule="exact"/>
        <w:rPr>
          <w:rFonts w:ascii="Times New Roman" w:cs="Times New Roman" w:eastAsia="Times New Roman" w:hAnsi="Times New Roman"/>
          <w:sz w:val="13"/>
          <w:szCs w:val="13"/>
          <w:color w:val="008000"/>
        </w:rPr>
      </w:pPr>
    </w:p>
    <w:p>
      <w:pPr>
        <w:ind w:left="40" w:right="72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date is February 4, 2027. The reporting person has elected to defer settlement of restricted stock units in accordance with their deferral election form to either (1) following the reporting person's termination of service from the Board or (2) on a future date selected by the reporting person at the time of their deferral election.</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defer settlement of restricted stock units in accordance with their deferral election form to either (1) following the reporting person's termination of service from the Board or</w:t>
      </w:r>
    </w:p>
    <w:p>
      <w:pPr>
        <w:spacing w:after="0" w:line="5"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 on a future date selected by the reporting person at the time of their deferral election.</w:t>
      </w:r>
    </w:p>
    <w:p>
      <w:pPr>
        <w:spacing w:after="0" w:line="2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fully-vested restricted stock units ("RSUs") issued in lieu of quarterly cash retainer(s) payable under Murphy Oil Corporation's Non-Employee Director Deferred Compensation Plan.</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E. Ted Botner,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6951" TargetMode="External"/><Relationship Id="rId14" Type="http://schemas.openxmlformats.org/officeDocument/2006/relationships/hyperlink" Target="http://www.sec.gov/cgi-bin/browse-edgar?action=getcompany&amp;CIK=0000717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2026-04-01T15:41:11Z</dcterms:created>
  <dcterms:modified xsi:type="dcterms:W3CDTF">2026-04-01T15:41:11Z</dcterms:modified>
</cp:coreProperties>
</file>