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center"/>
        <w:rPr>
          <w:rFonts w:ascii="Avenir Next LT Pro;sans-serif" w:hAnsi="Avenir Next LT Pro;sans-serif"/>
          <w:b/>
          <w:color w:val="000000"/>
          <w:sz w:val="22"/>
        </w:rPr>
      </w:pPr>
      <w:r>
        <w:rPr>
          <w:rFonts w:ascii="Avenir Next LT Pro;sans-serif" w:hAnsi="Avenir Next LT Pro;sans-serif"/>
          <w:b/>
          <w:color w:val="000000"/>
          <w:sz w:val="22"/>
        </w:rPr>
        <w:t>UNITED STATES</w:t>
      </w:r>
    </w:p>
    <w:p>
      <w:pPr>
        <w:pStyle w:val="TextBody"/>
        <w:bidi w:val="0"/>
        <w:spacing w:lineRule="auto" w:line="288" w:before="120" w:after="120"/>
        <w:jc w:val="center"/>
        <w:rPr>
          <w:rFonts w:ascii="Avenir Next LT Pro;sans-serif" w:hAnsi="Avenir Next LT Pro;sans-serif"/>
          <w:b/>
          <w:color w:val="000000"/>
          <w:sz w:val="22"/>
        </w:rPr>
      </w:pPr>
      <w:r>
        <w:rPr>
          <w:rFonts w:ascii="Avenir Next LT Pro;sans-serif" w:hAnsi="Avenir Next LT Pro;sans-serif"/>
          <w:b/>
          <w:color w:val="000000"/>
          <w:sz w:val="22"/>
        </w:rPr>
        <w:t>SECURITIES AND EXCHANGE COMMISSION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Washington, D.C. 20549</w:t>
      </w:r>
    </w:p>
    <w:p>
      <w:pPr>
        <w:pStyle w:val="TextBody"/>
        <w:bidi w:val="0"/>
        <w:spacing w:lineRule="auto" w:line="288" w:before="120" w:after="120"/>
        <w:jc w:val="center"/>
        <w:rPr>
          <w:rFonts w:ascii="Avenir Next LT Pro;sans-serif" w:hAnsi="Avenir Next LT Pro;sans-serif"/>
          <w:b/>
          <w:color w:val="000000"/>
          <w:sz w:val="24"/>
        </w:rPr>
      </w:pPr>
      <w:r>
        <w:rPr>
          <w:rFonts w:ascii="Avenir Next LT Pro;sans-serif" w:hAnsi="Avenir Next LT Pro;sans-serif"/>
          <w:b/>
          <w:color w:val="000000"/>
          <w:sz w:val="24"/>
        </w:rPr>
        <w:t>FORM 10-Q  </w:t>
      </w:r>
    </w:p>
    <w:tbl>
      <w:tblPr>
        <w:tblW w:w="10205" w:type="dxa"/>
        <w:jc w:val="center"/>
        <w:tblInd w:w="0" w:type="dxa"/>
        <w:tblLayout w:type="fixed"/>
        <w:tblCellMar>
          <w:top w:w="28" w:type="dxa"/>
          <w:left w:w="28" w:type="dxa"/>
          <w:bottom w:w="28" w:type="dxa"/>
          <w:right w:w="28" w:type="dxa"/>
        </w:tblCellMar>
      </w:tblPr>
      <w:tblGrid>
        <w:gridCol w:w="222"/>
        <w:gridCol w:w="195"/>
        <w:gridCol w:w="195"/>
        <w:gridCol w:w="2790"/>
        <w:gridCol w:w="2790"/>
        <w:gridCol w:w="4013"/>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venir Next LT Pro;sans-serif" w:hAnsi="Avenir Next LT Pro;sans-serif"/>
                <w:b/>
                <w:color w:val="000000"/>
                <w:sz w:val="18"/>
              </w:rPr>
            </w:pPr>
            <w:r>
              <w:rPr>
                <w:rFonts w:ascii="Avenir Next LT Pro;sans-serif" w:hAnsi="Avenir Next LT Pro;sans-serif"/>
                <w:b/>
                <w:color w:val="000000"/>
                <w:sz w:val="18"/>
              </w:rPr>
              <w:t>(Mark One)</w:t>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QUARTERLY REPORT PURSUANT TO SECTION 13 OR 15(d) OF THE SECURITIES EXCHANGE ACT OF 1934</w:t>
            </w:r>
          </w:p>
        </w:tc>
      </w:tr>
    </w:tbl>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For the quarterly period ended March 31, 2024</w:t>
      </w:r>
    </w:p>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TRANSITION REPORT PURSUANT TO SECTION 13 OR 15(d) OF THE SECURITIES EXCHANGE ACT OF 1934</w:t>
            </w:r>
          </w:p>
        </w:tc>
      </w:tr>
    </w:tbl>
    <w:p>
      <w:pPr>
        <w:pStyle w:val="TextBody"/>
        <w:bidi w:val="0"/>
        <w:spacing w:lineRule="auto" w:line="288" w:before="80" w:after="80"/>
        <w:jc w:val="center"/>
        <w:rPr/>
      </w:pPr>
      <w:r>
        <w:rPr>
          <w:rFonts w:ascii="Avenir Next LT Pro;sans-serif" w:hAnsi="Avenir Next LT Pro;sans-serif"/>
          <w:b/>
          <w:color w:val="000000"/>
          <w:sz w:val="19"/>
        </w:rPr>
        <w:t>For the transition period from</w:t>
      </w:r>
      <w:r>
        <w:rPr>
          <w:color w:val="000000"/>
        </w:rPr>
        <w:t xml:space="preserve">              </w:t>
      </w:r>
      <w:r>
        <w:rPr>
          <w:rFonts w:ascii="Avenir Next LT Pro;sans-serif" w:hAnsi="Avenir Next LT Pro;sans-serif"/>
          <w:b/>
          <w:color w:val="000000"/>
          <w:sz w:val="19"/>
        </w:rPr>
        <w:t>to</w:t>
      </w:r>
    </w:p>
    <w:p>
      <w:pPr>
        <w:pStyle w:val="TextBody"/>
        <w:bidi w:val="0"/>
        <w:spacing w:lineRule="auto" w:line="288" w:before="80" w:after="80"/>
        <w:jc w:val="center"/>
        <w:rPr>
          <w:rFonts w:ascii="Avenir Next LT Pro;sans-serif" w:hAnsi="Avenir Next LT Pro;sans-serif"/>
          <w:b/>
          <w:color w:val="000000"/>
          <w:sz w:val="19"/>
        </w:rPr>
      </w:pPr>
      <w:r>
        <w:rPr>
          <w:rFonts w:ascii="Avenir Next LT Pro;sans-serif" w:hAnsi="Avenir Next LT Pro;sans-serif"/>
          <w:b/>
          <w:color w:val="000000"/>
          <w:sz w:val="19"/>
        </w:rPr>
        <w:t xml:space="preserve">Commission file number 1-8590 </w:t>
      </w:r>
    </w:p>
    <w:p>
      <w:pPr>
        <w:pStyle w:val="TextBody"/>
        <w:bidi w:val="0"/>
        <w:spacing w:before="120" w:after="120"/>
        <w:jc w:val="center"/>
        <w:rPr/>
      </w:pPr>
      <w:r>
        <w:rPr/>
        <w:drawing>
          <wp:inline distT="0" distB="0" distL="0" distR="0">
            <wp:extent cx="199072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1190625"/>
                    </a:xfrm>
                    <a:prstGeom prst="rect">
                      <a:avLst/>
                    </a:prstGeom>
                  </pic:spPr>
                </pic:pic>
              </a:graphicData>
            </a:graphic>
          </wp:inline>
        </w:drawing>
      </w:r>
    </w:p>
    <w:p>
      <w:pPr>
        <w:pStyle w:val="TextBody"/>
        <w:bidi w:val="0"/>
        <w:spacing w:lineRule="auto" w:line="288" w:before="120" w:after="120"/>
        <w:jc w:val="center"/>
        <w:rPr>
          <w:rFonts w:ascii="Avenir Next LT Pro;sans-serif" w:hAnsi="Avenir Next LT Pro;sans-serif"/>
          <w:b/>
          <w:color w:val="000000"/>
          <w:sz w:val="36"/>
        </w:rPr>
      </w:pPr>
      <w:r>
        <w:rPr>
          <w:rFonts w:ascii="Avenir Next LT Pro;sans-serif" w:hAnsi="Avenir Next LT Pro;sans-serif"/>
          <w:b/>
          <w:color w:val="000000"/>
          <w:sz w:val="36"/>
        </w:rPr>
        <w:t xml:space="preserve">MURPHY OIL CORPORATION </w:t>
      </w:r>
    </w:p>
    <w:p>
      <w:pPr>
        <w:pStyle w:val="TextBody"/>
        <w:bidi w:val="0"/>
        <w:spacing w:lineRule="auto" w:line="288" w:before="0" w:after="0"/>
        <w:jc w:val="center"/>
        <w:rPr>
          <w:rFonts w:ascii="Avenir Next LT Pro;sans-serif" w:hAnsi="Avenir Next LT Pro;sans-serif"/>
          <w:b/>
          <w:color w:val="000000"/>
          <w:sz w:val="16"/>
        </w:rPr>
      </w:pPr>
      <w:r>
        <w:rPr>
          <w:rFonts w:ascii="Avenir Next LT Pro;sans-serif" w:hAnsi="Avenir Next LT Pro;sans-serif"/>
          <w:b/>
          <w:color w:val="000000"/>
          <w:sz w:val="16"/>
        </w:rPr>
        <w:t>(Exact name of registrant as specified in its charter)</w:t>
      </w:r>
    </w:p>
    <w:tbl>
      <w:tblPr>
        <w:tblW w:w="9569" w:type="dxa"/>
        <w:jc w:val="center"/>
        <w:tblInd w:w="0" w:type="dxa"/>
        <w:tblLayout w:type="fixed"/>
        <w:tblCellMar>
          <w:top w:w="28" w:type="dxa"/>
          <w:left w:w="28" w:type="dxa"/>
          <w:bottom w:w="28" w:type="dxa"/>
          <w:right w:w="28" w:type="dxa"/>
        </w:tblCellMar>
      </w:tblPr>
      <w:tblGrid>
        <w:gridCol w:w="1067"/>
        <w:gridCol w:w="939"/>
        <w:gridCol w:w="939"/>
        <w:gridCol w:w="939"/>
        <w:gridCol w:w="939"/>
        <w:gridCol w:w="951"/>
        <w:gridCol w:w="1112"/>
        <w:gridCol w:w="1112"/>
        <w:gridCol w:w="1571"/>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Delaware</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71-0361522</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(State or other jurisdiction of 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(I.R.S. Employer Identification Number)</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9805 Katy Fwy, Suite G-200</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77024</w:t>
            </w:r>
          </w:p>
        </w:tc>
      </w:tr>
      <w:tr>
        <w:trPr/>
        <w:tc>
          <w:tcPr>
            <w:tcW w:w="29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Houston,</w:t>
            </w:r>
          </w:p>
        </w:tc>
        <w:tc>
          <w:tcPr>
            <w:tcW w:w="2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Texas</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(Zip Code)</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(Address of principal executive offices)</w:t>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(281)</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675-9000</w:t>
            </w:r>
          </w:p>
        </w:tc>
      </w:tr>
      <w:tr>
        <w:trPr/>
        <w:tc>
          <w:tcPr>
            <w:tcW w:w="9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(Registrant’s telephone number, including area code)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Securities registered pursuant to Section 12(b) of the Act:</w:t>
      </w:r>
    </w:p>
    <w:tbl>
      <w:tblPr>
        <w:tblW w:w="8083" w:type="dxa"/>
        <w:jc w:val="center"/>
        <w:tblInd w:w="0" w:type="dxa"/>
        <w:tblLayout w:type="fixed"/>
        <w:tblCellMar>
          <w:top w:w="28" w:type="dxa"/>
          <w:left w:w="28" w:type="dxa"/>
          <w:bottom w:w="28" w:type="dxa"/>
          <w:right w:w="28" w:type="dxa"/>
        </w:tblCellMar>
      </w:tblPr>
      <w:tblGrid>
        <w:gridCol w:w="1011"/>
        <w:gridCol w:w="887"/>
        <w:gridCol w:w="892"/>
        <w:gridCol w:w="474"/>
        <w:gridCol w:w="474"/>
        <w:gridCol w:w="476"/>
        <w:gridCol w:w="1133"/>
        <w:gridCol w:w="1133"/>
        <w:gridCol w:w="1603"/>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venir Next LT Pro;sans-serif" w:hAnsi="Avenir Next LT Pro;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Trading Symbol</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Name of each exchange on which registered</w:t>
            </w:r>
          </w:p>
        </w:tc>
      </w:tr>
      <w:tr>
        <w:trPr/>
        <w:tc>
          <w:tcPr>
            <w:tcW w:w="2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Common Stock, $1.00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MUR</w:t>
            </w:r>
          </w:p>
        </w:tc>
        <w:tc>
          <w:tcPr>
            <w:tcW w:w="3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New York Stock Exchange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9"/>
        <w:gridCol w:w="531"/>
        <w:gridCol w:w="109"/>
        <w:gridCol w:w="109"/>
        <w:gridCol w:w="109"/>
        <w:gridCol w:w="430"/>
        <w:gridCol w:w="430"/>
        <w:gridCol w:w="431"/>
        <w:gridCol w:w="109"/>
        <w:gridCol w:w="109"/>
        <w:gridCol w:w="109"/>
        <w:gridCol w:w="540"/>
        <w:gridCol w:w="540"/>
        <w:gridCol w:w="541"/>
        <w:gridCol w:w="109"/>
        <w:gridCol w:w="109"/>
        <w:gridCol w:w="109"/>
        <w:gridCol w:w="690"/>
        <w:gridCol w:w="690"/>
        <w:gridCol w:w="691"/>
        <w:gridCol w:w="109"/>
        <w:gridCol w:w="109"/>
        <w:gridCol w:w="109"/>
        <w:gridCol w:w="625"/>
        <w:gridCol w:w="625"/>
        <w:gridCol w:w="628"/>
        <w:gridCol w:w="109"/>
        <w:gridCol w:w="109"/>
        <w:gridCol w:w="157"/>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Emerging growth company</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shell company (as defined in Rule 12b-2 of the Act).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 xml:space="preserve">Number of shares of Common Stock, $1.00 par value, outstanding at April 30, 2024 was 152,576,275.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MURPHY OIL CORPORATION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TABLE OF CONTENTS</w:t>
      </w:r>
    </w:p>
    <w:tbl>
      <w:tblPr>
        <w:tblW w:w="9574" w:type="dxa"/>
        <w:jc w:val="left"/>
        <w:tblInd w:w="0" w:type="dxa"/>
        <w:tblLayout w:type="fixed"/>
        <w:tblCellMar>
          <w:top w:w="28" w:type="dxa"/>
          <w:left w:w="28" w:type="dxa"/>
          <w:bottom w:w="28" w:type="dxa"/>
          <w:right w:w="28" w:type="dxa"/>
        </w:tblCellMar>
      </w:tblPr>
      <w:tblGrid>
        <w:gridCol w:w="3203"/>
        <w:gridCol w:w="2807"/>
        <w:gridCol w:w="2824"/>
        <w:gridCol w:w="195"/>
        <w:gridCol w:w="195"/>
        <w:gridCol w:w="196"/>
        <w:gridCol w:w="154"/>
      </w:tblGrid>
      <w:tr>
        <w:trPr/>
        <w:tc>
          <w:tcPr>
            <w:tcW w:w="3203"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14b27ef3a644d4aa2b1bbd95cd36467_13">
              <w:r>
                <w:rPr>
                  <w:rStyle w:val="InternetLink"/>
                  <w:rFonts w:ascii="Avenir Next LT Pro;sans-serif" w:hAnsi="Avenir Next LT Pro;sans-serif"/>
                  <w:b w:val="false"/>
                  <w:color w:val="0000FF"/>
                  <w:sz w:val="20"/>
                  <w:u w:val="single"/>
                </w:rPr>
                <w:t>Part I – Financial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16">
              <w:r>
                <w:rPr>
                  <w:rStyle w:val="InternetLink"/>
                  <w:rFonts w:ascii="Avenir Next LT Pro;sans-serif" w:hAnsi="Avenir Next LT Pro;sans-serif"/>
                  <w:b w:val="false"/>
                  <w:color w:val="0000FF"/>
                  <w:sz w:val="20"/>
                  <w:u w:val="single"/>
                </w:rPr>
                <w:t>Item 1.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6">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c14b27ef3a644d4aa2b1bbd95cd36467_19">
              <w:r>
                <w:rPr>
                  <w:rStyle w:val="InternetLink"/>
                  <w:rFonts w:ascii="Avenir Next LT Pro;sans-serif" w:hAnsi="Avenir Next LT Pro;sans-serif"/>
                  <w:b w:val="false"/>
                  <w:color w:val="0000FF"/>
                  <w:sz w:val="20"/>
                  <w:u w:val="single"/>
                </w:rPr>
                <w:t>Consolidated Balance Sheets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9">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c14b27ef3a644d4aa2b1bbd95cd36467_22">
              <w:r>
                <w:rPr>
                  <w:rStyle w:val="InternetLink"/>
                  <w:rFonts w:ascii="Avenir Next LT Pro;sans-serif" w:hAnsi="Avenir Next LT Pro;sans-serif"/>
                  <w:b w:val="false"/>
                  <w:color w:val="0000FF"/>
                  <w:sz w:val="20"/>
                  <w:u w:val="single"/>
                </w:rPr>
                <w:t>Consolidated Statements of 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2">
              <w:r>
                <w:rPr>
                  <w:rStyle w:val="InternetLink"/>
                  <w:rFonts w:ascii="Avenir Next LT Pro;sans-serif" w:hAnsi="Avenir Next LT Pro;sans-serif"/>
                  <w:b w:val="false"/>
                  <w:strike w:val="false"/>
                  <w:dstrike w:val="false"/>
                  <w:color w:val="242424"/>
                  <w:sz w:val="20"/>
                  <w:u w:val="none"/>
                  <w:effect w:val="none"/>
                </w:rPr>
                <w:t>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c14b27ef3a644d4aa2b1bbd95cd36467_28">
              <w:r>
                <w:rPr>
                  <w:rStyle w:val="InternetLink"/>
                  <w:rFonts w:ascii="Avenir Next LT Pro;sans-serif" w:hAnsi="Avenir Next LT Pro;sans-serif"/>
                  <w:b w:val="false"/>
                  <w:color w:val="0000FF"/>
                  <w:sz w:val="20"/>
                  <w:u w:val="single"/>
                </w:rPr>
                <w:t>Consolidated Statements of Comprehensive Income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8">
              <w:r>
                <w:rPr>
                  <w:rStyle w:val="InternetLink"/>
                  <w:rFonts w:ascii="Avenir Next LT Pro;sans-serif" w:hAnsi="Avenir Next LT Pro;sans-serif"/>
                  <w:b w:val="false"/>
                  <w:strike w:val="false"/>
                  <w:dstrike w:val="false"/>
                  <w:color w:val="242424"/>
                  <w:sz w:val="20"/>
                  <w:u w:val="none"/>
                  <w:effect w:val="none"/>
                </w:rPr>
                <w:t>4</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c14b27ef3a644d4aa2b1bbd95cd36467_31">
              <w:r>
                <w:rPr>
                  <w:rStyle w:val="InternetLink"/>
                  <w:rFonts w:ascii="Avenir Next LT Pro;sans-serif" w:hAnsi="Avenir Next LT Pro;sans-serif"/>
                  <w:b w:val="false"/>
                  <w:color w:val="0000FF"/>
                  <w:sz w:val="20"/>
                  <w:u w:val="single"/>
                </w:rPr>
                <w:t>Consolidated Statements of Cash Flows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31">
              <w:r>
                <w:rPr>
                  <w:rStyle w:val="InternetLink"/>
                  <w:rFonts w:ascii="Avenir Next LT Pro;sans-serif" w:hAnsi="Avenir Next LT Pro;sans-serif"/>
                  <w:b w:val="false"/>
                  <w:strike w:val="false"/>
                  <w:dstrike w:val="false"/>
                  <w:color w:val="242424"/>
                  <w:sz w:val="20"/>
                  <w:u w:val="none"/>
                  <w:effect w:val="none"/>
                </w:rPr>
                <w:t>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c14b27ef3a644d4aa2b1bbd95cd36467_34">
              <w:r>
                <w:rPr>
                  <w:rStyle w:val="InternetLink"/>
                  <w:rFonts w:ascii="Avenir Next LT Pro;sans-serif" w:hAnsi="Avenir Next LT Pro;sans-serif"/>
                  <w:b w:val="false"/>
                  <w:color w:val="0000FF"/>
                  <w:sz w:val="20"/>
                  <w:u w:val="single"/>
                </w:rPr>
                <w:t>Consolidated Statements of Stockholders’ Equity</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34">
              <w:r>
                <w:rPr>
                  <w:rStyle w:val="InternetLink"/>
                  <w:rFonts w:ascii="Avenir Next LT Pro;sans-serif" w:hAnsi="Avenir Next LT Pro;sans-serif"/>
                  <w:b w:val="false"/>
                  <w:strike w:val="false"/>
                  <w:dstrike w:val="false"/>
                  <w:color w:val="242424"/>
                  <w:sz w:val="20"/>
                  <w:u w:val="none"/>
                  <w:effect w:val="none"/>
                </w:rPr>
                <w:t>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c14b27ef3a644d4aa2b1bbd95cd36467_37">
              <w:r>
                <w:rPr>
                  <w:rStyle w:val="InternetLink"/>
                  <w:rFonts w:ascii="Avenir Next LT Pro;sans-serif" w:hAnsi="Avenir Next LT Pro;sans-serif"/>
                  <w:b w:val="false"/>
                  <w:color w:val="0000FF"/>
                  <w:sz w:val="20"/>
                  <w:u w:val="single"/>
                </w:rPr>
                <w:t>Notes to Consolidated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37">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14b27ef3a644d4aa2b1bbd95cd36467_40">
              <w:r>
                <w:rPr>
                  <w:rStyle w:val="InternetLink"/>
                  <w:rFonts w:ascii="Avenir Next LT Pro;sans-serif" w:hAnsi="Avenir Next LT Pro;sans-serif"/>
                  <w:b w:val="false"/>
                  <w:color w:val="0000FF"/>
                  <w:sz w:val="20"/>
                  <w:u w:val="single"/>
                </w:rPr>
                <w:t>Note A – Basis of Presentation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40">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43">
              <w:r>
                <w:rPr>
                  <w:rStyle w:val="InternetLink"/>
                  <w:rFonts w:ascii="Avenir Next LT Pro;sans-serif" w:hAnsi="Avenir Next LT Pro;sans-serif"/>
                  <w:b w:val="false"/>
                  <w:color w:val="0000FF"/>
                  <w:sz w:val="20"/>
                  <w:u w:val="single"/>
                </w:rPr>
                <w:t>Note B – New Accounting Principles and Recent Accounting Pronouncements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43">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46">
              <w:r>
                <w:rPr>
                  <w:rStyle w:val="InternetLink"/>
                  <w:rFonts w:ascii="Avenir Next LT Pro;sans-serif" w:hAnsi="Avenir Next LT Pro;sans-serif"/>
                  <w:b w:val="false"/>
                  <w:color w:val="0000FF"/>
                  <w:sz w:val="20"/>
                  <w:u w:val="single"/>
                </w:rPr>
                <w:t>Note C – Revenue from Contracts with Customers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46">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61">
              <w:bookmarkStart w:id="0" w:name="i57160d2fe18749bba8e3ebffabfb6681_12-0-1"/>
              <w:bookmarkEnd w:id="0"/>
              <w:r>
                <w:rPr>
                  <w:rStyle w:val="InternetLink"/>
                  <w:rFonts w:ascii="Avenir Next LT Pro;sans-serif" w:hAnsi="Avenir Next LT Pro;sans-serif"/>
                  <w:b w:val="false"/>
                  <w:color w:val="0000FF"/>
                  <w:sz w:val="20"/>
                  <w:u w:val="single"/>
                </w:rPr>
                <w:t>Note D – Property, Plant and Equipment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61">
              <w:r>
                <w:rPr>
                  <w:rStyle w:val="InternetLink"/>
                  <w:rFonts w:ascii="Avenir Next LT Pro;sans-serif" w:hAnsi="Avenir Next LT Pro;sans-serif"/>
                  <w:b w:val="false"/>
                  <w:strike w:val="false"/>
                  <w:dstrike w:val="false"/>
                  <w:color w:val="000000"/>
                  <w:sz w:val="20"/>
                  <w:u w:val="none"/>
                  <w:effect w:val="none"/>
                </w:rPr>
                <w:t>10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73">
              <w:r>
                <w:rPr>
                  <w:rStyle w:val="InternetLink"/>
                  <w:rFonts w:ascii="Avenir Next LT Pro;sans-serif" w:hAnsi="Avenir Next LT Pro;sans-serif"/>
                  <w:b w:val="false"/>
                  <w:color w:val="0000FF"/>
                  <w:sz w:val="20"/>
                  <w:u w:val="single"/>
                </w:rPr>
                <w:t>Note E – Financing Arrangements and Debt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73">
              <w:r>
                <w:rPr>
                  <w:rStyle w:val="InternetLink"/>
                  <w:rFonts w:ascii="Avenir Next LT Pro;sans-serif" w:hAnsi="Avenir Next LT Pro;sans-serif"/>
                  <w:b w:val="false"/>
                  <w:strike w:val="false"/>
                  <w:dstrike w:val="false"/>
                  <w:color w:val="242424"/>
                  <w:sz w:val="20"/>
                  <w:u w:val="none"/>
                  <w:effect w:val="none"/>
                </w:rPr>
                <w:t>11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76">
              <w:r>
                <w:rPr>
                  <w:rStyle w:val="InternetLink"/>
                  <w:rFonts w:ascii="Avenir Next LT Pro;sans-serif" w:hAnsi="Avenir Next LT Pro;sans-serif"/>
                  <w:b w:val="false"/>
                  <w:color w:val="0000FF"/>
                  <w:sz w:val="20"/>
                  <w:u w:val="single"/>
                </w:rPr>
                <w:t>Note F – Other Financial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76">
              <w:r>
                <w:rPr>
                  <w:rStyle w:val="InternetLink"/>
                  <w:rFonts w:ascii="Avenir Next LT Pro;sans-serif" w:hAnsi="Avenir Next LT Pro;sans-serif"/>
                  <w:b w:val="false"/>
                  <w:strike w:val="false"/>
                  <w:dstrike w:val="false"/>
                  <w:color w:val="242424"/>
                  <w:sz w:val="20"/>
                  <w:u w:val="none"/>
                  <w:effect w:val="none"/>
                </w:rPr>
                <w:t>11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79">
              <w:r>
                <w:rPr>
                  <w:rStyle w:val="InternetLink"/>
                  <w:rFonts w:ascii="Avenir Next LT Pro;sans-serif" w:hAnsi="Avenir Next LT Pro;sans-serif"/>
                  <w:b w:val="false"/>
                  <w:color w:val="000080"/>
                  <w:sz w:val="20"/>
                  <w:u w:val="single"/>
                </w:rPr>
                <w:t xml:space="preserve">Note G </w:t>
              </w:r>
            </w:hyperlink>
            <w:hyperlink w:anchor="ic14b27ef3a644d4aa2b1bbd95cd36467_121">
              <w:r>
                <w:rPr>
                  <w:rStyle w:val="InternetLink"/>
                  <w:rFonts w:ascii="Avenir Next LT Pro;sans-serif" w:hAnsi="Avenir Next LT Pro;sans-serif"/>
                  <w:b w:val="false"/>
                  <w:color w:val="000080"/>
                  <w:sz w:val="20"/>
                  <w:u w:val="single"/>
                </w:rPr>
                <w:t>–</w:t>
              </w:r>
            </w:hyperlink>
            <w:hyperlink w:anchor="ic14b27ef3a644d4aa2b1bbd95cd36467_79">
              <w:r>
                <w:rPr>
                  <w:rStyle w:val="InternetLink"/>
                  <w:rFonts w:ascii="Avenir Next LT Pro;sans-serif" w:hAnsi="Avenir Next LT Pro;sans-serif"/>
                  <w:b w:val="false"/>
                  <w:color w:val="000080"/>
                  <w:sz w:val="20"/>
                  <w:u w:val="single"/>
                </w:rPr>
                <w:t xml:space="preserve"> Asset Retirement Obligations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79">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82">
              <w:r>
                <w:rPr>
                  <w:rStyle w:val="InternetLink"/>
                  <w:rFonts w:ascii="Avenir Next LT Pro;sans-serif" w:hAnsi="Avenir Next LT Pro;sans-serif"/>
                  <w:b w:val="false"/>
                  <w:color w:val="0000FF"/>
                  <w:sz w:val="20"/>
                  <w:u w:val="single"/>
                </w:rPr>
                <w:t>Note H – Employee and Retiree Benefit Plans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82">
              <w:r>
                <w:rPr>
                  <w:rStyle w:val="InternetLink"/>
                  <w:rFonts w:ascii="Avenir Next LT Pro;sans-serif" w:hAnsi="Avenir Next LT Pro;sans-serif"/>
                  <w:b w:val="false"/>
                  <w:strike w:val="false"/>
                  <w:dstrike w:val="false"/>
                  <w:color w:val="242424"/>
                  <w:sz w:val="20"/>
                  <w:u w:val="none"/>
                  <w:effect w:val="non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85">
              <w:r>
                <w:rPr>
                  <w:rStyle w:val="InternetLink"/>
                  <w:rFonts w:ascii="Avenir Next LT Pro;sans-serif" w:hAnsi="Avenir Next LT Pro;sans-serif"/>
                  <w:b w:val="false"/>
                  <w:color w:val="0000FF"/>
                  <w:sz w:val="20"/>
                  <w:u w:val="single"/>
                </w:rPr>
                <w:t>Note I – Incentive Plans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85">
              <w:r>
                <w:rPr>
                  <w:rStyle w:val="InternetLink"/>
                  <w:rFonts w:ascii="Avenir Next LT Pro;sans-serif" w:hAnsi="Avenir Next LT Pro;sans-serif"/>
                  <w:b w:val="false"/>
                  <w:strike w:val="false"/>
                  <w:dstrike w:val="false"/>
                  <w:color w:val="242424"/>
                  <w:sz w:val="20"/>
                  <w:u w:val="none"/>
                  <w:effect w:val="non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91">
              <w:r>
                <w:rPr>
                  <w:rStyle w:val="InternetLink"/>
                  <w:rFonts w:ascii="Avenir Next LT Pro;sans-serif" w:hAnsi="Avenir Next LT Pro;sans-serif"/>
                  <w:b w:val="false"/>
                  <w:color w:val="0000FF"/>
                  <w:sz w:val="20"/>
                  <w:u w:val="single"/>
                </w:rPr>
                <w:t>Note J – Earnings Per Share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91">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97">
              <w:r>
                <w:rPr>
                  <w:rStyle w:val="InternetLink"/>
                  <w:rFonts w:ascii="Avenir Next LT Pro;sans-serif" w:hAnsi="Avenir Next LT Pro;sans-serif"/>
                  <w:b w:val="false"/>
                  <w:color w:val="0000FF"/>
                  <w:sz w:val="20"/>
                  <w:u w:val="single"/>
                </w:rPr>
                <w:t>Note K – Income Taxes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97">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103">
              <w:r>
                <w:rPr>
                  <w:rStyle w:val="InternetLink"/>
                  <w:rFonts w:ascii="Avenir Next LT Pro;sans-serif" w:hAnsi="Avenir Next LT Pro;sans-serif"/>
                  <w:b w:val="false"/>
                  <w:color w:val="0000FF"/>
                  <w:sz w:val="20"/>
                  <w:u w:val="single"/>
                </w:rPr>
                <w:t>Note L – Financial Instruments and Risk Management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03">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109">
              <w:r>
                <w:rPr>
                  <w:rStyle w:val="InternetLink"/>
                  <w:rFonts w:ascii="Avenir Next LT Pro;sans-serif" w:hAnsi="Avenir Next LT Pro;sans-serif"/>
                  <w:b w:val="false"/>
                  <w:color w:val="0000FF"/>
                  <w:sz w:val="20"/>
                  <w:u w:val="single"/>
                </w:rPr>
                <w:t>Note M – Accumulated Other Comprehensive Loss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09">
              <w:r>
                <w:rPr>
                  <w:rStyle w:val="InternetLink"/>
                  <w:rFonts w:ascii="Avenir Next LT Pro;sans-serif" w:hAnsi="Avenir Next LT Pro;sans-serif"/>
                  <w:b w:val="false"/>
                  <w:strike w:val="false"/>
                  <w:dstrike w:val="false"/>
                  <w:color w:val="242424"/>
                  <w:sz w:val="20"/>
                  <w:u w:val="none"/>
                  <w:effect w:val="none"/>
                </w:rPr>
                <w:t>17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115">
              <w:r>
                <w:rPr>
                  <w:rStyle w:val="InternetLink"/>
                  <w:rFonts w:ascii="Avenir Next LT Pro;sans-serif" w:hAnsi="Avenir Next LT Pro;sans-serif"/>
                  <w:b w:val="false"/>
                  <w:color w:val="0000FF"/>
                  <w:sz w:val="20"/>
                  <w:u w:val="single"/>
                </w:rPr>
                <w:t>Note N – Environmental and Other Contingencies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15">
              <w:r>
                <w:rPr>
                  <w:rStyle w:val="InternetLink"/>
                  <w:rFonts w:ascii="Avenir Next LT Pro;sans-serif" w:hAnsi="Avenir Next LT Pro;sans-serif"/>
                  <w:b w:val="false"/>
                  <w:strike w:val="false"/>
                  <w:dstrike w:val="false"/>
                  <w:color w:val="242424"/>
                  <w:sz w:val="20"/>
                  <w:u w:val="none"/>
                  <w:effect w:val="none"/>
                </w:rPr>
                <w:t>18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118">
              <w:r>
                <w:rPr>
                  <w:rStyle w:val="InternetLink"/>
                  <w:rFonts w:ascii="Avenir Next LT Pro;sans-serif" w:hAnsi="Avenir Next LT Pro;sans-serif"/>
                  <w:b w:val="false"/>
                  <w:color w:val="000080"/>
                  <w:sz w:val="20"/>
                  <w:u w:val="single"/>
                </w:rPr>
                <w:t xml:space="preserve">Note O </w:t>
              </w:r>
            </w:hyperlink>
            <w:hyperlink w:anchor="ic14b27ef3a644d4aa2b1bbd95cd36467_121">
              <w:r>
                <w:rPr>
                  <w:rStyle w:val="InternetLink"/>
                  <w:rFonts w:ascii="Avenir Next LT Pro;sans-serif" w:hAnsi="Avenir Next LT Pro;sans-serif"/>
                  <w:b w:val="false"/>
                  <w:color w:val="000080"/>
                  <w:sz w:val="20"/>
                  <w:u w:val="single"/>
                </w:rPr>
                <w:t>–</w:t>
              </w:r>
            </w:hyperlink>
            <w:hyperlink w:anchor="ic14b27ef3a644d4aa2b1bbd95cd36467_118">
              <w:r>
                <w:rPr>
                  <w:rStyle w:val="InternetLink"/>
                  <w:rFonts w:ascii="Avenir Next LT Pro;sans-serif" w:hAnsi="Avenir Next LT Pro;sans-serif"/>
                  <w:b w:val="false"/>
                  <w:color w:val="000080"/>
                  <w:sz w:val="20"/>
                  <w:u w:val="single"/>
                </w:rPr>
                <w:t xml:space="preserve"> Common Stock Issued and Outstanding</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18">
              <w:r>
                <w:rPr>
                  <w:rStyle w:val="InternetLink"/>
                  <w:rFonts w:ascii="Avenir Next LT Pro;sans-serif" w:hAnsi="Avenir Next LT Pro;sans-serif"/>
                  <w:b w:val="false"/>
                  <w:strike w:val="false"/>
                  <w:dstrike w:val="false"/>
                  <w:color w:val="242424"/>
                  <w:sz w:val="20"/>
                  <w:u w:val="none"/>
                  <w:effect w:val="none"/>
                </w:rPr>
                <w:t>19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14b27ef3a644d4aa2b1bbd95cd36467_121">
              <w:r>
                <w:rPr>
                  <w:rStyle w:val="InternetLink"/>
                  <w:rFonts w:ascii="Avenir Next LT Pro;sans-serif" w:hAnsi="Avenir Next LT Pro;sans-serif"/>
                  <w:b w:val="false"/>
                  <w:color w:val="000080"/>
                  <w:sz w:val="20"/>
                  <w:u w:val="single"/>
                </w:rPr>
                <w:t xml:space="preserve">Note </w:t>
              </w:r>
            </w:hyperlink>
            <w:hyperlink w:anchor="ic14b27ef3a644d4aa2b1bbd95cd36467_121">
              <w:r>
                <w:rPr>
                  <w:rStyle w:val="InternetLink"/>
                  <w:rFonts w:ascii="Avenir Next LT Pro;sans-serif" w:hAnsi="Avenir Next LT Pro;sans-serif"/>
                  <w:b w:val="false"/>
                  <w:color w:val="000080"/>
                  <w:sz w:val="20"/>
                  <w:u w:val="single"/>
                </w:rPr>
                <w:t>P</w:t>
              </w:r>
            </w:hyperlink>
            <w:hyperlink w:anchor="ic14b27ef3a644d4aa2b1bbd95cd36467_121">
              <w:r>
                <w:rPr>
                  <w:rStyle w:val="InternetLink"/>
                  <w:rFonts w:ascii="Avenir Next LT Pro;sans-serif" w:hAnsi="Avenir Next LT Pro;sans-serif"/>
                  <w:b w:val="false"/>
                  <w:color w:val="000080"/>
                  <w:sz w:val="20"/>
                  <w:u w:val="single"/>
                </w:rPr>
                <w:t xml:space="preserve"> – Business Segments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21">
              <w:r>
                <w:rPr>
                  <w:rStyle w:val="InternetLink"/>
                  <w:rFonts w:ascii="Avenir Next LT Pro;sans-serif" w:hAnsi="Avenir Next LT Pro;sans-serif"/>
                  <w:b w:val="false"/>
                  <w:strike w:val="false"/>
                  <w:dstrike w:val="false"/>
                  <w:color w:val="242424"/>
                  <w:sz w:val="20"/>
                  <w:u w:val="none"/>
                  <w:effect w:val="none"/>
                </w:rPr>
                <w:t>20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136">
              <w:r>
                <w:rPr>
                  <w:rStyle w:val="InternetLink"/>
                  <w:rFonts w:ascii="Avenir Next LT Pro;sans-serif" w:hAnsi="Avenir Next LT Pro;sans-serif"/>
                  <w:b w:val="false"/>
                  <w:color w:val="0000FF"/>
                  <w:sz w:val="20"/>
                  <w:u w:val="single"/>
                </w:rPr>
                <w:t xml:space="preserve">Item 2.  Management’s Discussion and Analysis of Financial Condition and Results of </w:t>
              </w:r>
            </w:hyperlink>
          </w:p>
          <w:p>
            <w:pPr>
              <w:pStyle w:val="TableContents"/>
              <w:bidi w:val="0"/>
              <w:spacing w:lineRule="auto" w:line="240" w:before="0" w:after="0"/>
              <w:ind w:left="0" w:right="0" w:firstLine="360"/>
              <w:jc w:val="left"/>
              <w:rPr/>
            </w:pPr>
            <w:r>
              <w:rPr>
                <w:color w:val="000000"/>
              </w:rPr>
              <w:t>              </w:t>
            </w:r>
            <w:hyperlink w:anchor="ic14b27ef3a644d4aa2b1bbd95cd36467_136">
              <w:r>
                <w:rPr>
                  <w:rStyle w:val="InternetLink"/>
                  <w:rFonts w:ascii="Avenir Next LT Pro;sans-serif" w:hAnsi="Avenir Next LT Pro;sans-serif"/>
                  <w:b w:val="false"/>
                  <w:color w:val="0000FF"/>
                  <w:sz w:val="20"/>
                  <w:u w:val="single"/>
                </w:rPr>
                <w:t>Operations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136">
              <w:r>
                <w:rPr>
                  <w:rStyle w:val="InternetLink"/>
                  <w:rFonts w:ascii="Avenir Next LT Pro;sans-serif" w:hAnsi="Avenir Next LT Pro;sans-serif"/>
                  <w:b w:val="false"/>
                  <w:strike w:val="false"/>
                  <w:dstrike w:val="false"/>
                  <w:color w:val="000000"/>
                  <w:sz w:val="20"/>
                  <w:u w:val="none"/>
                  <w:effect w:val="none"/>
                </w:rPr>
                <w:t>21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217">
              <w:r>
                <w:rPr>
                  <w:rStyle w:val="InternetLink"/>
                  <w:rFonts w:ascii="Avenir Next LT Pro;sans-serif" w:hAnsi="Avenir Next LT Pro;sans-serif"/>
                  <w:b w:val="false"/>
                  <w:color w:val="0000FF"/>
                  <w:sz w:val="20"/>
                  <w:u w:val="single"/>
                </w:rPr>
                <w:t>Item 3.  Quantitative and Qualitative Disclosures About Market Risk</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17">
              <w:r>
                <w:rPr>
                  <w:rStyle w:val="InternetLink"/>
                  <w:rFonts w:ascii="Avenir Next LT Pro;sans-serif" w:hAnsi="Avenir Next LT Pro;sans-serif"/>
                  <w:b w:val="false"/>
                  <w:strike w:val="false"/>
                  <w:dstrike w:val="false"/>
                  <w:color w:val="242424"/>
                  <w:sz w:val="20"/>
                  <w:u w:val="none"/>
                  <w:effect w:val="none"/>
                </w:rPr>
                <w:t>36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223">
              <w:r>
                <w:rPr>
                  <w:rStyle w:val="InternetLink"/>
                  <w:rFonts w:ascii="Avenir Next LT Pro;sans-serif" w:hAnsi="Avenir Next LT Pro;sans-serif"/>
                  <w:b w:val="false"/>
                  <w:color w:val="0000FF"/>
                  <w:sz w:val="20"/>
                  <w:u w:val="single"/>
                </w:rPr>
                <w:t>Item 4.  Controls and Procedures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23">
              <w:r>
                <w:rPr>
                  <w:rStyle w:val="InternetLink"/>
                  <w:rFonts w:ascii="Avenir Next LT Pro;sans-serif" w:hAnsi="Avenir Next LT Pro;sans-serif"/>
                  <w:b w:val="false"/>
                  <w:strike w:val="false"/>
                  <w:dstrike w:val="false"/>
                  <w:color w:val="242424"/>
                  <w:sz w:val="20"/>
                  <w:u w:val="none"/>
                  <w:effect w:val="none"/>
                </w:rPr>
                <w:t>36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4b27ef3a644d4aa2b1bbd95cd36467_226">
              <w:r>
                <w:rPr>
                  <w:rStyle w:val="InternetLink"/>
                  <w:rFonts w:ascii="Avenir Next LT Pro;sans-serif" w:hAnsi="Avenir Next LT Pro;sans-serif"/>
                  <w:b w:val="false"/>
                  <w:color w:val="0000FF"/>
                  <w:sz w:val="20"/>
                  <w:u w:val="single"/>
                </w:rPr>
                <w:t>Part II – 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229">
              <w:r>
                <w:rPr>
                  <w:rStyle w:val="InternetLink"/>
                  <w:rFonts w:ascii="Avenir Next LT Pro;sans-serif" w:hAnsi="Avenir Next LT Pro;sans-serif"/>
                  <w:b w:val="false"/>
                  <w:color w:val="0000FF"/>
                  <w:sz w:val="20"/>
                  <w:u w:val="single"/>
                </w:rPr>
                <w:t>Item 1.  Legal Proceedings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29">
              <w:r>
                <w:rPr>
                  <w:rStyle w:val="InternetLink"/>
                  <w:rFonts w:ascii="Avenir Next LT Pro;sans-serif" w:hAnsi="Avenir Next LT Pro;sans-serif"/>
                  <w:b w:val="false"/>
                  <w:strike w:val="false"/>
                  <w:dstrike w:val="false"/>
                  <w:color w:val="242424"/>
                  <w:sz w:val="20"/>
                  <w:u w:val="none"/>
                  <w:effect w:val="non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232">
              <w:r>
                <w:rPr>
                  <w:rStyle w:val="InternetLink"/>
                  <w:rFonts w:ascii="Avenir Next LT Pro;sans-serif" w:hAnsi="Avenir Next LT Pro;sans-serif"/>
                  <w:b w:val="false"/>
                  <w:color w:val="0000FF"/>
                  <w:sz w:val="20"/>
                  <w:u w:val="single"/>
                </w:rPr>
                <w:t>Item 1A.  Risk Factors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32">
              <w:r>
                <w:rPr>
                  <w:rStyle w:val="InternetLink"/>
                  <w:rFonts w:ascii="Avenir Next LT Pro;sans-serif" w:hAnsi="Avenir Next LT Pro;sans-serif"/>
                  <w:b w:val="false"/>
                  <w:strike w:val="false"/>
                  <w:dstrike w:val="false"/>
                  <w:color w:val="242424"/>
                  <w:sz w:val="20"/>
                  <w:u w:val="none"/>
                  <w:effect w:val="non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235">
              <w:r>
                <w:rPr>
                  <w:rStyle w:val="InternetLink"/>
                  <w:rFonts w:ascii="Avenir Next LT Pro;sans-serif" w:hAnsi="Avenir Next LT Pro;sans-serif"/>
                  <w:b w:val="false"/>
                  <w:color w:val="0000FF"/>
                  <w:sz w:val="20"/>
                  <w:u w:val="single"/>
                </w:rPr>
                <w:t xml:space="preserve">Item 2. Unregistered Sales of Equity Securities and Use of Proceeds </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35">
              <w:r>
                <w:rPr>
                  <w:rStyle w:val="InternetLink"/>
                  <w:rFonts w:ascii="Avenir Next LT Pro;sans-serif" w:hAnsi="Avenir Next LT Pro;sans-serif"/>
                  <w:b w:val="false"/>
                  <w:strike w:val="false"/>
                  <w:dstrike w:val="false"/>
                  <w:color w:val="242424"/>
                  <w:sz w:val="20"/>
                  <w:u w:val="none"/>
                  <w:effect w:val="non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238">
              <w:r>
                <w:rPr>
                  <w:rStyle w:val="InternetLink"/>
                  <w:rFonts w:ascii="Avenir Next LT Pro;sans-serif" w:hAnsi="Avenir Next LT Pro;sans-serif"/>
                  <w:b w:val="false"/>
                  <w:color w:val="0000FF"/>
                  <w:sz w:val="20"/>
                  <w:u w:val="single"/>
                </w:rPr>
                <w:t>Item 5. 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38">
              <w:r>
                <w:rPr>
                  <w:rStyle w:val="InternetLink"/>
                  <w:rFonts w:ascii="Avenir Next LT Pro;sans-serif" w:hAnsi="Avenir Next LT Pro;sans-serif"/>
                  <w:b w:val="false"/>
                  <w:strike w:val="false"/>
                  <w:dstrike w:val="false"/>
                  <w:color w:val="242424"/>
                  <w:sz w:val="20"/>
                  <w:u w:val="none"/>
                  <w:effect w:val="none"/>
                </w:rPr>
                <w:t>38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c14b27ef3a644d4aa2b1bbd95cd36467_241">
              <w:r>
                <w:rPr>
                  <w:rStyle w:val="InternetLink"/>
                  <w:rFonts w:ascii="Avenir Next LT Pro;sans-serif" w:hAnsi="Avenir Next LT Pro;sans-serif"/>
                  <w:b w:val="false"/>
                  <w:color w:val="0000FF"/>
                  <w:sz w:val="20"/>
                  <w:u w:val="single"/>
                </w:rPr>
                <w:t>Item 6.  Exhibits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41">
              <w:r>
                <w:rPr>
                  <w:rStyle w:val="InternetLink"/>
                  <w:rFonts w:ascii="Avenir Next LT Pro;sans-serif" w:hAnsi="Avenir Next LT Pro;sans-serif"/>
                  <w:b w:val="false"/>
                  <w:strike w:val="false"/>
                  <w:dstrike w:val="false"/>
                  <w:color w:val="242424"/>
                  <w:sz w:val="20"/>
                  <w:u w:val="none"/>
                  <w:effect w:val="none"/>
                </w:rPr>
                <w:t>38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4b27ef3a644d4aa2b1bbd95cd36467_244">
              <w:r>
                <w:rPr>
                  <w:rStyle w:val="InternetLink"/>
                  <w:rFonts w:ascii="Avenir Next LT Pro;sans-serif" w:hAnsi="Avenir Next LT Pro;sans-serif"/>
                  <w:b w:val="false"/>
                  <w:color w:val="0000FF"/>
                  <w:sz w:val="20"/>
                  <w:u w:val="single"/>
                </w:rPr>
                <w:t>Signature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14b27ef3a644d4aa2b1bbd95cd36467_244">
              <w:r>
                <w:rPr>
                  <w:rStyle w:val="InternetLink"/>
                  <w:rFonts w:ascii="Avenir Next LT Pro;sans-serif" w:hAnsi="Avenir Next LT Pro;sans-serif"/>
                  <w:b w:val="false"/>
                  <w:strike w:val="false"/>
                  <w:dstrike w:val="false"/>
                  <w:color w:val="242424"/>
                  <w:sz w:val="20"/>
                  <w:u w:val="none"/>
                  <w:effect w:val="none"/>
                </w:rPr>
                <w:t>39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4155"/>
                <wp:effectExtent l="0" t="0" r="0" b="0"/>
                <wp:wrapNone/>
                <wp:docPr id="3" name="Frame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v:textbox>
                <w10:wrap type="none"/>
              </v:rect>
            </w:pict>
          </mc:Fallback>
        </mc:AlternateContent>
      </w:r>
    </w:p>
    <w:p>
      <w:pPr>
        <w:pStyle w:val="TextBody"/>
        <w:bidi w:val="0"/>
        <w:spacing w:lineRule="auto" w:line="417"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BALANCE SHEETS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2589"/>
        <w:gridCol w:w="2081"/>
        <w:gridCol w:w="2087"/>
        <w:gridCol w:w="241"/>
        <w:gridCol w:w="1261"/>
        <w:gridCol w:w="109"/>
        <w:gridCol w:w="109"/>
        <w:gridCol w:w="109"/>
        <w:gridCol w:w="109"/>
        <w:gridCol w:w="226"/>
        <w:gridCol w:w="1128"/>
        <w:gridCol w:w="156"/>
      </w:tblGrid>
      <w:tr>
        <w:trPr/>
        <w:tc>
          <w:tcPr>
            <w:tcW w:w="258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share amounts)</w:t>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December 31,</w:t>
              <w:br/>
              <w:t>2023</w:t>
            </w:r>
          </w:p>
        </w:tc>
      </w:tr>
      <w:tr>
        <w:trPr/>
        <w:tc>
          <w:tcPr>
            <w:tcW w:w="6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ASSETS</w:t>
            </w:r>
          </w:p>
        </w:tc>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assets</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323,430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317,074 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Accounts receivable, net </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356,863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343,992 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Inventories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49,662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Prepaid expenses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30,934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assets</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760,889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752,194 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plant and equipment, at cost less accumulated depreciation, depletion and amortization of $13,309,133 in 2024 and $13,135,385 in 2023</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8,188,903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8,225,197 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assets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681,766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745,185 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charges and other assets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36,668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43,686 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9,668,660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9,766,697 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LIABILITIES AND EQUITY</w:t>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liabilities</w:t>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maturities of long-term debt, finance lease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Accounts payable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485,892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446,891 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taxes payable</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24,710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taxes payable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26,096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liabilities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179,471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207,840 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accrued liabilities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101,253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140,745 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liabilities</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818,152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846,545 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debt, including finance lease obligation</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1,328,669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1,328,352 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Asset retirement obligations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916,815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904,051 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credits and other liabilities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303,951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309,605 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Non-current operating lease liabilities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516,520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551,845 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292,048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276,646 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4,176,155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4,217,044 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Equity</w:t>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Cumulative Preferred Stock, par $100, authorized 400,000 shares, none issued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Common Stock, par $1.00, authorized 450,000,000 shares, issued 195,100,628 shares in 2024 and 195,100,628 shares in 2023</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Capital in excess of par value</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816,815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880,297 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Retained earnings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6,590,308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6,546,079 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Accumulated other comprehensive loss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(555,735)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(521,117)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Treasury stock</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(1,742,498)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(1,737,566)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Murphy Shareholders' Equity</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5,303,991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5,362,794 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Noncontrolling interest</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188,514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186,859 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equity</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5,492,505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5,549,653 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 and equity</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9,668,660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9,766,697 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pPr>
      <w:r>
        <w:rPr>
          <w:rFonts w:ascii="Avenir Next LT Pro;sans-serif" w:hAnsi="Avenir Next LT Pro;sans-serif"/>
          <w:b w:val="false"/>
          <w:color w:val="000000"/>
          <w:sz w:val="18"/>
        </w:rPr>
        <w:t xml:space="preserve">See Notes to Consolidated Financial Statements, page </w:t>
      </w:r>
      <w:hyperlink w:anchor="ic14b27ef3a644d4aa2b1bbd95cd36467_37">
        <w:r>
          <w:rPr>
            <w:rStyle w:val="InternetLink"/>
            <w:rFonts w:ascii="Avenir Next LT Pro;sans-serif" w:hAnsi="Avenir Next LT Pro;sans-serif"/>
            <w:b w:val="false"/>
            <w:color w:val="0000FF"/>
            <w:sz w:val="18"/>
            <w:u w:val="single"/>
          </w:rPr>
          <w:t>7</w:t>
        </w:r>
      </w:hyperlink>
      <w:r>
        <w:rPr>
          <w:rFonts w:ascii="Avenir Next LT Pro;sans-serif" w:hAnsi="Avenir Next LT Pro;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4155"/>
                <wp:effectExtent l="0" t="0" r="0" b="0"/>
                <wp:wrapNone/>
                <wp:docPr id="4" name="Frame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v:textbox>
                <w10:wrap type="none"/>
              </v:rect>
            </w:pict>
          </mc:Fallback>
        </mc:AlternateContent>
      </w:r>
    </w:p>
    <w:p>
      <w:pPr>
        <w:pStyle w:val="TextBody"/>
        <w:bidi w:val="0"/>
        <w:spacing w:lineRule="auto" w:line="417"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OPERATIONS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12"/>
        <w:gridCol w:w="1907"/>
        <w:gridCol w:w="1911"/>
        <w:gridCol w:w="109"/>
        <w:gridCol w:w="109"/>
        <w:gridCol w:w="154"/>
        <w:gridCol w:w="154"/>
        <w:gridCol w:w="342"/>
        <w:gridCol w:w="1496"/>
        <w:gridCol w:w="154"/>
        <w:gridCol w:w="109"/>
        <w:gridCol w:w="109"/>
        <w:gridCol w:w="109"/>
        <w:gridCol w:w="226"/>
        <w:gridCol w:w="946"/>
        <w:gridCol w:w="158"/>
      </w:tblGrid>
      <w:tr>
        <w:trPr/>
        <w:tc>
          <w:tcPr>
            <w:tcW w:w="221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657" w:type="dxa"/>
            <w:gridSpan w:val="6"/>
            <w:tcBorders/>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2023</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794,603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796,231 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Sales of purchased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43,737 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 from sales to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794,848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839,968 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sale of assets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796,412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841,716 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234,264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199,984 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10,086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11,440 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Transportation, gathering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56,553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53,922 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Costs of purchased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32,269 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Exploration expenses, including undeveloped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44,429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10,182 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Selling and general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31,161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18,308 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211,134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12,774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11,157 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7,266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11,988 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Impairment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34,528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642,355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544,920 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154,057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296,796 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Other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11,551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(28,855)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other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(8,470)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(28,928)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145,587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267,868 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30,057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53,833 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115,530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214,035 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(Loss) gain from discontinued operations,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114,658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214,314 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24,656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90,002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191,644 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9"/>
              </w:rPr>
            </w:pPr>
            <w:r>
              <w:rPr>
                <w:rFonts w:ascii="Avenir Next LT Pro;sans-serif" w:hAnsi="Avenir Next LT Pro;sans-serif"/>
                <w:b/>
                <w:color w:val="000000"/>
                <w:sz w:val="19"/>
              </w:rPr>
              <w:t>INCOME (LOSS)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0.59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INCOME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0.59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0.300</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0.275 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Average common shares outstanding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152,664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155,857 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153,817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157,389 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center"/>
        <w:rPr/>
      </w:pPr>
      <w:r>
        <w:rPr>
          <w:rFonts w:ascii="Avenir Next LT Pro;sans-serif" w:hAnsi="Avenir Next LT Pro;sans-serif"/>
          <w:b w:val="false"/>
          <w:color w:val="000000"/>
          <w:sz w:val="18"/>
        </w:rPr>
        <w:t xml:space="preserve">See Notes to Consolidated Financial Statements, page </w:t>
      </w:r>
      <w:hyperlink w:anchor="ic14b27ef3a644d4aa2b1bbd95cd36467_37">
        <w:r>
          <w:rPr>
            <w:rStyle w:val="InternetLink"/>
            <w:rFonts w:ascii="Avenir Next LT Pro;sans-serif" w:hAnsi="Avenir Next LT Pro;sans-serif"/>
            <w:b w:val="false"/>
            <w:color w:val="0000FF"/>
            <w:sz w:val="18"/>
            <w:u w:val="single"/>
          </w:rPr>
          <w:t>7</w:t>
        </w:r>
      </w:hyperlink>
      <w:r>
        <w:rPr>
          <w:rFonts w:ascii="Avenir Next LT Pro;sans-serif" w:hAnsi="Avenir Next LT Pro;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4155"/>
                <wp:effectExtent l="0" t="0" r="0" b="0"/>
                <wp:wrapNone/>
                <wp:docPr id="5" name="Frame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v:textbox>
                <w10:wrap type="none"/>
              </v:rect>
            </w:pict>
          </mc:Fallback>
        </mc:AlternateContent>
      </w:r>
    </w:p>
    <w:p>
      <w:pPr>
        <w:pStyle w:val="TextBody"/>
        <w:bidi w:val="0"/>
        <w:spacing w:lineRule="auto" w:line="417"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COMPREHENSIVE INCOME (LOSS)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64"/>
        <w:gridCol w:w="1898"/>
        <w:gridCol w:w="1904"/>
        <w:gridCol w:w="109"/>
        <w:gridCol w:w="109"/>
        <w:gridCol w:w="152"/>
        <w:gridCol w:w="152"/>
        <w:gridCol w:w="336"/>
        <w:gridCol w:w="1472"/>
        <w:gridCol w:w="152"/>
        <w:gridCol w:w="109"/>
        <w:gridCol w:w="109"/>
        <w:gridCol w:w="109"/>
        <w:gridCol w:w="226"/>
        <w:gridCol w:w="946"/>
        <w:gridCol w:w="158"/>
      </w:tblGrid>
      <w:tr>
        <w:trPr/>
        <w:tc>
          <w:tcPr>
            <w:tcW w:w="226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657" w:type="dxa"/>
            <w:gridSpan w:val="6"/>
            <w:tcBorders/>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2023</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114,658</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214,314 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(loss) gain from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(35,528)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910</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Other comprehensive (loss)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(34,618)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4,767 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Comprehensive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80,040</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219,081 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Comprehensive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24,656</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22,670 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COMPREHENSIVE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55,384</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196,411 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0" w:after="40"/>
        <w:ind w:left="0" w:right="0" w:hanging="180"/>
        <w:jc w:val="center"/>
        <w:rPr/>
      </w:pPr>
      <w:r>
        <w:rPr>
          <w:rFonts w:ascii="Avenir Next LT Pro;sans-serif" w:hAnsi="Avenir Next LT Pro;sans-serif"/>
          <w:b w:val="false"/>
          <w:color w:val="000000"/>
          <w:sz w:val="18"/>
        </w:rPr>
        <w:t xml:space="preserve">See Notes to Consolidated Financial Statements, page </w:t>
      </w:r>
      <w:hyperlink w:anchor="ic14b27ef3a644d4aa2b1bbd95cd36467_37">
        <w:r>
          <w:rPr>
            <w:rStyle w:val="InternetLink"/>
            <w:rFonts w:ascii="Avenir Next LT Pro;sans-serif" w:hAnsi="Avenir Next LT Pro;sans-serif"/>
            <w:b w:val="false"/>
            <w:color w:val="0000FF"/>
            <w:sz w:val="18"/>
            <w:u w:val="single"/>
          </w:rPr>
          <w:t>7</w:t>
        </w:r>
      </w:hyperlink>
      <w:r>
        <w:rPr>
          <w:rFonts w:ascii="Avenir Next LT Pro;sans-serif" w:hAnsi="Avenir Next LT Pro;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4155"/>
                <wp:effectExtent l="0" t="0" r="0" b="0"/>
                <wp:wrapNone/>
                <wp:docPr id="6" name="Frame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v:textbox>
                <w10:wrap type="none"/>
              </v:rect>
            </w:pict>
          </mc:Fallback>
        </mc:AlternateContent>
      </w:r>
    </w:p>
    <w:p>
      <w:pPr>
        <w:pStyle w:val="TextBody"/>
        <w:bidi w:val="0"/>
        <w:spacing w:lineRule="auto" w:line="417"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CASH FLOWS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34"/>
        <w:gridCol w:w="2255"/>
        <w:gridCol w:w="2261"/>
        <w:gridCol w:w="241"/>
        <w:gridCol w:w="1051"/>
        <w:gridCol w:w="109"/>
        <w:gridCol w:w="109"/>
        <w:gridCol w:w="109"/>
        <w:gridCol w:w="109"/>
        <w:gridCol w:w="226"/>
        <w:gridCol w:w="946"/>
        <w:gridCol w:w="155"/>
      </w:tblGrid>
      <w:tr>
        <w:trPr/>
        <w:tc>
          <w:tcPr>
            <w:tcW w:w="263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2023</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Operating Activities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114,658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214,314 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Adjustments to reconcile net income to net cash provided by continuing operations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211,134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Impairment of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34,528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Unsuccessful exploration well costs and previously suspended exploration costs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49,042 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11,157 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non-cash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Amortization of undeveloped leases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2,653 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Loss (income) from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Contingent consideration payment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(123,965)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Mark to market loss on contingent consideration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activities,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(15,381)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(7,110)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in noncash working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(75,031)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398,791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279,776 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Investing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(249,085)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(345,319)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(249,085)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(345,319)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Financing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Borrowings on revolving credit facility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Repayment of revolving credit facility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(45,773)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(42,925)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Withholding tax on stock-based incentive awards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(25,270)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(14,217)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Finance lease obligation payments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Contingent consideration payment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(47,678)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Issue costs of debt facility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(144,208)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(114,655)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Effect of exchange rate changes on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(179,580)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 at beginning of period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317,074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491,963 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Cash and cash equivalents at end of period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323,430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312,383 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hanging="180"/>
        <w:jc w:val="center"/>
        <w:rPr/>
      </w:pPr>
      <w:r>
        <w:rPr/>
      </w:r>
    </w:p>
    <w:p>
      <w:pPr>
        <w:pStyle w:val="TextBody"/>
        <w:bidi w:val="0"/>
        <w:spacing w:lineRule="auto" w:line="288" w:before="0" w:after="40"/>
        <w:ind w:left="0" w:right="0" w:hanging="180"/>
        <w:jc w:val="center"/>
        <w:rPr/>
      </w:pPr>
      <w:r>
        <w:rPr>
          <w:rFonts w:ascii="Avenir Next LT Pro;sans-serif" w:hAnsi="Avenir Next LT Pro;sans-serif"/>
          <w:b w:val="false"/>
          <w:color w:val="000000"/>
          <w:sz w:val="18"/>
        </w:rPr>
        <w:t xml:space="preserve">See Notes to Consolidated Financial Statements, page </w:t>
      </w:r>
      <w:hyperlink w:anchor="ic14b27ef3a644d4aa2b1bbd95cd36467_37">
        <w:r>
          <w:rPr>
            <w:rStyle w:val="InternetLink"/>
            <w:rFonts w:ascii="Avenir Next LT Pro;sans-serif" w:hAnsi="Avenir Next LT Pro;sans-serif"/>
            <w:b w:val="false"/>
            <w:color w:val="0000FF"/>
            <w:sz w:val="18"/>
            <w:u w:val="single"/>
          </w:rPr>
          <w:t>7</w:t>
        </w:r>
      </w:hyperlink>
      <w:r>
        <w:rPr>
          <w:rFonts w:ascii="Avenir Next LT Pro;sans-serif" w:hAnsi="Avenir Next LT Pro;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4155"/>
                <wp:effectExtent l="0" t="0" r="0" b="0"/>
                <wp:wrapNone/>
                <wp:docPr id="7" name="Frame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v:textbox>
                <w10:wrap type="none"/>
              </v:rect>
            </w:pict>
          </mc:Fallback>
        </mc:AlternateContent>
      </w:r>
    </w:p>
    <w:p>
      <w:pPr>
        <w:pStyle w:val="TextBody"/>
        <w:bidi w:val="0"/>
        <w:spacing w:lineRule="auto" w:line="417"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STOCKHOLDERS’ EQUITY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66"/>
        <w:gridCol w:w="1836"/>
        <w:gridCol w:w="1841"/>
        <w:gridCol w:w="109"/>
        <w:gridCol w:w="109"/>
        <w:gridCol w:w="119"/>
        <w:gridCol w:w="119"/>
        <w:gridCol w:w="264"/>
        <w:gridCol w:w="1385"/>
        <w:gridCol w:w="119"/>
        <w:gridCol w:w="109"/>
        <w:gridCol w:w="109"/>
        <w:gridCol w:w="109"/>
        <w:gridCol w:w="226"/>
        <w:gridCol w:w="1126"/>
        <w:gridCol w:w="159"/>
      </w:tblGrid>
      <w:tr>
        <w:trPr/>
        <w:tc>
          <w:tcPr>
            <w:tcW w:w="246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838" w:type="dxa"/>
            <w:gridSpan w:val="6"/>
            <w:tcBorders/>
          </w:tcPr>
          <w:p>
            <w:pPr>
              <w:pStyle w:val="TableContents"/>
              <w:bidi w:val="0"/>
              <w:spacing w:before="0" w:after="283"/>
              <w:jc w:val="left"/>
              <w:rPr>
                <w:sz w:val="4"/>
                <w:szCs w:val="4"/>
              </w:rPr>
            </w:pPr>
            <w:r>
              <w:rPr>
                <w:sz w:val="4"/>
                <w:szCs w:val="4"/>
              </w:rPr>
            </w:r>
          </w:p>
        </w:tc>
      </w:tr>
      <w:tr>
        <w:trPr/>
        <w:tc>
          <w:tcPr>
            <w:tcW w:w="6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2023</w:t>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19"/>
              </w:rPr>
              <w:t>Cumulative Preferred Stock</w:t>
            </w:r>
            <w:r>
              <w:rPr>
                <w:color w:val="000000"/>
              </w:rPr>
              <w:t xml:space="preserve"> – </w:t>
            </w:r>
            <w:r>
              <w:rPr>
                <w:rFonts w:ascii="Avenir Next LT Pro;sans-serif" w:hAnsi="Avenir Next LT Pro;sans-serif"/>
                <w:b w:val="false"/>
                <w:color w:val="000000"/>
                <w:sz w:val="19"/>
              </w:rPr>
              <w:t>par $100, authorized 400,000 shares, none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19"/>
              </w:rPr>
              <w:t>Common Stock</w:t>
            </w:r>
            <w:r>
              <w:rPr>
                <w:color w:val="000000"/>
              </w:rPr>
              <w:t xml:space="preserve"> – </w:t>
            </w:r>
            <w:r>
              <w:rPr>
                <w:rFonts w:ascii="Avenir Next LT Pro;sans-serif" w:hAnsi="Avenir Next LT Pro;sans-serif"/>
                <w:b w:val="false"/>
                <w:color w:val="000000"/>
                <w:sz w:val="19"/>
              </w:rPr>
              <w:t>par $1.00, authorized 450,000,000 shares, issued 195,100,628 shares at March 31, 2024 and 195,100,628 shares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and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Capital in Excess of 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880,297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893,578 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Restricted stock transactions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(70,387)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(40,094)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6,905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816,815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857,000 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6,546,079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6,055,498 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90,002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191,644 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(45,773)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(42,925)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6,590,308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6,204,217 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(521,117)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(534,686)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Foreign currency translation (loss) gain,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(35,528)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910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(555,735)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(529,919)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(1,737,566)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(1,614,717)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(50,049)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Awarded restricted stock,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45,117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25,876 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 – 42,524,472 shares of common stock in 2024 and 39,002,553 shares of common stock in 2023,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(1,742,498)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(1,588,841)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Murphy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5,303,991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5,137,558 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186,859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154,119 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24,656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 owners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(23,001)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188,514</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167,110 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5,492,505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5,304,668 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pPr>
      <w:r>
        <w:rPr>
          <w:rFonts w:ascii="Avenir Next LT Pro;sans-serif" w:hAnsi="Avenir Next LT Pro;sans-serif"/>
          <w:b w:val="false"/>
          <w:color w:val="000000"/>
          <w:sz w:val="18"/>
        </w:rPr>
        <w:t xml:space="preserve">See Notes to Consolidated Financial Statements, page </w:t>
      </w:r>
      <w:hyperlink w:anchor="ic14b27ef3a644d4aa2b1bbd95cd36467_37">
        <w:r>
          <w:rPr>
            <w:rStyle w:val="InternetLink"/>
            <w:rFonts w:ascii="Avenir Next LT Pro;sans-serif" w:hAnsi="Avenir Next LT Pro;sans-serif"/>
            <w:b w:val="false"/>
            <w:color w:val="0000FF"/>
            <w:sz w:val="18"/>
            <w:u w:val="single"/>
          </w:rPr>
          <w:t>7</w:t>
        </w:r>
      </w:hyperlink>
      <w:r>
        <w:rPr>
          <w:rFonts w:ascii="Avenir Next LT Pro;sans-serif" w:hAnsi="Avenir Next LT Pro;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4155"/>
                <wp:effectExtent l="0" t="0" r="0" b="0"/>
                <wp:wrapNone/>
                <wp:docPr id="8" name="Frame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v:textbox>
                <w10:wrap type="none"/>
              </v:rect>
            </w:pict>
          </mc:Fallback>
        </mc:AlternateContent>
      </w:r>
    </w:p>
    <w:p>
      <w:pPr>
        <w:pStyle w:val="TextBody"/>
        <w:bidi w:val="0"/>
        <w:spacing w:lineRule="auto" w:line="417"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NOTES TO CONSOLIDATED FINANCIAL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These notes are an integral part of the financial statements of Murphy Oil Corporation and Consolidated Subsidiaries (the Company or Murphy) on pages </w:t>
      </w:r>
      <w:hyperlink w:anchor="ic14b27ef3a644d4aa2b1bbd95cd36467_16">
        <w:r>
          <w:rPr>
            <w:rStyle w:val="InternetLink"/>
            <w:rFonts w:ascii="Avenir Next LT Pro;sans-serif" w:hAnsi="Avenir Next LT Pro;sans-serif"/>
            <w:b w:val="false"/>
            <w:color w:val="0000FF"/>
            <w:sz w:val="20"/>
            <w:u w:val="single"/>
          </w:rPr>
          <w:t>2</w:t>
        </w:r>
      </w:hyperlink>
      <w:r>
        <w:rPr>
          <w:color w:val="000000"/>
        </w:rPr>
        <w:t xml:space="preserve"> </w:t>
      </w:r>
      <w:r>
        <w:rPr>
          <w:rFonts w:ascii="Avenir Next LT Pro;sans-serif" w:hAnsi="Avenir Next LT Pro;sans-serif"/>
          <w:b w:val="false"/>
          <w:color w:val="000000"/>
          <w:sz w:val="20"/>
        </w:rPr>
        <w:t xml:space="preserve">through </w:t>
      </w:r>
      <w:hyperlink w:anchor="ic14b27ef3a644d4aa2b1bbd95cd36467_34">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A – Basis of Presentation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unaudited financial statements presented herein, in the opinion of Murphy’s management, include all accruals necessary to present fairly the Company’s financial position as at March 31, 2024 and December 31, 2023, and the results of operations, statements of operations, cash flows and changes in stockholders’ equity for the interim periods ended March 31, 2024 and 2023, in conformity with U.S generally accepted accounting principles (GAAP). In preparing the financial statements of the Company in conformity with GAAP, management has made a number of estimates and assumptions that affect the reporting of amounts of assets, liabilities, revenues, and expenses and the disclosure of contingent assets and liabilities. Actual results may differ from the estimates.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Consolidated financial statements and notes to consolidated financial statements included in this Form 10-Q report should be read in conjunction with the Company’s 2023 Form 10-K report, as certain notes and other pertinent information have been abbreviated or omitted in this report. Financial results for the three-month period ended March 31, 2024 are not necessarily indicative of future results.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B – New Accounting Principles and Recent Accounting Pronouncements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Accounting Principles Adopted</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None affecting the Company.</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Recent Accounting Pronouncements</w:t>
      </w:r>
    </w:p>
    <w:p>
      <w:pPr>
        <w:pStyle w:val="TextBody"/>
        <w:bidi w:val="0"/>
        <w:spacing w:lineRule="auto" w:line="256" w:before="0" w:after="0"/>
        <w:jc w:val="left"/>
        <w:rPr/>
      </w:pPr>
      <w:r>
        <w:rPr>
          <w:rFonts w:ascii="Avenir Next LT Pro;sans-serif" w:hAnsi="Avenir Next LT Pro;sans-serif"/>
          <w:b w:val="false"/>
          <w:i/>
          <w:color w:val="000000"/>
          <w:sz w:val="20"/>
        </w:rPr>
        <w:t>Income Tax Disclosures.</w:t>
      </w:r>
      <w:r>
        <w:rPr>
          <w:color w:val="000000"/>
        </w:rPr>
        <w:t xml:space="preserve"> </w:t>
      </w:r>
      <w:r>
        <w:rPr>
          <w:rFonts w:ascii="Avenir Next LT Pro;sans-serif" w:hAnsi="Avenir Next LT Pro;sans-serif"/>
          <w:b w:val="false"/>
          <w:color w:val="000000"/>
          <w:sz w:val="20"/>
        </w:rPr>
        <w:t>In December 2023 the Financial Accounting Standards Board (FASB) issued Accounting Standards Update (ASU)</w:t>
      </w:r>
      <w:r>
        <w:rPr>
          <w:color w:val="000000"/>
        </w:rPr>
        <w:t xml:space="preserve"> </w:t>
      </w:r>
      <w:r>
        <w:rPr>
          <w:rFonts w:ascii="Avenir Next LT Pro;sans-serif" w:hAnsi="Avenir Next LT Pro;sans-serif"/>
          <w:b w:val="false"/>
          <w:i/>
          <w:color w:val="000000"/>
          <w:sz w:val="20"/>
        </w:rPr>
        <w:t>2023-09 Income Taxes (Topic 740): Improvements to Income Tax Disclosures</w:t>
      </w:r>
      <w:r>
        <w:rPr>
          <w:rFonts w:ascii="Avenir Next LT Pro;sans-serif" w:hAnsi="Avenir Next LT Pro;sans-serif"/>
          <w:b w:val="false"/>
          <w:color w:val="000000"/>
          <w:sz w:val="20"/>
        </w:rPr>
        <w:t>. The standard becomes effective for annual periods beginning after December 15, 2024. The update requires financial statements to include consistent categories and greater disaggregation of information in the rate reconciliation, as well as income taxes paid disaggregated by jurisdiction. Murphy is currently evaluating the impact of adopting this standard.</w:t>
      </w:r>
    </w:p>
    <w:p>
      <w:pPr>
        <w:pStyle w:val="TextBody"/>
        <w:bidi w:val="0"/>
        <w:spacing w:before="0" w:after="0"/>
        <w:jc w:val="left"/>
        <w:rPr/>
      </w:pPr>
      <w:r>
        <w:rPr/>
      </w:r>
    </w:p>
    <w:p>
      <w:pPr>
        <w:pStyle w:val="TextBody"/>
        <w:bidi w:val="0"/>
        <w:spacing w:lineRule="auto" w:line="256" w:before="0" w:after="0"/>
        <w:jc w:val="left"/>
        <w:rPr/>
      </w:pPr>
      <w:r>
        <w:rPr>
          <w:rFonts w:ascii="Avenir Next LT Pro;sans-serif" w:hAnsi="Avenir Next LT Pro;sans-serif"/>
          <w:b w:val="false"/>
          <w:i/>
          <w:color w:val="000000"/>
          <w:sz w:val="20"/>
        </w:rPr>
        <w:t>Reportable Segment Disclosures.</w:t>
      </w:r>
      <w:r>
        <w:rPr>
          <w:color w:val="000000"/>
        </w:rPr>
        <w:t xml:space="preserve"> </w:t>
      </w:r>
      <w:r>
        <w:rPr>
          <w:rFonts w:ascii="Avenir Next LT Pro;sans-serif" w:hAnsi="Avenir Next LT Pro;sans-serif"/>
          <w:b w:val="false"/>
          <w:color w:val="000000"/>
          <w:sz w:val="20"/>
        </w:rPr>
        <w:t>In November 2023 the FASB issued ASU</w:t>
      </w:r>
      <w:r>
        <w:rPr>
          <w:color w:val="000000"/>
        </w:rPr>
        <w:t xml:space="preserve"> </w:t>
      </w:r>
      <w:r>
        <w:rPr>
          <w:rFonts w:ascii="Avenir Next LT Pro;sans-serif" w:hAnsi="Avenir Next LT Pro;sans-serif"/>
          <w:b w:val="false"/>
          <w:i/>
          <w:color w:val="000000"/>
          <w:sz w:val="20"/>
        </w:rPr>
        <w:t>2023-07 Segment Reporting (Topic 280): Improvements to Reportable Segment Disclosures</w:t>
      </w:r>
      <w:r>
        <w:rPr>
          <w:rFonts w:ascii="Avenir Next LT Pro;sans-serif" w:hAnsi="Avenir Next LT Pro;sans-serif"/>
          <w:b w:val="false"/>
          <w:color w:val="000000"/>
          <w:sz w:val="20"/>
        </w:rPr>
        <w:t>. The standard becomes effective for fiscal years beginning after December 15, 2023, and interim periods within fiscal years beginning after December 15, 2024. The standard requires additional disclosures about operating segments, including segment expense information provided to the chief operating decision maker, and extends certain disclosure requirements to interim periods. The standard does not affect our determination of significant segments. Murphy is currently evaluating the impact of adopting this standard.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C – Revenue from Contracts with Customers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Nature of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explores for and produces crude oil, natural gas and natural gas liquids (collectively oil and natural gas) in select basins around the globe. The Company’s revenue from sales of oil and natural gas production activities are primarily subdivided into two key geographic segments: the United States (U.S.) and Canada. Additionally, revenue from sales to customers is generated from three primary revenue streams: crude oil and condensate, natural gas liquids (NGL), and natural gas.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operated oil and natural gas production where the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(NCI) in MP Gulf of Mexico, LLC (MP GOM) as prescribed by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4155"/>
                <wp:effectExtent l="0" t="0" r="0" b="0"/>
                <wp:wrapNone/>
                <wp:docPr id="9" name="Frame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pPr>
      <w:r>
        <w:rPr>
          <w:rFonts w:ascii="Avenir Next LT Pro;sans-serif" w:hAnsi="Avenir Next LT Pro;sans-serif"/>
          <w:b w:val="false"/>
          <w:i/>
          <w:color w:val="000000"/>
          <w:sz w:val="20"/>
        </w:rPr>
        <w:t>U.S. -</w:t>
      </w:r>
      <w:r>
        <w:rPr>
          <w:color w:val="000000"/>
        </w:rPr>
        <w:t xml:space="preserve"> </w:t>
      </w:r>
      <w:r>
        <w:rPr>
          <w:rFonts w:ascii="Avenir Next LT Pro;sans-serif" w:hAnsi="Avenir Next LT Pro;sans-serif"/>
          <w:b w:val="false"/>
          <w:color w:val="000000"/>
          <w:sz w:val="20"/>
        </w:rPr>
        <w:t>In the U.S., the Company primarily produces oil and natural gas from fields in the Eagle Ford Shale area of South Texas and in the Gulf of Mexico. Revenue is generally recognized when oil and natural gas are transferred to the customer at the delivery point. Revenue recognized is largely index-based with price adjustments for floating market differentials.</w:t>
      </w:r>
    </w:p>
    <w:p>
      <w:pPr>
        <w:pStyle w:val="TextBody"/>
        <w:bidi w:val="0"/>
        <w:spacing w:lineRule="auto" w:line="288" w:before="120" w:after="120"/>
        <w:jc w:val="left"/>
        <w:rPr/>
      </w:pPr>
      <w:r>
        <w:rPr>
          <w:rFonts w:ascii="Avenir Next LT Pro;sans-serif" w:hAnsi="Avenir Next LT Pro;sans-serif"/>
          <w:b w:val="false"/>
          <w:i/>
          <w:color w:val="000000"/>
          <w:sz w:val="20"/>
        </w:rPr>
        <w:t>Canada -</w:t>
      </w:r>
      <w:r>
        <w:rPr>
          <w:color w:val="000000"/>
        </w:rPr>
        <w:t xml:space="preserve"> </w:t>
      </w:r>
      <w:r>
        <w:rPr>
          <w:rFonts w:ascii="Avenir Next LT Pro;sans-serif" w:hAnsi="Avenir Next LT Pro;sans-serif"/>
          <w:b w:val="false"/>
          <w:color w:val="000000"/>
          <w:sz w:val="20"/>
        </w:rPr>
        <w:t>In Canada, contracts include long-term floating commodity index priced and natural gas physical forward sales fixed-price contracts. For 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Disaggregation of Revenue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reviews performance based on two key geographical segments and between onshore and offshore sources of revenue within these geographies.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20" w:after="12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revenues and other income for the three-month periods ended March 31, 2024 and 2023 were as follows.</w:t>
      </w:r>
    </w:p>
    <w:tbl>
      <w:tblPr>
        <w:tblW w:w="8665" w:type="dxa"/>
        <w:jc w:val="left"/>
        <w:tblInd w:w="0" w:type="dxa"/>
        <w:tblLayout w:type="fixed"/>
        <w:tblCellMar>
          <w:top w:w="28" w:type="dxa"/>
          <w:left w:w="28" w:type="dxa"/>
          <w:bottom w:w="28" w:type="dxa"/>
          <w:right w:w="28" w:type="dxa"/>
        </w:tblCellMar>
      </w:tblPr>
      <w:tblGrid>
        <w:gridCol w:w="1212"/>
        <w:gridCol w:w="1066"/>
        <w:gridCol w:w="1069"/>
        <w:gridCol w:w="358"/>
        <w:gridCol w:w="358"/>
        <w:gridCol w:w="363"/>
        <w:gridCol w:w="109"/>
        <w:gridCol w:w="109"/>
        <w:gridCol w:w="159"/>
        <w:gridCol w:w="159"/>
        <w:gridCol w:w="352"/>
        <w:gridCol w:w="1539"/>
        <w:gridCol w:w="159"/>
        <w:gridCol w:w="109"/>
        <w:gridCol w:w="109"/>
        <w:gridCol w:w="109"/>
        <w:gridCol w:w="226"/>
        <w:gridCol w:w="94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653" w:type="dxa"/>
            <w:gridSpan w:val="6"/>
            <w:tcBorders/>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4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142,543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Offshore</w:t>
            </w:r>
            <w:r>
              <w:rPr>
                <w:color w:val="000000"/>
              </w:rPr>
              <w:t xml:space="preserv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480,439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500,310 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13,873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54,775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crude oil and condensate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691,532</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United States </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7,836</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color w:val="000000"/>
              </w:rPr>
            </w:pPr>
            <w:r>
              <w:rPr>
                <w:color w:val="000000"/>
              </w:rPr>
              <w:t> </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Offshore</w:t>
            </w:r>
            <w:r>
              <w:rPr>
                <w:color w:val="000000"/>
              </w:rPr>
              <w:t xml:space="preserv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10,374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Canada </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1,437</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liquids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19,647</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United States </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4,276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12,889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Canada </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66,259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83,424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794,603</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796,231 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Sales of purchased natural gas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Canada </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sales of purchased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tcPr>
          <w:p>
            <w:pPr>
              <w:pStyle w:val="TableContents"/>
              <w:bidi w:val="0"/>
              <w:spacing w:before="0" w:after="283"/>
              <w:jc w:val="left"/>
              <w:rPr>
                <w:sz w:val="4"/>
                <w:szCs w:val="4"/>
              </w:rPr>
            </w:pPr>
            <w:r>
              <w:rPr>
                <w:sz w:val="4"/>
                <w:szCs w:val="4"/>
              </w:rPr>
            </w:r>
          </w:p>
        </w:tc>
      </w:tr>
      <w:tr>
        <w:trPr/>
        <w:tc>
          <w:tcPr>
            <w:tcW w:w="44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 from sales to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794,848</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839,968 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tcPr>
          <w:p>
            <w:pPr>
              <w:pStyle w:val="TableContents"/>
              <w:bidi w:val="0"/>
              <w:spacing w:before="0" w:after="283"/>
              <w:jc w:val="left"/>
              <w:rPr>
                <w:sz w:val="4"/>
                <w:szCs w:val="4"/>
              </w:rPr>
            </w:pPr>
            <w:r>
              <w:rPr>
                <w:sz w:val="4"/>
                <w:szCs w:val="4"/>
              </w:rPr>
            </w:r>
          </w:p>
        </w:tc>
      </w:tr>
      <w:tr>
        <w:trPr/>
        <w:tc>
          <w:tcPr>
            <w:tcW w:w="44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sale of assets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1,564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796,412</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841,716 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both"/>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revenue attributable to noncontrolling interest in MP GOM.</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Contract Balances and Asset Recognition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As of March 31, 2024, and December 31, 2023, receivables from contracts with customers, net of royalties and associated payables, on the balance sheet from continuing operations, were $215.2 million and $193.7 million, respectively. Payment terms for the Company’s sales vary across contracts and geographical regions, with the majority of the cash receipts required within 30 days of billing. Based on a forward-looking expected loss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4155"/>
                <wp:effectExtent l="0" t="0" r="0" b="0"/>
                <wp:wrapNone/>
                <wp:docPr id="10" name="Frame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accordance with ASU 2016-13, the Company did not recognize any impairment losses on receivables or contract assets arising from customer contracts during the reporting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not entered into any revenue contracts that have financing components as of March 31, 2024.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does not employ sales incentive strategies such as commissions or bonuses for obtaining sales contracts. For the periods presented, the Company did not identify any assets to be recognized associated with the costs to obtain a contract with a customer.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Performance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entered into several long-term, fixed-price contracts in Canada. The underlying reason for entering a fixed price contract is generally unrelated to anticipated future prices or other observable data and serves a particular purpose in the Company’s long-term strategy.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2024, the Company had the following sales contracts in place which are expected to generate revenue from sales to customers for a period over 12 months starting at the inception of the contract:</w:t>
      </w:r>
    </w:p>
    <w:tbl>
      <w:tblPr>
        <w:tblW w:w="10205" w:type="dxa"/>
        <w:jc w:val="left"/>
        <w:tblInd w:w="0" w:type="dxa"/>
        <w:tblLayout w:type="fixed"/>
        <w:tblCellMar>
          <w:top w:w="28" w:type="dxa"/>
          <w:left w:w="28" w:type="dxa"/>
          <w:bottom w:w="28" w:type="dxa"/>
          <w:right w:w="28" w:type="dxa"/>
        </w:tblCellMar>
      </w:tblPr>
      <w:tblGrid>
        <w:gridCol w:w="381"/>
        <w:gridCol w:w="334"/>
        <w:gridCol w:w="336"/>
        <w:gridCol w:w="152"/>
        <w:gridCol w:w="152"/>
        <w:gridCol w:w="152"/>
        <w:gridCol w:w="555"/>
        <w:gridCol w:w="555"/>
        <w:gridCol w:w="556"/>
        <w:gridCol w:w="152"/>
        <w:gridCol w:w="152"/>
        <w:gridCol w:w="152"/>
        <w:gridCol w:w="278"/>
        <w:gridCol w:w="278"/>
        <w:gridCol w:w="264"/>
        <w:gridCol w:w="152"/>
        <w:gridCol w:w="152"/>
        <w:gridCol w:w="152"/>
        <w:gridCol w:w="923"/>
        <w:gridCol w:w="923"/>
        <w:gridCol w:w="924"/>
        <w:gridCol w:w="152"/>
        <w:gridCol w:w="152"/>
        <w:gridCol w:w="152"/>
        <w:gridCol w:w="635"/>
        <w:gridCol w:w="635"/>
        <w:gridCol w:w="636"/>
        <w:gridCol w:w="16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003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Long-Term Contracts Outstanding at March 31, 2024</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Location</w:t>
            </w:r>
          </w:p>
        </w:tc>
        <w:tc>
          <w:tcPr>
            <w:tcW w:w="456"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456"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c>
          <w:tcPr>
            <w:tcW w:w="456"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Description</w:t>
            </w:r>
          </w:p>
        </w:tc>
        <w:tc>
          <w:tcPr>
            <w:tcW w:w="456"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Approximate Volumes</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27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U.S.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 and NGL</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Q1 2030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Deliveries from dedicated acreage in Eagle Ford</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As produced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USD index pricing</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31 MMCFD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2024</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CAD fixed pricing</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124 MMCFD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USD fixed pricing</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25 MMCFD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2024</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CAD index pricing</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28 MMCFD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USD index pricing</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25 MMCFD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2026</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USD index pricing</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49 MMCFD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2027</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USD index pricing</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30 MMCFD</w:t>
            </w:r>
          </w:p>
        </w:tc>
        <w:tc>
          <w:tcPr>
            <w:tcW w:w="168" w:type="dxa"/>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Canada</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Natural Gas</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Q4 2028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Contracts to sell natural gas at USD index pricing</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10 MMCFD</w:t>
            </w:r>
          </w:p>
        </w:tc>
        <w:tc>
          <w:tcPr>
            <w:tcW w:w="168"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contracts are accounted for as normal sales and purchases for accounting purposes.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4155"/>
                <wp:effectExtent l="0" t="0" r="0" b="0"/>
                <wp:wrapNone/>
                <wp:docPr id="11" name="Frame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D – Property, Plant and Equipment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Exploratory Wells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2024, the Company had total capitalized drilling costs pending the determination of proved reserves of $34.2 million. The following table reflects the net changes in capitalized exploratory well costs during the three-month periods ended March 31, 2024 and 2023.</w:t>
      </w:r>
    </w:p>
    <w:tbl>
      <w:tblPr>
        <w:tblW w:w="8618" w:type="dxa"/>
        <w:jc w:val="left"/>
        <w:tblInd w:w="0" w:type="dxa"/>
        <w:tblLayout w:type="fixed"/>
        <w:tblCellMar>
          <w:top w:w="28" w:type="dxa"/>
          <w:left w:w="28" w:type="dxa"/>
          <w:bottom w:w="28" w:type="dxa"/>
          <w:right w:w="28" w:type="dxa"/>
        </w:tblCellMar>
      </w:tblPr>
      <w:tblGrid>
        <w:gridCol w:w="2063"/>
        <w:gridCol w:w="1815"/>
        <w:gridCol w:w="1821"/>
        <w:gridCol w:w="241"/>
        <w:gridCol w:w="916"/>
        <w:gridCol w:w="109"/>
        <w:gridCol w:w="109"/>
        <w:gridCol w:w="109"/>
        <w:gridCol w:w="109"/>
        <w:gridCol w:w="226"/>
        <w:gridCol w:w="946"/>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balance at January 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171,860 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Additions pending the determination of proved reserves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Capitalized exploratory well costs charged to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(26,471)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March 31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34,185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Capitalized well costs charged to dry hole expense of $26.5 million for the three months ended March 31, 2024 was related to the Hoffe Park #1 (Mississippi Canyon 166) exploratory well in the Gulf of Mexico. Capital additions include the Orange #1 (Mississippi Canyon 216) and Ocotillo #1 (Mississippi Canyon 40) exploratory wells in the Gulf of Mexico. The preceding table excludes well costs of $5.9 million incurred and expensed directly to dry hole during the three months ended March 31, 2024, mainly related to the Oso #1 (Atwater Valley 138) exploration well in the Gulf of Mexico.</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provides an aging of capitalized exploratory well costs based on the date the drilling was completed for each individual well and the number of projects for which exploratory well costs have been capitalized. The projects are aged based on the last well drilled in the project.</w:t>
      </w:r>
    </w:p>
    <w:tbl>
      <w:tblPr>
        <w:tblW w:w="10205" w:type="dxa"/>
        <w:jc w:val="left"/>
        <w:tblInd w:w="0" w:type="dxa"/>
        <w:tblLayout w:type="fixed"/>
        <w:tblCellMar>
          <w:top w:w="28" w:type="dxa"/>
          <w:left w:w="28" w:type="dxa"/>
          <w:bottom w:w="28" w:type="dxa"/>
          <w:right w:w="28" w:type="dxa"/>
        </w:tblCellMar>
      </w:tblPr>
      <w:tblGrid>
        <w:gridCol w:w="671"/>
        <w:gridCol w:w="591"/>
        <w:gridCol w:w="593"/>
        <w:gridCol w:w="241"/>
        <w:gridCol w:w="916"/>
        <w:gridCol w:w="109"/>
        <w:gridCol w:w="109"/>
        <w:gridCol w:w="109"/>
        <w:gridCol w:w="109"/>
        <w:gridCol w:w="309"/>
        <w:gridCol w:w="309"/>
        <w:gridCol w:w="311"/>
        <w:gridCol w:w="109"/>
        <w:gridCol w:w="109"/>
        <w:gridCol w:w="109"/>
        <w:gridCol w:w="414"/>
        <w:gridCol w:w="414"/>
        <w:gridCol w:w="416"/>
        <w:gridCol w:w="109"/>
        <w:gridCol w:w="109"/>
        <w:gridCol w:w="109"/>
        <w:gridCol w:w="226"/>
        <w:gridCol w:w="946"/>
        <w:gridCol w:w="109"/>
        <w:gridCol w:w="109"/>
        <w:gridCol w:w="109"/>
        <w:gridCol w:w="109"/>
        <w:gridCol w:w="283"/>
        <w:gridCol w:w="283"/>
        <w:gridCol w:w="284"/>
        <w:gridCol w:w="109"/>
        <w:gridCol w:w="109"/>
        <w:gridCol w:w="109"/>
        <w:gridCol w:w="332"/>
        <w:gridCol w:w="332"/>
        <w:gridCol w:w="481"/>
      </w:tblGrid>
      <w:tr>
        <w:trPr/>
        <w:tc>
          <w:tcPr>
            <w:tcW w:w="6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w:t>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No. of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No. of 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No. of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No. of Projects</w:t>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Aging of capitalized well costs: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Zero to one year</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11,641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w:t>
            </w: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One to two years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Two to three years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years or more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34,185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w:t>
            </w:r>
            <w:r>
              <w:rPr>
                <w:color w:val="000000"/>
              </w:rPr>
              <w:t> </w:t>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w:t>
            </w:r>
            <w:r>
              <w:rPr>
                <w:color w:val="000000"/>
              </w:rPr>
              <w:t> </w:t>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196,545 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9 </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8 </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 the $22.5 million of exploratory well costs capitalized more than one year at March 31, 2024, $15.1 million was in Vietnam, $4.7 million was in Canada, and $2.7 million was in Brunei. In all geographical areas, either further appraisal or development drilling is planned and/or development studies/plans are in various stages of completion.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Impairments</w:t>
      </w:r>
    </w:p>
    <w:p>
      <w:pPr>
        <w:pStyle w:val="TextBody"/>
        <w:bidi w:val="0"/>
        <w:spacing w:lineRule="auto" w:line="288" w:before="120" w:after="120"/>
        <w:jc w:val="left"/>
        <w:rPr/>
      </w:pPr>
      <w:r>
        <w:rPr>
          <w:rFonts w:ascii="Avenir Next LT Pro;sans-serif" w:hAnsi="Avenir Next LT Pro;sans-serif"/>
          <w:b w:val="false"/>
          <w:color w:val="000000"/>
          <w:sz w:val="20"/>
        </w:rPr>
        <w:t>There w</w:t>
      </w:r>
      <w:r>
        <w:rPr>
          <w:rFonts w:ascii="Avenir Next LT Pro;sans-serif" w:hAnsi="Avenir Next LT Pro;sans-serif"/>
          <w:b w:val="false"/>
          <w:color w:val="000000"/>
          <w:sz w:val="20"/>
          <w:shd w:fill="FFFFFF" w:val="clear"/>
        </w:rPr>
        <w:t>ere pre-tax impairments of $34.5 million i</w:t>
      </w:r>
      <w:r>
        <w:rPr>
          <w:rFonts w:ascii="Avenir Next LT Pro;sans-serif" w:hAnsi="Avenir Next LT Pro;sans-serif"/>
          <w:b w:val="false"/>
          <w:color w:val="000000"/>
          <w:sz w:val="20"/>
        </w:rPr>
        <w:t>n the three months ended March 31, 2024 r</w:t>
      </w:r>
      <w:r>
        <w:rPr>
          <w:rFonts w:ascii="Avenir Next LT Pro;sans-serif" w:hAnsi="Avenir Next LT Pro;sans-serif"/>
          <w:b w:val="false"/>
          <w:color w:val="000000"/>
          <w:sz w:val="20"/>
          <w:shd w:fill="FFFFFF" w:val="clear"/>
        </w:rPr>
        <w:t xml:space="preserve">elated to Calliope field in the Mississippi Canyon block in the Gulf of Mexico in which operational issues led to a reserve reduction. There were </w:t>
      </w:r>
      <w:r>
        <w:rPr>
          <w:rFonts w:ascii="Avenir Next LT Pro;sans-serif" w:hAnsi="Avenir Next LT Pro;sans-serif"/>
          <w:b w:val="false"/>
          <w:color w:val="000000"/>
          <w:sz w:val="20"/>
        </w:rPr>
        <w:t>no</w:t>
      </w:r>
      <w:r>
        <w:rPr>
          <w:color w:val="000000"/>
          <w:shd w:fill="FFFFFF" w:val="clear"/>
        </w:rPr>
        <w:t xml:space="preserve"> </w:t>
      </w:r>
      <w:r>
        <w:rPr>
          <w:rFonts w:ascii="Avenir Next LT Pro;sans-serif" w:hAnsi="Avenir Next LT Pro;sans-serif"/>
          <w:b w:val="false"/>
          <w:color w:val="000000"/>
          <w:sz w:val="20"/>
          <w:shd w:fill="FFFFFF" w:val="clear"/>
        </w:rPr>
        <w:t>impairments in the three months ended March 31,</w:t>
      </w:r>
      <w:r>
        <w:rPr>
          <w:color w:val="000000"/>
        </w:rPr>
        <w:t xml:space="preserve"> </w:t>
      </w:r>
      <w:r>
        <w:rPr>
          <w:rFonts w:ascii="Avenir Next LT Pro;sans-serif" w:hAnsi="Avenir Next LT Pro;sans-serif"/>
          <w:b w:val="false"/>
          <w:color w:val="000000"/>
          <w:sz w:val="20"/>
        </w:rPr>
        <w:t xml:space="preserve">2023.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Divestitures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On September 15, 2023, the Company completed the divestment of certain non-core operated Kaybob Duvernay assets and all of our non-operated Placid Montney assets, located in Alberta, Canada for net cash proceeds of C$139.0 million. No gain or loss was recorded related to this transaction, and the effective date of the transaction was March 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4155"/>
                <wp:effectExtent l="0" t="0" r="0" b="0"/>
                <wp:wrapNone/>
                <wp:docPr id="12" name="Frame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E – Financing Arrangements and Debt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2024, the Company had an $800 million revolving credit facility (RCF). The RCF is a senior unsecured guaranteed facility which expires on November 17, 2027. At March 31, 2024, the Company had no outstanding borrowings under the RCF and $3.7 million of outstanding letters of credit, which reduce the borrowing capacity of the RCF. At March 31, 2024, the interest rate in effect on borrowings under the RCF would have been 7.68%. At March 31, 2024, the Company was in compliance with all covenants related to the RCF.</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has a shelf registration statement on file with the U.S. Securities and Exchange Commission (SEC) that permits the offer and sale of debt and/or equity securities through October 15, 2024.</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F – Other Financial Information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Additional disclosures regarding cash flow activities are provided below.</w:t>
      </w:r>
    </w:p>
    <w:tbl>
      <w:tblPr>
        <w:tblW w:w="10205" w:type="dxa"/>
        <w:jc w:val="left"/>
        <w:tblInd w:w="0" w:type="dxa"/>
        <w:tblLayout w:type="fixed"/>
        <w:tblCellMar>
          <w:top w:w="28" w:type="dxa"/>
          <w:left w:w="28" w:type="dxa"/>
          <w:bottom w:w="28" w:type="dxa"/>
          <w:right w:w="28" w:type="dxa"/>
        </w:tblCellMar>
      </w:tblPr>
      <w:tblGrid>
        <w:gridCol w:w="2675"/>
        <w:gridCol w:w="2277"/>
        <w:gridCol w:w="2283"/>
        <w:gridCol w:w="241"/>
        <w:gridCol w:w="1014"/>
        <w:gridCol w:w="109"/>
        <w:gridCol w:w="109"/>
        <w:gridCol w:w="109"/>
        <w:gridCol w:w="109"/>
        <w:gridCol w:w="226"/>
        <w:gridCol w:w="898"/>
        <w:gridCol w:w="155"/>
      </w:tblGrid>
      <w:tr>
        <w:trPr/>
        <w:tc>
          <w:tcPr>
            <w:tcW w:w="267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operating working capital, excluding cash and cash equivalents: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(Increase) decrease in accounts receivable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inventories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Decrease in prepaid expenses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accounts payable and accrued liabilities ¹</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(24,852)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(63,800)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income taxes payable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in noncash working capital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(24,353)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(75,031)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Supplementary disclosures:</w:t>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income taxes paid, net of refunds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paid, net of amounts capitalized of $3.9 million in 2024 and $3.3 million in 2023</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Non-cash investing activities: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costs capitalized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capital expenditure accrual</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Excludes payable balances relating to contingent consideration for prior acquisitions.</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4155"/>
                <wp:effectExtent l="0" t="0" r="0" b="0"/>
                <wp:wrapNone/>
                <wp:docPr id="13" name="Frame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G – Asset Retirement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asset retirement obligations liabilities (ARO) recognized by the Company are related to the estimated costs to dismantle and abandon its producing oil and natural gas properties and related equipment.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the beginning and ending aggregate carrying amount of the ARO for the three-month periods ended March 31, 2024 and 2023 is shown in the following table.</w:t>
      </w:r>
    </w:p>
    <w:tbl>
      <w:tblPr>
        <w:tblW w:w="8591" w:type="dxa"/>
        <w:jc w:val="left"/>
        <w:tblInd w:w="0" w:type="dxa"/>
        <w:tblLayout w:type="fixed"/>
        <w:tblCellMar>
          <w:top w:w="28" w:type="dxa"/>
          <w:left w:w="28" w:type="dxa"/>
          <w:bottom w:w="28" w:type="dxa"/>
          <w:right w:w="28" w:type="dxa"/>
        </w:tblCellMar>
      </w:tblPr>
      <w:tblGrid>
        <w:gridCol w:w="1744"/>
        <w:gridCol w:w="1532"/>
        <w:gridCol w:w="1538"/>
        <w:gridCol w:w="312"/>
        <w:gridCol w:w="1362"/>
        <w:gridCol w:w="141"/>
        <w:gridCol w:w="109"/>
        <w:gridCol w:w="109"/>
        <w:gridCol w:w="109"/>
        <w:gridCol w:w="278"/>
        <w:gridCol w:w="1167"/>
        <w:gridCol w:w="190"/>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31, 2023</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beginning of year</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914,763</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911,653 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12,774</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11,157 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incurred</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8,960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1,995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settled</w:t>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(737)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(4,855)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due to translation of foreign currencies</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(3,143)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end of period</w:t>
            </w:r>
          </w:p>
        </w:tc>
        <w:tc>
          <w:tcPr>
            <w:tcW w:w="1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934,612</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921,132 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Current portion of liability </w:t>
            </w:r>
            <w:r>
              <w:rPr>
                <w:rFonts w:ascii="Avenir Next LT Pro;sans-serif" w:hAnsi="Avenir Next LT Pro;sans-serif"/>
                <w:b w:val="false"/>
                <w:color w:val="000000"/>
                <w:sz w:val="13"/>
              </w:rPr>
              <w:t>1</w:t>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(17,797)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(90,774)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Noncurrent portion of liability</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916,815</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830,358 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Included in “Other accrued liabilities” on the Consolidated Balance Sheets.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4155"/>
                <wp:effectExtent l="0" t="0" r="0" b="0"/>
                <wp:wrapNone/>
                <wp:docPr id="14" name="Frame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bookmarkStart w:id="1" w:name="ie8bd8d46e82c4a3ca580cc26993a398e_1165"/>
      <w:bookmarkEnd w:id="1"/>
      <w:r>
        <w:rPr>
          <w:rFonts w:ascii="Avenir Next LT Pro;sans-serif" w:hAnsi="Avenir Next LT Pro;sans-serif"/>
          <w:b/>
          <w:color w:val="000000"/>
          <w:sz w:val="20"/>
        </w:rPr>
        <w:t>Note H – Employee and Retiree Benefit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defined benefit pension plans that are noncontributory and cover most full-time employees. All pension plans are funded except for the U.S. and Canadian nonqualified supplemental plan and the U.S. director’s plan. All U.S. tax qualified plans meet the funding requirements of federal laws and regulations. Contributions to foreign plans meet the requirements of local laws and tax regulations. The Company also sponsors health care and life insurance benefit plans, which are not funded, that cover most retired U.S. employees. The health care benefits are contributory; the life insurance benefits are noncontributory.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table that follows provides the components of net periodic benefit expense for the three-month periods ended March 31, 2024 and 2023.</w:t>
      </w:r>
    </w:p>
    <w:tbl>
      <w:tblPr>
        <w:tblW w:w="10205" w:type="dxa"/>
        <w:jc w:val="center"/>
        <w:tblInd w:w="0" w:type="dxa"/>
        <w:tblLayout w:type="fixed"/>
        <w:tblCellMar>
          <w:top w:w="28" w:type="dxa"/>
          <w:left w:w="28" w:type="dxa"/>
          <w:bottom w:w="28" w:type="dxa"/>
          <w:right w:w="28" w:type="dxa"/>
        </w:tblCellMar>
      </w:tblPr>
      <w:tblGrid>
        <w:gridCol w:w="1443"/>
        <w:gridCol w:w="1261"/>
        <w:gridCol w:w="1265"/>
        <w:gridCol w:w="241"/>
        <w:gridCol w:w="781"/>
        <w:gridCol w:w="109"/>
        <w:gridCol w:w="109"/>
        <w:gridCol w:w="109"/>
        <w:gridCol w:w="109"/>
        <w:gridCol w:w="226"/>
        <w:gridCol w:w="706"/>
        <w:gridCol w:w="109"/>
        <w:gridCol w:w="109"/>
        <w:gridCol w:w="109"/>
        <w:gridCol w:w="109"/>
        <w:gridCol w:w="381"/>
        <w:gridCol w:w="904"/>
        <w:gridCol w:w="171"/>
        <w:gridCol w:w="171"/>
        <w:gridCol w:w="171"/>
        <w:gridCol w:w="171"/>
        <w:gridCol w:w="357"/>
        <w:gridCol w:w="833"/>
        <w:gridCol w:w="251"/>
      </w:tblGrid>
      <w:tr>
        <w:trPr/>
        <w:tc>
          <w:tcPr>
            <w:tcW w:w="144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March 31,</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Other Postretirement Benefits</w:t>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782</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Estimated defined contribution provision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Amortization of prior service cost (credit)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Recognized actuarial loss (gain)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periodic benefit expense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(28)</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5105" w:type="dxa"/>
            <w:gridSpan w:val="18"/>
            <w:tcBorders/>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7" w:type="dxa"/>
            <w:gridSpan w:val="12"/>
            <w:tcBorders/>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components of net periodic benefit expense, other than the service cost, are recorded in “Other income (loss)” in the Consolidated Statements of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three-month period ended March 31, 2024, the Company made contributions of $9.5 million to its defined benefit pension and postretirement benefit plans. Remaining funding in 2024 for the Company’s defined benefit pension and postretirement plans is anticipated to be $31.7 million.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costs resulting from all share-based and cash-based incentive plans are recognized as an expense in the Consolidated Statements of Operations using a fair value-based measurement method over the periods that the awards vest.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2020 Long-Term Incentive Plan (2020 Long-Term Plan) authorizes the Committee to make grants of the Company’s common stock to employees. These grants may be in the form of stock options (nonqualified or incentive), stock appreciation rights (SAR), restricted stock, restricted stock units (RSU), performance units, performance shares, dividend equivalents and other stock-based incentives. The 2020 Long-Term Plan expires in 2030. A total of five million shares are issuable during the term of the 2020 Long-Term Plan. Shares issued pursuant to awards granted under the 2020 Long-Term Plan may be shares that are authorized and unissued or shares that were reacquired by the Company, including shares purchased in the open market. Shares underlying awards that have been canceled, expired, forfeited or otherwise not issued under an award shall not count as shares issued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4155"/>
                <wp:effectExtent l="0" t="0" r="0" b="0"/>
                <wp:wrapNone/>
                <wp:docPr id="15" name="Frame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three months ended March 31, 2024, the Committee granted the following awards from the 2020 Long-Term Plan: </w:t>
      </w:r>
    </w:p>
    <w:tbl>
      <w:tblPr>
        <w:tblW w:w="10205" w:type="dxa"/>
        <w:jc w:val="left"/>
        <w:tblInd w:w="0" w:type="dxa"/>
        <w:tblLayout w:type="fixed"/>
        <w:tblCellMar>
          <w:top w:w="28" w:type="dxa"/>
          <w:left w:w="28" w:type="dxa"/>
          <w:bottom w:w="28" w:type="dxa"/>
          <w:right w:w="28" w:type="dxa"/>
        </w:tblCellMar>
      </w:tblPr>
      <w:tblGrid>
        <w:gridCol w:w="944"/>
        <w:gridCol w:w="828"/>
        <w:gridCol w:w="833"/>
        <w:gridCol w:w="109"/>
        <w:gridCol w:w="109"/>
        <w:gridCol w:w="109"/>
        <w:gridCol w:w="769"/>
        <w:gridCol w:w="586"/>
        <w:gridCol w:w="588"/>
        <w:gridCol w:w="109"/>
        <w:gridCol w:w="109"/>
        <w:gridCol w:w="109"/>
        <w:gridCol w:w="489"/>
        <w:gridCol w:w="388"/>
        <w:gridCol w:w="364"/>
        <w:gridCol w:w="109"/>
        <w:gridCol w:w="109"/>
        <w:gridCol w:w="109"/>
        <w:gridCol w:w="247"/>
        <w:gridCol w:w="774"/>
        <w:gridCol w:w="119"/>
        <w:gridCol w:w="109"/>
        <w:gridCol w:w="109"/>
        <w:gridCol w:w="109"/>
        <w:gridCol w:w="574"/>
        <w:gridCol w:w="574"/>
        <w:gridCol w:w="820"/>
      </w:tblGrid>
      <w:tr>
        <w:trPr/>
        <w:tc>
          <w:tcPr>
            <w:tcW w:w="94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2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(TSR)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423,640 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February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Monte Carlo</w:t>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(ROACE) </w:t>
            </w:r>
            <w:r>
              <w:rPr>
                <w:rFonts w:ascii="Avenir Next LT Pro;sans-serif" w:hAnsi="Avenir Next LT Pro;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105,980 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February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(Stock-Settled)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658,420 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February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Average Stock Price </w:t>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(Cash-Settled)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102,900 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February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 xml:space="preserve">Performance-based RSUs are tied to the achievement of TSR and ROACE performance goals and scheduled to vest over a three-year performance period. </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Time-based RSUs generally vest on the third anniversary of the date of grant.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has a Stock Plan for Non-Employee Directors that permits the issuance of restricted stock, restricted stock units and stock options or a combination thereof to the Company’s Non-Employee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currently has outstanding incentive awards issued to Directors under the 2021 Stock Plan for Non-Employee Directors (2021 NED Plan) and the 2018 Stock Plan for Non-Employee Directors. All awards on or after May 12, 2021, were made under the 2021 NED Plan.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three months ended March 31, 2024, the Committee granted the following awards to Non-Employee Directors under the 2021 NED Plan: </w:t>
      </w:r>
    </w:p>
    <w:tbl>
      <w:tblPr>
        <w:tblW w:w="10205" w:type="dxa"/>
        <w:jc w:val="left"/>
        <w:tblInd w:w="0" w:type="dxa"/>
        <w:tblLayout w:type="fixed"/>
        <w:tblCellMar>
          <w:top w:w="28" w:type="dxa"/>
          <w:left w:w="28" w:type="dxa"/>
          <w:bottom w:w="28" w:type="dxa"/>
          <w:right w:w="28" w:type="dxa"/>
        </w:tblCellMar>
      </w:tblPr>
      <w:tblGrid>
        <w:gridCol w:w="671"/>
        <w:gridCol w:w="518"/>
        <w:gridCol w:w="438"/>
        <w:gridCol w:w="109"/>
        <w:gridCol w:w="109"/>
        <w:gridCol w:w="109"/>
        <w:gridCol w:w="750"/>
        <w:gridCol w:w="662"/>
        <w:gridCol w:w="664"/>
        <w:gridCol w:w="109"/>
        <w:gridCol w:w="109"/>
        <w:gridCol w:w="109"/>
        <w:gridCol w:w="523"/>
        <w:gridCol w:w="439"/>
        <w:gridCol w:w="419"/>
        <w:gridCol w:w="109"/>
        <w:gridCol w:w="109"/>
        <w:gridCol w:w="109"/>
        <w:gridCol w:w="375"/>
        <w:gridCol w:w="1171"/>
        <w:gridCol w:w="180"/>
        <w:gridCol w:w="109"/>
        <w:gridCol w:w="109"/>
        <w:gridCol w:w="109"/>
        <w:gridCol w:w="608"/>
        <w:gridCol w:w="608"/>
        <w:gridCol w:w="871"/>
      </w:tblGrid>
      <w:tr>
        <w:trPr/>
        <w:tc>
          <w:tcPr>
            <w:tcW w:w="6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47,412 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07,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1,230 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Non-employee directors time-based RSUs are scheduled to vest on the first anniversary of the date of grant. Non-employee directors may elect to defer settlement of their vested time-based RSUs until (1) termination of service from the Board or (2) a future date selected by the director at the time of their deferral election. These unvested time-based RSUs are included in the table above, will vest in one year and become deferred RSUs.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 xml:space="preserve">Effective January 1, 2024, non-employee directors can elect to receive their annual cash retainers in the form of deferred RSUs. Director fees which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2017, the Company ceased granting stock options and SARs as a part of the Company’s long-term incentive compensation program. As of December 31, 2023 there were no outstanding stock options or SARs remaining.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Amounts recognized in the financial statements with respect to share-based plans are shown in the following table:</w:t>
      </w:r>
    </w:p>
    <w:tbl>
      <w:tblPr>
        <w:tblW w:w="8394" w:type="dxa"/>
        <w:jc w:val="left"/>
        <w:tblInd w:w="0" w:type="dxa"/>
        <w:tblLayout w:type="fixed"/>
        <w:tblCellMar>
          <w:top w:w="28" w:type="dxa"/>
          <w:left w:w="28" w:type="dxa"/>
          <w:bottom w:w="28" w:type="dxa"/>
          <w:right w:w="28" w:type="dxa"/>
        </w:tblCellMar>
      </w:tblPr>
      <w:tblGrid>
        <w:gridCol w:w="2075"/>
        <w:gridCol w:w="1825"/>
        <w:gridCol w:w="1830"/>
        <w:gridCol w:w="241"/>
        <w:gridCol w:w="781"/>
        <w:gridCol w:w="109"/>
        <w:gridCol w:w="109"/>
        <w:gridCol w:w="109"/>
        <w:gridCol w:w="109"/>
        <w:gridCol w:w="226"/>
        <w:gridCol w:w="82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Compensation charged against income before tax benefit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Related income tax benefit recognized in income</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Certain incentive compensation granted to the Company’s named executive officers, to the extent their total compensation exceeds $1.0 million per executive per year, is not eligible for a U.S. income tax deduction under the Tax Cuts and Jobs Act (2017 Tax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4155"/>
                <wp:effectExtent l="0" t="0" r="0" b="0"/>
                <wp:wrapNone/>
                <wp:docPr id="16" name="Frame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J – Earnings Per Share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 was used as the numerator in computing both basic and diluted income per common share for the three-month periods ended March 31, 2024 and 2023. The following table reports the weighted-average shares outstanding used for these computations.</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744"/>
        <w:gridCol w:w="1534"/>
        <w:gridCol w:w="1536"/>
        <w:gridCol w:w="109"/>
        <w:gridCol w:w="109"/>
        <w:gridCol w:w="333"/>
        <w:gridCol w:w="333"/>
        <w:gridCol w:w="333"/>
        <w:gridCol w:w="333"/>
        <w:gridCol w:w="1008"/>
        <w:gridCol w:w="523"/>
        <w:gridCol w:w="349"/>
        <w:gridCol w:w="109"/>
        <w:gridCol w:w="109"/>
        <w:gridCol w:w="109"/>
        <w:gridCol w:w="683"/>
        <w:gridCol w:w="683"/>
        <w:gridCol w:w="268"/>
      </w:tblGrid>
      <w:tr>
        <w:trPr/>
        <w:tc>
          <w:tcPr>
            <w:tcW w:w="174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961" w:type="dxa"/>
            <w:gridSpan w:val="6"/>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 method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152,664,422</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155,856,509 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Dilutive stock options and restricted stock units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1,152,204</w:t>
            </w: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1,532,057 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 method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153,816,626</w:t>
            </w:r>
            <w:r>
              <w:rPr>
                <w:color w:val="000000"/>
              </w:rPr>
              <w:t>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157,388,566 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K – Income Taxes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effective income tax rate is calculated as the amount of income tax expense (benefit) divided by income (loss) from continuing operations before income taxes. For the three-month periods ended March 31, 2024 and 2023, the Company’s effective income tax rates were as follows:</w:t>
      </w:r>
    </w:p>
    <w:tbl>
      <w:tblPr>
        <w:tblW w:w="4989" w:type="dxa"/>
        <w:jc w:val="left"/>
        <w:tblInd w:w="0" w:type="dxa"/>
        <w:tblLayout w:type="fixed"/>
        <w:tblCellMar>
          <w:top w:w="28" w:type="dxa"/>
          <w:left w:w="28" w:type="dxa"/>
          <w:bottom w:w="28" w:type="dxa"/>
          <w:right w:w="28" w:type="dxa"/>
        </w:tblCellMar>
      </w:tblPr>
      <w:tblGrid>
        <w:gridCol w:w="1135"/>
        <w:gridCol w:w="996"/>
        <w:gridCol w:w="1003"/>
        <w:gridCol w:w="259"/>
        <w:gridCol w:w="259"/>
        <w:gridCol w:w="261"/>
        <w:gridCol w:w="109"/>
        <w:gridCol w:w="109"/>
        <w:gridCol w:w="109"/>
        <w:gridCol w:w="218"/>
        <w:gridCol w:w="218"/>
        <w:gridCol w:w="313"/>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months ended March 31,</w:t>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20.1%</w:t>
            </w:r>
          </w:p>
        </w:tc>
      </w:tr>
    </w:tbl>
    <w:p>
      <w:pPr>
        <w:pStyle w:val="TextBody"/>
        <w:bidi w:val="0"/>
        <w:spacing w:lineRule="auto" w:line="26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three-month periods ended March 31, 2024 and March 31, 2023, was below the U.S. statutory tax rate of 21% primarily due to no tax applied to the pre-tax income of the noncontrolling interest in MP GOM, and partially offset by several factors, including: the effects of income generated in foreign tax jurisdictions, certain of which have income tax rates higher than the U.S. Federal rate; U.S. state tax expense; and certain expenses, including exploration and other expenses in certain foreign jurisdictions, for which no income tax benefits are currently available.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March 31, 2024, the earliest years remaining open for audit and/or settlement in our major taxing jurisdictions are as follows: U.S. – 2016; Canada – 2016; and Malaysia – 2017. The Company has retained certain possible liabilities and rights to income tax receivables relating to Malaysia for the years prior to 2019.</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L – Financial Instruments and Risk Management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4155"/>
                <wp:effectExtent l="0" t="0" r="0" b="0"/>
                <wp:wrapNone/>
                <wp:docPr id="17" name="Frame1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Commodity Price Risks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During the first quarter of 2024 and 2023, the Company did not have any crude oil derivative contracts. </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Foreign Currency Exchange Risks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Company is subject to foreign currency exchange risk associated with operations in countries outside the U.S. The Company had no foreign currency exchange derivatives outstanding at March 31, 2024 and 2023.</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Fair Values – Recurring</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fair value measurements for these assets and liabilities at March 31, 2024 and December 31, 2023, are shown in the following table.</w:t>
      </w:r>
    </w:p>
    <w:tbl>
      <w:tblPr>
        <w:tblW w:w="11480" w:type="dxa"/>
        <w:jc w:val="left"/>
        <w:tblInd w:w="0" w:type="dxa"/>
        <w:tblLayout w:type="fixed"/>
        <w:tblCellMar>
          <w:top w:w="28" w:type="dxa"/>
          <w:left w:w="28" w:type="dxa"/>
          <w:bottom w:w="28" w:type="dxa"/>
          <w:right w:w="28" w:type="dxa"/>
        </w:tblCellMar>
      </w:tblPr>
      <w:tblGrid>
        <w:gridCol w:w="556"/>
        <w:gridCol w:w="397"/>
        <w:gridCol w:w="398"/>
        <w:gridCol w:w="109"/>
        <w:gridCol w:w="109"/>
        <w:gridCol w:w="109"/>
        <w:gridCol w:w="241"/>
        <w:gridCol w:w="916"/>
        <w:gridCol w:w="109"/>
        <w:gridCol w:w="109"/>
        <w:gridCol w:w="109"/>
        <w:gridCol w:w="109"/>
        <w:gridCol w:w="256"/>
        <w:gridCol w:w="303"/>
        <w:gridCol w:w="117"/>
        <w:gridCol w:w="109"/>
        <w:gridCol w:w="109"/>
        <w:gridCol w:w="109"/>
        <w:gridCol w:w="256"/>
        <w:gridCol w:w="303"/>
        <w:gridCol w:w="117"/>
        <w:gridCol w:w="109"/>
        <w:gridCol w:w="109"/>
        <w:gridCol w:w="109"/>
        <w:gridCol w:w="241"/>
        <w:gridCol w:w="916"/>
        <w:gridCol w:w="109"/>
        <w:gridCol w:w="109"/>
        <w:gridCol w:w="109"/>
        <w:gridCol w:w="109"/>
        <w:gridCol w:w="226"/>
        <w:gridCol w:w="826"/>
        <w:gridCol w:w="109"/>
        <w:gridCol w:w="109"/>
        <w:gridCol w:w="109"/>
        <w:gridCol w:w="109"/>
        <w:gridCol w:w="229"/>
        <w:gridCol w:w="290"/>
        <w:gridCol w:w="112"/>
        <w:gridCol w:w="109"/>
        <w:gridCol w:w="109"/>
        <w:gridCol w:w="109"/>
        <w:gridCol w:w="229"/>
        <w:gridCol w:w="290"/>
        <w:gridCol w:w="112"/>
        <w:gridCol w:w="109"/>
        <w:gridCol w:w="109"/>
        <w:gridCol w:w="109"/>
        <w:gridCol w:w="226"/>
        <w:gridCol w:w="826"/>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Nonqualified employee savings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As of March 31, 2024 and December 31, 2023, there were no outstanding commodity WTI crude oil swaps and collars contracts subject to fair value measurement, nor were there any commodity swaps and collars liabilities.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In 2019, the Company acquired strategic deepwater Gulf of Mexico assets from LLOG Exploration Offshore L.L.C. and LLOG Bluewater Holdings, L.L.C. (LLOG). Under the terms of the transaction, in addition to the consideration paid, Murphy had an obligation to pay additional contingent consideration of up to $200 million in the event that certain revenue thresholds were exceeded between 2019 and 2022; and $50 million following first oil from certain development projects. The revenue threshold was not exceeded for 2019 or 2020; however, the threshold was met in 2021 and 2022.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In 2018, the Company, through a subsidiary, acquired Gulf of Mexico producing assets from Petrobras America Inc. (PAI), a subsidiary of Petróleo Brasileiro S.A. Under the terms of the transaction, in addition to the consideration paid, Murphy had an obligation to pay additional contingent consideration of up to $150 million if certain price and production thresholds were exceeded beginning in 2019 through 2025; and $50 million carry for PAI development costs in the St. Malo Field if certain enhanced oil recovery projects were undertaken. The price and production thresholds were not exceeded for 2019 and 2020; however, the thresholds were met in 2021 and 2022. As of December 31, 2021, Murphy had completely funded the carried interest.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As of the end of the second quarter of 2023, the Company had no remaining liabilities relating to prior acquisitions from PAI and LLOG. During the three months ended March 31, 2023, the Company paid a total of $171.7 million in contingent consideration payments. In the Consolidated Statements of Cash Flows, $124.0 million is shown in “Operating Activities” and $47.7 million is shown in “Financing Activities”.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Company offsets certain assets and liabilities related to derivative contracts when the legal right of offset exists. There were no offsetting positions recorded at March 31, 2024 and December 31, 2023.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following table presents the carrying amounts and estimated fair values of financial instruments held by the Company at March 31, 2024 and December 31, 2023. The fair value of a financial instrument is the amount at which the instrument could be exchanged in a current transaction between willing parties. The table excludes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4155"/>
                <wp:effectExtent l="0" t="0" r="0" b="0"/>
                <wp:wrapNone/>
                <wp:docPr id="18" name="Frame1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was nominal.</w:t>
      </w:r>
    </w:p>
    <w:tbl>
      <w:tblPr>
        <w:tblW w:w="9945" w:type="dxa"/>
        <w:jc w:val="left"/>
        <w:tblInd w:w="0" w:type="dxa"/>
        <w:tblLayout w:type="fixed"/>
        <w:tblCellMar>
          <w:top w:w="28" w:type="dxa"/>
          <w:left w:w="28" w:type="dxa"/>
          <w:bottom w:w="28" w:type="dxa"/>
          <w:right w:w="28" w:type="dxa"/>
        </w:tblCellMar>
      </w:tblPr>
      <w:tblGrid>
        <w:gridCol w:w="1005"/>
        <w:gridCol w:w="884"/>
        <w:gridCol w:w="886"/>
        <w:gridCol w:w="241"/>
        <w:gridCol w:w="1261"/>
        <w:gridCol w:w="109"/>
        <w:gridCol w:w="109"/>
        <w:gridCol w:w="109"/>
        <w:gridCol w:w="109"/>
        <w:gridCol w:w="241"/>
        <w:gridCol w:w="1261"/>
        <w:gridCol w:w="109"/>
        <w:gridCol w:w="109"/>
        <w:gridCol w:w="109"/>
        <w:gridCol w:w="109"/>
        <w:gridCol w:w="226"/>
        <w:gridCol w:w="1126"/>
        <w:gridCol w:w="109"/>
        <w:gridCol w:w="109"/>
        <w:gridCol w:w="109"/>
        <w:gridCol w:w="109"/>
        <w:gridCol w:w="226"/>
        <w:gridCol w:w="112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w:t>
              <w:br/>
              <w:t>Value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Financial liabilities:</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and long-term debt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1,329,399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1,284,012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1,265,185 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M – Accumulated Other Comprehensive Loss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components of “Accumulated other comprehensive loss” on the Consolidated Balance Sheets at December 31, 2023 and March 31, 2024 and the changes during the three-month period ended March 31, 2024 are presented net of taxes in the following table.</w:t>
      </w:r>
    </w:p>
    <w:tbl>
      <w:tblPr>
        <w:tblW w:w="10205" w:type="dxa"/>
        <w:jc w:val="left"/>
        <w:tblInd w:w="0" w:type="dxa"/>
        <w:tblLayout w:type="fixed"/>
        <w:tblCellMar>
          <w:top w:w="28" w:type="dxa"/>
          <w:left w:w="28" w:type="dxa"/>
          <w:bottom w:w="28" w:type="dxa"/>
          <w:right w:w="28" w:type="dxa"/>
        </w:tblCellMar>
      </w:tblPr>
      <w:tblGrid>
        <w:gridCol w:w="1657"/>
        <w:gridCol w:w="1351"/>
        <w:gridCol w:w="1354"/>
        <w:gridCol w:w="265"/>
        <w:gridCol w:w="1269"/>
        <w:gridCol w:w="119"/>
        <w:gridCol w:w="109"/>
        <w:gridCol w:w="109"/>
        <w:gridCol w:w="109"/>
        <w:gridCol w:w="298"/>
        <w:gridCol w:w="1337"/>
        <w:gridCol w:w="136"/>
        <w:gridCol w:w="109"/>
        <w:gridCol w:w="109"/>
        <w:gridCol w:w="109"/>
        <w:gridCol w:w="109"/>
        <w:gridCol w:w="109"/>
        <w:gridCol w:w="241"/>
        <w:gridCol w:w="1149"/>
        <w:gridCol w:w="157"/>
      </w:tblGrid>
      <w:tr>
        <w:trPr/>
        <w:tc>
          <w:tcPr>
            <w:tcW w:w="165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Foreign</w:t>
              <w:br/>
              <w:t>Currency</w:t>
              <w:br/>
              <w:t>Translation</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Retirement</w:t>
              <w:br/>
              <w:t>and</w:t>
              <w:br/>
              <w:t>Postretirement</w:t>
              <w:br/>
              <w:t>Benefit Plan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December 31, 2023</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(381,632)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(139,485)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(521,117)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Components of other comprehensive income (loss):</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Before reclassifications to income</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(35,528)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(35,528)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income ¹</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other comprehensive income (loss)</w:t>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(35,528)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(34,618)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Balance at March 31, 2024</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(417,160)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(138,575)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(555,735)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shd w:fill="FFFFFF" w:val="clear"/>
        </w:rPr>
        <w:t>1</w:t>
      </w:r>
      <w:r>
        <w:rPr>
          <w:color w:val="000000"/>
          <w:shd w:fill="FFFFFF" w:val="clear"/>
        </w:rPr>
        <w:t xml:space="preserve">  </w:t>
      </w:r>
      <w:r>
        <w:rPr>
          <w:rFonts w:ascii="Avenir Next LT Pro;sans-serif" w:hAnsi="Avenir Next LT Pro;sans-serif"/>
          <w:b w:val="false"/>
          <w:color w:val="000000"/>
          <w:sz w:val="18"/>
          <w:shd w:fill="FFFFFF" w:val="clear"/>
        </w:rPr>
        <w:t xml:space="preserve">Reclassifications before taxes of $1.2 million are included in the computation of net periodic benefit expense for the three-month period ended March 31, 2024. See </w:t>
      </w:r>
      <w:hyperlink w:anchor="ic14b27ef3a644d4aa2b1bbd95cd36467_82">
        <w:r>
          <w:rPr>
            <w:rStyle w:val="InternetLink"/>
            <w:rFonts w:ascii="Avenir Next LT Pro;sans-serif" w:hAnsi="Avenir Next LT Pro;sans-serif"/>
            <w:b w:val="false"/>
            <w:color w:val="0000FF"/>
            <w:sz w:val="18"/>
            <w:u w:val="single"/>
            <w:shd w:fill="FFFFFF" w:val="clear"/>
          </w:rPr>
          <w:t>Note H</w:t>
        </w:r>
      </w:hyperlink>
      <w:r>
        <w:rPr>
          <w:color w:val="000000"/>
          <w:shd w:fill="FFFFFF" w:val="clear"/>
        </w:rPr>
        <w:t xml:space="preserve"> </w:t>
      </w:r>
      <w:r>
        <w:rPr>
          <w:rFonts w:ascii="Avenir Next LT Pro;sans-serif" w:hAnsi="Avenir Next LT Pro;sans-serif"/>
          <w:b w:val="false"/>
          <w:color w:val="000000"/>
          <w:sz w:val="18"/>
          <w:shd w:fill="FFFFFF" w:val="clear"/>
        </w:rPr>
        <w:t>for additional information. Related income taxes of $0.3 million are included in "Income tax expense” on the Consolidated Statements of Operations for the three-month period ended March 31, 2024.</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4155"/>
                <wp:effectExtent l="0" t="0" r="0" b="0"/>
                <wp:wrapNone/>
                <wp:docPr id="19" name="Frame1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v:textbox>
                <w10:wrap type="none"/>
              </v:rect>
            </w:pict>
          </mc:Fallback>
        </mc:AlternateContent>
      </w:r>
    </w:p>
    <w:p>
      <w:pPr>
        <w:pStyle w:val="TextBody"/>
        <w:bidi w:val="0"/>
        <w:spacing w:lineRule="auto" w:line="417" w:before="80" w:after="283"/>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and earnings have been and may be affected by various forms of governmental action both in the U.S. and throughout the world. Examples of such governmental action include, but are by no means limited to: tax legislation changes, including tax rate changes, and retroactive tax claims; royalty and revenue sharing increases; import and export controls; price controls; currency controls; allocation of supplies of crude oil and petroleum products and other goods; expropriation of property; restrictions and preferences affecting the issuance of oil and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ENVIRONMENTAL MATTERS – Murphy and other companies in the oil and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Greenhouse Gas (GHG) emissions; wildlife, habitat and water protection; the placement, operation and decommissioning of production equipment; and the health and safety of our employees, contractors and communities where our operations are located. These laws and regulations also generally require permits for existing operations, as well as the construction or development of new operations and the decommissioning of facilities once production has ceased.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this item, the Company will be using a threshold of $1.0 million for such proceedings and the Company is not aware of environmental legal proceedings likely to exceed this $1.0 million threshold.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continues to be an increase in regulatory oversight of the oil and gas industry at the federal level, with a focus on climate change and GHG emissions (including methane emissions). For example, federal methane regulations currently pending or enacted that would, among other things, require increased leak detection monitoring and repairs, stringent restrictions on venting and flaring, a new third-party monitoring program, and new fees on methane emissions from petroleum and natural gas facilities. In addition, there have been a number of executive orders issued that address climate change, including creation of climate-related task forces, directives to federal agencies to procure carbon-free electricity, and a goal of a carbon pollution-free power sector by 2035 and a net-zero emissions U.S. economy by 2050. Executive orders have also been issued related to oil and gas activities on federal lands, infrastructure and environmental justice. In addition, an international climate agreement (the Paris Agreement) was agreed to at the 2015 United Nations Framework Convention on Climate Change in Paris, France. The Paris Agreement entered into force in November 2016. Although the U.S. officially withdrew from the Paris Agreement on November 4, 2020, the U.S. has since rejoined the Paris Agreement, which became effective for the U.S. on February 19, 2021.</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4155"/>
                <wp:effectExtent l="0" t="0" r="0" b="0"/>
                <wp:wrapNone/>
                <wp:docPr id="20" name="Frame1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O – Common Stock Issued and Outstanding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Activity in the number of shares of common stock issued and outstanding for the three-month periods ended March 31, 2024 and 2023 is shown below.</w:t>
      </w:r>
    </w:p>
    <w:tbl>
      <w:tblPr>
        <w:tblW w:w="7849" w:type="dxa"/>
        <w:jc w:val="left"/>
        <w:tblInd w:w="0" w:type="dxa"/>
        <w:tblLayout w:type="fixed"/>
        <w:tblCellMar>
          <w:top w:w="28" w:type="dxa"/>
          <w:left w:w="28" w:type="dxa"/>
          <w:bottom w:w="28" w:type="dxa"/>
          <w:right w:w="28" w:type="dxa"/>
        </w:tblCellMar>
      </w:tblPr>
      <w:tblGrid>
        <w:gridCol w:w="1168"/>
        <w:gridCol w:w="1026"/>
        <w:gridCol w:w="1031"/>
        <w:gridCol w:w="765"/>
        <w:gridCol w:w="766"/>
        <w:gridCol w:w="606"/>
        <w:gridCol w:w="109"/>
        <w:gridCol w:w="109"/>
        <w:gridCol w:w="109"/>
        <w:gridCol w:w="683"/>
        <w:gridCol w:w="683"/>
        <w:gridCol w:w="531"/>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Number of shares outstanding</w:t>
            </w:r>
            <w:r>
              <w:rPr>
                <w:rFonts w:ascii="Avenir Next LT Pro;sans-serif" w:hAnsi="Avenir Next LT Pro;sans-serif"/>
                <w:b w:val="false"/>
                <w:color w:val="000000"/>
                <w:sz w:val="20"/>
              </w:rPr>
              <w:t>)</w:t>
            </w:r>
          </w:p>
        </w:tc>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of period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152,748,642</w:t>
            </w:r>
            <w:r>
              <w:rPr>
                <w:color w:val="000000"/>
              </w:rPr>
              <w:t>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155,467,319 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Restricted stock awards </w:t>
            </w:r>
            <w:r>
              <w:rPr>
                <w:rFonts w:ascii="Avenir Next LT Pro;sans-serif" w:hAnsi="Avenir Next LT Pro;sans-serif"/>
                <w:b w:val="false"/>
                <w:color w:val="000000"/>
                <w:sz w:val="13"/>
              </w:rPr>
              <w:t>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1,100,759</w:t>
            </w: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630,756 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Treasury shares purchased </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(1,273,245)</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End of period</w:t>
            </w:r>
          </w:p>
        </w:tc>
        <w:tc>
          <w:tcPr>
            <w:tcW w:w="15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152,576,156</w:t>
            </w:r>
            <w:r>
              <w:rPr>
                <w:color w:val="000000"/>
              </w:rPr>
              <w:t> </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156,098,075 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Shares issued upon exercise of stock options and award of restricted stock are less withholding for statutory income taxes owed upon issuance of shares.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August 4, 2022, the Company’s Board of Directors authorized a share repurchase program of up to $300 million of the Company’s common stock. On October 30, 2023, the Company authorized an increase to the share repurchase program by an additional $300 million, bringing the total amount allowed to be repurchased under the program to $600 million. This repurchase program has no time limit and may be suspended or discontinued completely at any time without prior notice as determined by the Company at its discretion and dependent upon a variety of factors. The share repurchase program is a component of the Company’s capital allocation framework, the details of which can be found as part of the Company’s Form 8-K filed on August 4, 2022.</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March 31, 2024, the Company repurchased 1.3 million shares of its common stock under the share repurchase program for $50.0 million, including excise taxes, commissions and fees. As of March 31, 2024, the Company has $400 million of its common stock remaining available to repurchase under the program.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4155"/>
                <wp:effectExtent l="0" t="0" r="0" b="0"/>
                <wp:wrapNone/>
                <wp:docPr id="21" name="Frame2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about business segments and geographic operations is reported in the following table. For geographic purposes, revenues are attributed to the country in which the sale occurs. Corporate, including interest income, other gains and losses, interest expense and unallocated overhead, is shown in the table to reconcile the business segments to consolidated totals. The Company has accounted for its former United Kingdom (U.K.), Malaysia, and U.S. refining and marketing operations as discontinued operations for all periods presented.</w:t>
      </w:r>
    </w:p>
    <w:tbl>
      <w:tblPr>
        <w:tblW w:w="10205" w:type="dxa"/>
        <w:jc w:val="left"/>
        <w:tblInd w:w="0" w:type="dxa"/>
        <w:tblLayout w:type="fixed"/>
        <w:tblCellMar>
          <w:top w:w="28" w:type="dxa"/>
          <w:left w:w="28" w:type="dxa"/>
          <w:bottom w:w="28" w:type="dxa"/>
          <w:right w:w="28" w:type="dxa"/>
        </w:tblCellMar>
      </w:tblPr>
      <w:tblGrid>
        <w:gridCol w:w="887"/>
        <w:gridCol w:w="462"/>
        <w:gridCol w:w="465"/>
        <w:gridCol w:w="109"/>
        <w:gridCol w:w="109"/>
        <w:gridCol w:w="109"/>
        <w:gridCol w:w="318"/>
        <w:gridCol w:w="1309"/>
        <w:gridCol w:w="144"/>
        <w:gridCol w:w="109"/>
        <w:gridCol w:w="109"/>
        <w:gridCol w:w="109"/>
        <w:gridCol w:w="301"/>
        <w:gridCol w:w="872"/>
        <w:gridCol w:w="121"/>
        <w:gridCol w:w="121"/>
        <w:gridCol w:w="121"/>
        <w:gridCol w:w="121"/>
        <w:gridCol w:w="269"/>
        <w:gridCol w:w="872"/>
        <w:gridCol w:w="121"/>
        <w:gridCol w:w="109"/>
        <w:gridCol w:w="109"/>
        <w:gridCol w:w="109"/>
        <w:gridCol w:w="267"/>
        <w:gridCol w:w="774"/>
        <w:gridCol w:w="119"/>
        <w:gridCol w:w="119"/>
        <w:gridCol w:w="119"/>
        <w:gridCol w:w="119"/>
        <w:gridCol w:w="247"/>
        <w:gridCol w:w="774"/>
        <w:gridCol w:w="182"/>
      </w:tblGrid>
      <w:tr>
        <w:trPr/>
        <w:tc>
          <w:tcPr>
            <w:tcW w:w="88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 Assets at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Three Months Ended March 31, 2023</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External</w:t>
              <w:br/>
              <w:t>Revenues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External</w:t>
              <w:br/>
              <w:t>Revenues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Income</w:t>
              <w:br/>
              <w:t>(Loss)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 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7,030.7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659.6</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134.5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2,059.1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136.9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19.4</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210.2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9,300.0</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796.4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143.1</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242.7 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368.0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9,668.0</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796.4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115.6</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214.0 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9,668.7</w:t>
            </w: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796.4</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114.7</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214.3 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047" w:type="dxa"/>
            <w:gridSpan w:val="12"/>
            <w:tcBorders/>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 xml:space="preserve">Additional detail about the results of oil and natural gas operations is presented in the Exploration and Production Continuing Operations table on page </w:t>
      </w:r>
      <w:hyperlink w:anchor="ic14b27ef3a644d4aa2b1bbd95cd36467_148">
        <w:r>
          <w:rPr>
            <w:rStyle w:val="InternetLink"/>
            <w:rFonts w:ascii="Avenir Next LT Pro;sans-serif" w:hAnsi="Avenir Next LT Pro;sans-serif"/>
            <w:b w:val="false"/>
            <w:color w:val="0000FF"/>
            <w:sz w:val="18"/>
            <w:u w:val="single"/>
          </w:rPr>
          <w:t>23</w:t>
        </w:r>
      </w:hyperlink>
      <w:r>
        <w:rPr>
          <w:rFonts w:ascii="Avenir Next LT Pro;sans-serif" w:hAnsi="Avenir Next LT Pro;sans-serif"/>
          <w:b w:val="false"/>
          <w:color w:val="000000"/>
          <w:sz w:val="18"/>
        </w:rPr>
        <w:t>.</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4155"/>
                <wp:effectExtent l="0" t="0" r="0" b="0"/>
                <wp:wrapNone/>
                <wp:docPr id="22" name="Frame2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Management’s Discussion and Analysis of Financial Condition and Results of Operations (MD&amp;A) should be read together with the unaudited consolidated financial statements and accompanying notes for the quarter ended March 31, 2024 included under Item 1 Financial Statements of this Form 10-Q and the audited consolidated financial statements and related notes and MD&amp;A included in Item 8 and 7, respectively, of our Annual Report on Form 10-K for the year ended December 31, 2023. This MD&amp;A includes forward-looking statements that involve certain risks and uncertainties. See Forward-Looking Statements at the end of this section.</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Overview</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 Oil Corporation is a global oil and gas exploration and production company, with both onshore and offshore operations and properties. The Company produces crude oil, natural gas and natural gas liquids primarily in the U.S. and Canada and explores for crude oil, natural gas and natural gas liquids in targeted areas worldwide. Our production in the U.S. is primarily from fields in the Gulf of Mexico and in the Eagle Ford Shale area of South Texas. In Canada, we produce from the Tupper Montney and Kaybob Duvernay fields in British Columbia and Alberta, and we produce from the Hibernia and Terra Nova fields, located offshore Newfoundland in the Jeanne d’Arc Basin.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Significant Company financial and operational highlights during the first quarter of 2024 were as follows: </w:t>
      </w:r>
    </w:p>
    <w:p>
      <w:pPr>
        <w:pStyle w:val="TextBody"/>
        <w:bidi w:val="0"/>
        <w:spacing w:lineRule="auto" w:line="288" w:before="120" w:after="120"/>
        <w:ind w:left="0" w:right="0" w:hanging="360"/>
        <w:jc w:val="left"/>
        <w:rPr/>
      </w:pPr>
      <w:r>
        <w:rPr>
          <w:color w:val="000000"/>
          <w:shd w:fill="FFFFFF" w:val="clear"/>
        </w:rPr>
        <w:t>•</w:t>
      </w:r>
      <w:r>
        <w:rPr>
          <w:rFonts w:ascii="Avenir Next LT Pro;sans-serif" w:hAnsi="Avenir Next LT Pro;sans-serif"/>
          <w:b w:val="false"/>
          <w:color w:val="000000"/>
          <w:sz w:val="20"/>
          <w:shd w:fill="FFFFFF" w:val="clear"/>
        </w:rPr>
        <w:t xml:space="preserve">Production during the quarter was </w:t>
      </w:r>
      <w:r>
        <w:rPr>
          <w:rFonts w:ascii="Avenir Next LT Pro;sans-serif" w:hAnsi="Avenir Next LT Pro;sans-serif"/>
          <w:b w:val="false"/>
          <w:color w:val="000000"/>
          <w:sz w:val="20"/>
        </w:rPr>
        <w:t>176,671</w:t>
      </w:r>
      <w:r>
        <w:rPr>
          <w:color w:val="000000"/>
          <w:shd w:fill="FFFFFF" w:val="clear"/>
        </w:rPr>
        <w:t xml:space="preserve"> </w:t>
      </w:r>
      <w:r>
        <w:rPr>
          <w:rFonts w:ascii="Avenir Next LT Pro;sans-serif" w:hAnsi="Avenir Next LT Pro;sans-serif"/>
          <w:b w:val="false"/>
          <w:color w:val="000000"/>
          <w:sz w:val="20"/>
          <w:shd w:fill="FFFFFF" w:val="clear"/>
        </w:rPr>
        <w:t xml:space="preserve">barrels of oil equivalent per day (including NCI). </w:t>
      </w:r>
    </w:p>
    <w:p>
      <w:pPr>
        <w:pStyle w:val="TextBody"/>
        <w:bidi w:val="0"/>
        <w:spacing w:lineRule="auto" w:line="288" w:before="120" w:after="120"/>
        <w:ind w:left="0" w:right="0" w:hanging="360"/>
        <w:jc w:val="left"/>
        <w:rPr/>
      </w:pPr>
      <w:r>
        <w:rPr>
          <w:color w:val="000000"/>
          <w:shd w:fill="FFFFFF" w:val="clear"/>
        </w:rPr>
        <w:t>•</w:t>
      </w:r>
      <w:r>
        <w:rPr>
          <w:rFonts w:ascii="Avenir Next LT Pro;sans-serif" w:hAnsi="Avenir Next LT Pro;sans-serif"/>
          <w:b w:val="false"/>
          <w:color w:val="000000"/>
          <w:sz w:val="20"/>
          <w:shd w:fill="FFFFFF" w:val="clear"/>
        </w:rPr>
        <w:t>Exploration areas expanded with the award of six deepwater blocks from Gulf of Mexico Federal Lease Sale 261</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 xml:space="preserve">Repurchased shares of our common stock under the share repurchase program for $50.0 million, including excise taxes, commissions and fees.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Corporation’s net income from continuing operations, including noncontrolling interest, for the three months ended March 31, 2024 was $115.6 million, a decrease of $98.5 million compared to the same period of 2023. Lower net income from continuing operations was largely driven by higher lease operating expenses ($34.3 million), higher exploration expenses ($34.2 million), and higher impairment of assets ($34.5 million), partially offset by lower income tax expense ($23.8 million). Higher lease operating expenses related to workovers in the Gulf of Mexico and ramp up of production from the Terra Nova field in Canada Offshore following the completion of the asset life extension project in the fourth quarter of 2023. Higher exploration costs were the result of dry hole expense for the previously suspended exploration costs for Hoffe Park #1 (Mississippi Canyon166) and additional costs related to Oso #1 (Atwater Valley 138) exploration well in the Gulf of Mexico. The Mississippi Canyon Block 166 lease will expire in 2024 and there are no plans for additional exploration activities. The Oso #1 (Atwater Valley 138) exploration well encountered non-commercial hydrocarbons in the fourth quarter of 2023 and operations finished in the first quarter of 2024. Lower income tax expense was the result of lower pre-tax income.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the three months ended March 31, 2024, total hydrocarbon production was 176,671 barrels of oil equivalent per day, a decrease of 2% compared to the same period in 2023. The decrease was principally due to lower production in the Gulf of Mexico due to increased downtime for workovers, which was substantially offset by an increase in volumes at Tupper Montney from new well production and lower royalty rates and an increase in production from the Terra Nova field in Canada Offshore due to the restart of production.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4155"/>
                <wp:effectExtent l="0" t="0" r="0" b="0"/>
                <wp:wrapNone/>
                <wp:docPr id="23" name="Frame2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Results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Net income (loss) by type of business and geographic segment is presented below.</w:t>
      </w:r>
    </w:p>
    <w:tbl>
      <w:tblPr>
        <w:tblW w:w="8964" w:type="dxa"/>
        <w:jc w:val="left"/>
        <w:tblInd w:w="0" w:type="dxa"/>
        <w:tblLayout w:type="fixed"/>
        <w:tblCellMar>
          <w:top w:w="28" w:type="dxa"/>
          <w:left w:w="28" w:type="dxa"/>
          <w:bottom w:w="28" w:type="dxa"/>
          <w:right w:w="28" w:type="dxa"/>
        </w:tblCellMar>
      </w:tblPr>
      <w:tblGrid>
        <w:gridCol w:w="1793"/>
        <w:gridCol w:w="1581"/>
        <w:gridCol w:w="1591"/>
        <w:gridCol w:w="109"/>
        <w:gridCol w:w="109"/>
        <w:gridCol w:w="191"/>
        <w:gridCol w:w="191"/>
        <w:gridCol w:w="423"/>
        <w:gridCol w:w="1372"/>
        <w:gridCol w:w="191"/>
        <w:gridCol w:w="109"/>
        <w:gridCol w:w="109"/>
        <w:gridCol w:w="109"/>
        <w:gridCol w:w="226"/>
        <w:gridCol w:w="70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3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 (Loss)</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134.5</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19.4</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143.1</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115.6</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114.7</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24.7</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90.0</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The Company has presented its former U.K. and U.S. refining and marketing operations as discontinued operations in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4155"/>
                <wp:effectExtent l="0" t="0" r="0" b="0"/>
                <wp:wrapNone/>
                <wp:docPr id="24" name="Frame2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Exploration and Production Continuing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section of Exploration and Production (E&amp;P) continuing operations excludes the Corporate segment, unless otherwise noted.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are summarized income statements for E&amp;P continuing operations:</w:t>
      </w:r>
    </w:p>
    <w:tbl>
      <w:tblPr>
        <w:tblW w:w="9425" w:type="dxa"/>
        <w:jc w:val="left"/>
        <w:tblInd w:w="0" w:type="dxa"/>
        <w:tblLayout w:type="fixed"/>
        <w:tblCellMar>
          <w:top w:w="28" w:type="dxa"/>
          <w:left w:w="28" w:type="dxa"/>
          <w:bottom w:w="28" w:type="dxa"/>
          <w:right w:w="28" w:type="dxa"/>
        </w:tblCellMar>
      </w:tblPr>
      <w:tblGrid>
        <w:gridCol w:w="1962"/>
        <w:gridCol w:w="1727"/>
        <w:gridCol w:w="1740"/>
        <w:gridCol w:w="109"/>
        <w:gridCol w:w="109"/>
        <w:gridCol w:w="164"/>
        <w:gridCol w:w="164"/>
        <w:gridCol w:w="164"/>
        <w:gridCol w:w="164"/>
        <w:gridCol w:w="364"/>
        <w:gridCol w:w="1181"/>
        <w:gridCol w:w="164"/>
        <w:gridCol w:w="109"/>
        <w:gridCol w:w="109"/>
        <w:gridCol w:w="109"/>
        <w:gridCol w:w="226"/>
        <w:gridCol w:w="706"/>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794.6</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Sales of purchased natural gas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796.4</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234.3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56.5</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of purchased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208.3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Impairments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34.5</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12.7</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6.1</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Results of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180.5</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 provisions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Results of operations (excluding Corporate segment)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143.1</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4155"/>
                <wp:effectExtent l="0" t="0" r="0" b="0"/>
                <wp:wrapNone/>
                <wp:docPr id="25" name="Frame2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Pricing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the weighted average sales prices for the three-month periods ended March 31, 2024 and 2023.</w:t>
      </w:r>
    </w:p>
    <w:tbl>
      <w:tblPr>
        <w:tblW w:w="8481" w:type="dxa"/>
        <w:jc w:val="left"/>
        <w:tblInd w:w="0" w:type="dxa"/>
        <w:tblLayout w:type="fixed"/>
        <w:tblCellMar>
          <w:top w:w="28" w:type="dxa"/>
          <w:left w:w="28" w:type="dxa"/>
          <w:bottom w:w="28" w:type="dxa"/>
          <w:right w:w="28" w:type="dxa"/>
        </w:tblCellMar>
      </w:tblPr>
      <w:tblGrid>
        <w:gridCol w:w="1626"/>
        <w:gridCol w:w="1425"/>
        <w:gridCol w:w="1434"/>
        <w:gridCol w:w="109"/>
        <w:gridCol w:w="109"/>
        <w:gridCol w:w="164"/>
        <w:gridCol w:w="164"/>
        <w:gridCol w:w="164"/>
        <w:gridCol w:w="164"/>
        <w:gridCol w:w="364"/>
        <w:gridCol w:w="1181"/>
        <w:gridCol w:w="164"/>
        <w:gridCol w:w="109"/>
        <w:gridCol w:w="109"/>
        <w:gridCol w:w="109"/>
        <w:gridCol w:w="226"/>
        <w:gridCol w:w="706"/>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 average sales prices)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condensate – dollars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76.85</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77.58</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67.59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Offshore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85.99</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liquids – dollars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20.67</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24.32</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34.84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 dollars per thousand cubic feet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2.66</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2.05</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Prices include the effect of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U.S. dollar equivalent.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benchmark prices relevant to the Company for the three-month periods ended March 31, 2024 and 2023.</w:t>
      </w:r>
    </w:p>
    <w:tbl>
      <w:tblPr>
        <w:tblW w:w="6995" w:type="dxa"/>
        <w:jc w:val="left"/>
        <w:tblInd w:w="0" w:type="dxa"/>
        <w:tblLayout w:type="fixed"/>
        <w:tblCellMar>
          <w:top w:w="28" w:type="dxa"/>
          <w:left w:w="28" w:type="dxa"/>
          <w:bottom w:w="28" w:type="dxa"/>
          <w:right w:w="28" w:type="dxa"/>
        </w:tblCellMar>
      </w:tblPr>
      <w:tblGrid>
        <w:gridCol w:w="1085"/>
        <w:gridCol w:w="954"/>
        <w:gridCol w:w="960"/>
        <w:gridCol w:w="109"/>
        <w:gridCol w:w="109"/>
        <w:gridCol w:w="164"/>
        <w:gridCol w:w="164"/>
        <w:gridCol w:w="164"/>
        <w:gridCol w:w="164"/>
        <w:gridCol w:w="364"/>
        <w:gridCol w:w="1181"/>
        <w:gridCol w:w="164"/>
        <w:gridCol w:w="109"/>
        <w:gridCol w:w="109"/>
        <w:gridCol w:w="109"/>
        <w:gridCol w:w="226"/>
        <w:gridCol w:w="70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(Average price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Oil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76.96</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($/MMBTU)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2.42</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(C$/MCF)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4155"/>
                <wp:effectExtent l="0" t="0" r="0" b="0"/>
                <wp:wrapNone/>
                <wp:docPr id="26" name="Frame2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Production Volumes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following table contains hydrocarbons produced during the three-month periods ended March 31, 2024 and 2023. For further discussion on volumes, please see Revenues from Production section on page </w:t>
      </w:r>
      <w:hyperlink w:anchor="ic14b27ef3a644d4aa2b1bbd95cd36467_160">
        <w:r>
          <w:rPr>
            <w:rStyle w:val="InternetLink"/>
            <w:rFonts w:ascii="Avenir Next LT Pro;sans-serif" w:hAnsi="Avenir Next LT Pro;sans-serif"/>
            <w:b w:val="false"/>
            <w:color w:val="0000FF"/>
            <w:sz w:val="20"/>
            <w:u w:val="single"/>
          </w:rPr>
          <w:t>26</w:t>
        </w:r>
      </w:hyperlink>
      <w:r>
        <w:rPr>
          <w:rFonts w:ascii="Avenir Next LT Pro;sans-serif" w:hAnsi="Avenir Next LT Pro;sans-serif"/>
          <w:b w:val="false"/>
          <w:color w:val="000000"/>
          <w:sz w:val="20"/>
        </w:rPr>
        <w:t>.</w:t>
      </w:r>
    </w:p>
    <w:tbl>
      <w:tblPr>
        <w:tblW w:w="9887" w:type="dxa"/>
        <w:jc w:val="left"/>
        <w:tblInd w:w="0" w:type="dxa"/>
        <w:tblLayout w:type="fixed"/>
        <w:tblCellMar>
          <w:top w:w="28" w:type="dxa"/>
          <w:left w:w="28" w:type="dxa"/>
          <w:bottom w:w="28" w:type="dxa"/>
          <w:right w:w="28" w:type="dxa"/>
        </w:tblCellMar>
      </w:tblPr>
      <w:tblGrid>
        <w:gridCol w:w="954"/>
        <w:gridCol w:w="840"/>
        <w:gridCol w:w="840"/>
        <w:gridCol w:w="840"/>
        <w:gridCol w:w="840"/>
        <w:gridCol w:w="844"/>
        <w:gridCol w:w="109"/>
        <w:gridCol w:w="109"/>
        <w:gridCol w:w="336"/>
        <w:gridCol w:w="336"/>
        <w:gridCol w:w="336"/>
        <w:gridCol w:w="336"/>
        <w:gridCol w:w="691"/>
        <w:gridCol w:w="360"/>
        <w:gridCol w:w="352"/>
        <w:gridCol w:w="109"/>
        <w:gridCol w:w="109"/>
        <w:gridCol w:w="109"/>
        <w:gridCol w:w="473"/>
        <w:gridCol w:w="473"/>
        <w:gridCol w:w="491"/>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764" w:type="dxa"/>
            <w:gridSpan w:val="6"/>
            <w:tcBorders/>
          </w:tcPr>
          <w:p>
            <w:pPr>
              <w:pStyle w:val="TableContents"/>
              <w:bidi w:val="0"/>
              <w:spacing w:before="0" w:after="283"/>
              <w:jc w:val="left"/>
              <w:rPr>
                <w:sz w:val="4"/>
                <w:szCs w:val="4"/>
              </w:rPr>
            </w:pPr>
            <w:r>
              <w:rPr>
                <w:sz w:val="4"/>
                <w:szCs w:val="4"/>
              </w:rPr>
            </w:r>
          </w:p>
        </w:tc>
      </w:tr>
      <w:tr>
        <w:trPr/>
        <w:tc>
          <w:tcPr>
            <w:tcW w:w="51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20,382</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19,277 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66,078</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75,699 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2,255</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3,283 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6,264</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2,459 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245</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95,224</w:t>
            </w: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100,987 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4,166</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4,157 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4,687</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6,342 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453</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9,306</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11,325 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24,231</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24,160 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53,161</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75,203 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355,455</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305,232 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432,847</w:t>
            </w: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404,595 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176,671</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179,745 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(6,499)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(6,613)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(232)</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Next LT Pro;sans-serif" w:hAnsi="Avenir Next LT Pro;sans-serif"/>
                <w:b w:val="false"/>
                <w:color w:val="000000"/>
                <w:sz w:val="20"/>
              </w:rPr>
              <w:t xml:space="preserve">Net natural gas – thousands of cubic feet per day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(2,074)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(2,354)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(7,056)</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(7,237)</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169,615</w:t>
            </w:r>
            <w:r>
              <w:rPr>
                <w:color w:val="000000"/>
              </w:rPr>
              <w:t> </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172,508 </w:t>
            </w:r>
          </w:p>
        </w:tc>
        <w:tc>
          <w:tcPr>
            <w:tcW w:w="4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NCI – noncontrolling interest in MP GOM.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4155"/>
                <wp:effectExtent l="0" t="0" r="0" b="0"/>
                <wp:wrapNone/>
                <wp:docPr id="27" name="Frame2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Revenues from Production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production revenues by country and product were as follows:</w:t>
      </w:r>
    </w:p>
    <w:tbl>
      <w:tblPr>
        <w:tblW w:w="7460" w:type="dxa"/>
        <w:jc w:val="left"/>
        <w:tblInd w:w="0" w:type="dxa"/>
        <w:tblLayout w:type="fixed"/>
        <w:tblCellMar>
          <w:top w:w="28" w:type="dxa"/>
          <w:left w:w="28" w:type="dxa"/>
          <w:bottom w:w="28" w:type="dxa"/>
          <w:right w:w="28" w:type="dxa"/>
        </w:tblCellMar>
      </w:tblPr>
      <w:tblGrid>
        <w:gridCol w:w="1252"/>
        <w:gridCol w:w="1102"/>
        <w:gridCol w:w="1110"/>
        <w:gridCol w:w="109"/>
        <w:gridCol w:w="109"/>
        <w:gridCol w:w="164"/>
        <w:gridCol w:w="164"/>
        <w:gridCol w:w="164"/>
        <w:gridCol w:w="164"/>
        <w:gridCol w:w="364"/>
        <w:gridCol w:w="1181"/>
        <w:gridCol w:w="164"/>
        <w:gridCol w:w="109"/>
        <w:gridCol w:w="109"/>
        <w:gridCol w:w="109"/>
        <w:gridCol w:w="226"/>
        <w:gridCol w:w="70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623.0</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17.2</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68.6</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794.6</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Revenue from production for the three months ended March 31, 2024 decreased by $1.6 million compared to the same period in 2023. Lower revenue from U.S. E&amp;P was primarily attributable to lower sales volumes from the Gulf of Mexico due to increased downtime for workovers, partially offset by higher sales volumes at Eagle Ford Shale assets from new well production and higher realized prices at both Eagle Ford Shale assets and the Gulf of Mexico. Higher revenue from Canadian E&amp;P was primarily attributable to higher sales volumes from Terra Nova and Tupper Montney fields, partially offset by lower pricing at Tupper Montney and lower sales volumes from Kaybob Duvernay fields. Tupper Montney had an increase in volumes as a result of new well production and lower royalty rates, while lower volumes at Kaybob Duvernay resulted from the divestiture of certain non-core operated assets and all of our non-operated Placid Montney assets during the second half of 2023. The Terra Nova field in Canada Offshore restarted production during the fourth quarter of 2023 after completion of the asset life extension project. </w:t>
      </w:r>
    </w:p>
    <w:p>
      <w:pPr>
        <w:pStyle w:val="TextBody"/>
        <w:bidi w:val="0"/>
        <w:spacing w:lineRule="auto" w:line="288" w:before="120" w:after="120"/>
        <w:jc w:val="left"/>
        <w:rPr/>
      </w:pPr>
      <w:r>
        <w:rPr>
          <w:rFonts w:ascii="Avenir Next LT Pro;sans-serif" w:hAnsi="Avenir Next LT Pro;sans-serif"/>
          <w:b w:val="false"/>
          <w:color w:val="000000"/>
          <w:sz w:val="20"/>
        </w:rPr>
        <w:t xml:space="preserve">Natural gas is purchased and subsequently sold to third parties in order to provide operational flexibility and cost mitigation for transportation commitments. Sales of purchase natural gas is included in “Total revenues and other income” and cost to purchase natural gas is included in “Costs and Expenses” in the summarized income statements for E&amp;P continuing operations on page </w:t>
      </w:r>
      <w:hyperlink w:anchor="ic14b27ef3a644d4aa2b1bbd95cd36467_148">
        <w:r>
          <w:rPr>
            <w:rStyle w:val="InternetLink"/>
            <w:rFonts w:ascii="Avenir Next LT Pro;sans-serif" w:hAnsi="Avenir Next LT Pro;sans-serif"/>
            <w:b w:val="false"/>
            <w:color w:val="0000FF"/>
            <w:sz w:val="20"/>
            <w:u w:val="single"/>
          </w:rPr>
          <w:t>23</w:t>
        </w:r>
      </w:hyperlink>
      <w:r>
        <w:rPr>
          <w:rFonts w:ascii="Avenir Next LT Pro;sans-serif" w:hAnsi="Avenir Next LT Pro;sans-serif"/>
          <w:b w:val="false"/>
          <w:color w:val="000000"/>
          <w:sz w:val="20"/>
        </w:rPr>
        <w: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4155"/>
                <wp:effectExtent l="0" t="0" r="0" b="0"/>
                <wp:wrapNone/>
                <wp:docPr id="28" name="Frame2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Lease Operating and Transportation, Gathering and Processing Expenses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total lease operating expenses and transportation, gathering and processing (TGP) expenses by geographic area were as follows:</w:t>
      </w:r>
    </w:p>
    <w:tbl>
      <w:tblPr>
        <w:tblW w:w="10205" w:type="dxa"/>
        <w:jc w:val="left"/>
        <w:tblInd w:w="0" w:type="dxa"/>
        <w:tblLayout w:type="fixed"/>
        <w:tblCellMar>
          <w:top w:w="28" w:type="dxa"/>
          <w:left w:w="28" w:type="dxa"/>
          <w:bottom w:w="28" w:type="dxa"/>
          <w:right w:w="28" w:type="dxa"/>
        </w:tblCellMar>
      </w:tblPr>
      <w:tblGrid>
        <w:gridCol w:w="792"/>
        <w:gridCol w:w="681"/>
        <w:gridCol w:w="685"/>
        <w:gridCol w:w="109"/>
        <w:gridCol w:w="109"/>
        <w:gridCol w:w="109"/>
        <w:gridCol w:w="109"/>
        <w:gridCol w:w="109"/>
        <w:gridCol w:w="127"/>
        <w:gridCol w:w="127"/>
        <w:gridCol w:w="489"/>
        <w:gridCol w:w="489"/>
        <w:gridCol w:w="490"/>
        <w:gridCol w:w="127"/>
        <w:gridCol w:w="291"/>
        <w:gridCol w:w="945"/>
        <w:gridCol w:w="131"/>
        <w:gridCol w:w="112"/>
        <w:gridCol w:w="112"/>
        <w:gridCol w:w="112"/>
        <w:gridCol w:w="232"/>
        <w:gridCol w:w="728"/>
        <w:gridCol w:w="112"/>
        <w:gridCol w:w="109"/>
        <w:gridCol w:w="109"/>
        <w:gridCol w:w="109"/>
        <w:gridCol w:w="241"/>
        <w:gridCol w:w="781"/>
        <w:gridCol w:w="109"/>
        <w:gridCol w:w="109"/>
        <w:gridCol w:w="109"/>
        <w:gridCol w:w="109"/>
        <w:gridCol w:w="226"/>
        <w:gridCol w:w="706"/>
        <w:gridCol w:w="161"/>
      </w:tblGrid>
      <w:tr>
        <w:trPr/>
        <w:tc>
          <w:tcPr>
            <w:tcW w:w="7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4286" w:type="dxa"/>
            <w:gridSpan w:val="18"/>
            <w:tcBorders/>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2878" w:type="dxa"/>
            <w:gridSpan w:val="12"/>
            <w:tcBorders/>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234.3</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TGP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TGP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56.5</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 and TGP expenses for the three months ended March 31, 2024 increased by $34.3 million and $2.6 million, respectively, compared to the same period in 2023. Higher lease operating expenses from US E&amp;P was due to workovers in the Gulf of Mexico. Higher lease operating expenses and TGP from Canada E&amp;P resulted from ramp up of production at the Terra Nova field since the completion of the asset life extension project in the fourth quarter of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Depreciation, Depletion and Amortization Expense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depreciation, depletion and amortization (DD&amp;A) expense by geographic area were as follows:</w:t>
      </w:r>
    </w:p>
    <w:tbl>
      <w:tblPr>
        <w:tblW w:w="10205" w:type="dxa"/>
        <w:jc w:val="left"/>
        <w:tblInd w:w="0" w:type="dxa"/>
        <w:tblLayout w:type="fixed"/>
        <w:tblCellMar>
          <w:top w:w="28" w:type="dxa"/>
          <w:left w:w="28" w:type="dxa"/>
          <w:bottom w:w="28" w:type="dxa"/>
          <w:right w:w="28" w:type="dxa"/>
        </w:tblCellMar>
      </w:tblPr>
      <w:tblGrid>
        <w:gridCol w:w="750"/>
        <w:gridCol w:w="621"/>
        <w:gridCol w:w="625"/>
        <w:gridCol w:w="109"/>
        <w:gridCol w:w="109"/>
        <w:gridCol w:w="109"/>
        <w:gridCol w:w="109"/>
        <w:gridCol w:w="109"/>
        <w:gridCol w:w="132"/>
        <w:gridCol w:w="132"/>
        <w:gridCol w:w="541"/>
        <w:gridCol w:w="541"/>
        <w:gridCol w:w="542"/>
        <w:gridCol w:w="132"/>
        <w:gridCol w:w="306"/>
        <w:gridCol w:w="992"/>
        <w:gridCol w:w="137"/>
        <w:gridCol w:w="112"/>
        <w:gridCol w:w="112"/>
        <w:gridCol w:w="112"/>
        <w:gridCol w:w="234"/>
        <w:gridCol w:w="734"/>
        <w:gridCol w:w="112"/>
        <w:gridCol w:w="109"/>
        <w:gridCol w:w="109"/>
        <w:gridCol w:w="109"/>
        <w:gridCol w:w="226"/>
        <w:gridCol w:w="706"/>
        <w:gridCol w:w="109"/>
        <w:gridCol w:w="109"/>
        <w:gridCol w:w="109"/>
        <w:gridCol w:w="109"/>
        <w:gridCol w:w="226"/>
        <w:gridCol w:w="706"/>
        <w:gridCol w:w="166"/>
      </w:tblGrid>
      <w:tr>
        <w:trPr/>
        <w:tc>
          <w:tcPr>
            <w:tcW w:w="7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4209" w:type="dxa"/>
            <w:gridSpan w:val="18"/>
            <w:tcBorders/>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1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2793" w:type="dxa"/>
            <w:gridSpan w:val="12"/>
            <w:tcBorders/>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DD&amp;A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208.3</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192.8 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DD&amp;A expense for the three months ended March 31, 2024 increased by $15.5 million, compared to the same period in 2023. Higher DD&amp;A expense from U.S. E&amp;P resulted from higher sales volumes from the Eagle Ford Shale assets and an overall increase in rates. Higher DD&amp;A expense from Canada E&amp;P was primarily the result of higher sales volumes from Tupper Montney and Terra Nova fields, partially offset by overall lower rates due to fewer sales volumes from Kaybob Duvernay and Placid Montney assets following the sale of a portion of non-core assets in the fourth quarter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4155"/>
                <wp:effectExtent l="0" t="0" r="0" b="0"/>
                <wp:wrapNone/>
                <wp:docPr id="29" name="Frame2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Impairment of Assets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Impairment of assets for the three months ended March 31, 2024 was $34.5 million and related to Calliope field in Mississippi Canyon in the Gulf of Mexico, as a result of operational issues that led to a reserve reduction. There were no impairments in the three months ended March 31, 2023.</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exploration expenses were as follows:</w:t>
      </w:r>
    </w:p>
    <w:tbl>
      <w:tblPr>
        <w:tblW w:w="9279" w:type="dxa"/>
        <w:jc w:val="left"/>
        <w:tblInd w:w="0" w:type="dxa"/>
        <w:tblLayout w:type="fixed"/>
        <w:tblCellMar>
          <w:top w:w="28" w:type="dxa"/>
          <w:left w:w="28" w:type="dxa"/>
          <w:bottom w:w="28" w:type="dxa"/>
          <w:right w:w="28" w:type="dxa"/>
        </w:tblCellMar>
      </w:tblPr>
      <w:tblGrid>
        <w:gridCol w:w="1952"/>
        <w:gridCol w:w="1718"/>
        <w:gridCol w:w="1730"/>
        <w:gridCol w:w="109"/>
        <w:gridCol w:w="109"/>
        <w:gridCol w:w="180"/>
        <w:gridCol w:w="180"/>
        <w:gridCol w:w="180"/>
        <w:gridCol w:w="180"/>
        <w:gridCol w:w="399"/>
        <w:gridCol w:w="1069"/>
        <w:gridCol w:w="180"/>
        <w:gridCol w:w="109"/>
        <w:gridCol w:w="109"/>
        <w:gridCol w:w="109"/>
        <w:gridCol w:w="226"/>
        <w:gridCol w:w="586"/>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293" w:type="dxa"/>
            <w:gridSpan w:val="6"/>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holes and previously suspended exploration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32.4</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Geological and geophysical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exploration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Undeveloped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44.4</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for the three months ended March 31, 2024 increased by $34.1 million compared to the same period in 2023. Higher dry holes and previously suspended exploration costs primarily relate to the previously suspended costs for Hoffe Park #1 (Mississippi Canyon 166) and additional costs related to the Oso #1 (Atwater Valley 138) exploration well in the Gulf of Mexico. The Mississippi Canyon Block 166 lease will expire in 2024 and there are no plans for additional exploration activities. The Oso #1 (Atwater Valley 138) exploration well encountered non-commercial hydrocarbons in the fourth quarter of 2023 and finished operations in the first quarter of 2024.</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Other Expenses </w:t>
      </w:r>
    </w:p>
    <w:p>
      <w:pPr>
        <w:pStyle w:val="TextBody"/>
        <w:bidi w:val="0"/>
        <w:spacing w:lineRule="auto" w:line="288" w:before="120" w:after="120"/>
        <w:jc w:val="left"/>
        <w:rPr/>
      </w:pPr>
      <w:r>
        <w:rPr>
          <w:rFonts w:ascii="Avenir Next LT Pro;sans-serif" w:hAnsi="Avenir Next LT Pro;sans-serif"/>
          <w:b w:val="false"/>
          <w:color w:val="000000"/>
          <w:sz w:val="20"/>
        </w:rPr>
        <w:t xml:space="preserve">Other expenses for the three months ended March 31, 2024 decreased by $4.8 million compared to the same period in 2023. Other expenses were lower primarily due to an unfavorable contingent consideration adjustment of $3.9 million recorded in 2023 related to prior Gulf of Mexico acquisitions (see </w:t>
      </w:r>
      <w:hyperlink w:anchor="ic14b27ef3a644d4aa2b1bbd95cd36467_103">
        <w:r>
          <w:rPr>
            <w:rStyle w:val="InternetLink"/>
            <w:rFonts w:ascii="Avenir Next LT Pro;sans-serif" w:hAnsi="Avenir Next LT Pro;sans-serif"/>
            <w:b w:val="false"/>
            <w:color w:val="0000FF"/>
            <w:sz w:val="20"/>
            <w:u w:val="single"/>
          </w:rPr>
          <w:t>Note L)</w:t>
        </w:r>
      </w:hyperlink>
      <w:r>
        <w:rPr>
          <w:rFonts w:ascii="Avenir Next LT Pro;sans-serif" w:hAnsi="Avenir Next LT Pro;sans-serif"/>
          <w:b w:val="false"/>
          <w:color w:val="000000"/>
          <w:sz w:val="20"/>
        </w:rPr>
        <w:t xml:space="preserv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Income Taxes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taxes for the three months ended March 31, 2024 decreased by $27.3 million, compared to the same period in 2023. Lower income taxes were primarily the result of lower pre-tax income.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4155"/>
                <wp:effectExtent l="0" t="0" r="0" b="0"/>
                <wp:wrapNone/>
                <wp:docPr id="30" name="Frame2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Corporate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activities include interest expense and income, foreign exchange effects and corporate overhead not allocated to E&amp;P.</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activities reported a loss of $27.5 million for the three months ended March 31, 2024, a favorable variance of $1.2 million compared to the same period of 2023. The favorable variance was primarily due to foreign exchange gains ($10.9 million) and lower interest expense ($9.0 million), partially offset by increased selling and general expense ($15.7 million) and lower income tax benefits ($3.4 million) . </w:t>
      </w:r>
    </w:p>
    <w:p>
      <w:pPr>
        <w:pStyle w:val="TextBody"/>
        <w:bidi w:val="0"/>
        <w:spacing w:lineRule="auto" w:line="288" w:before="120" w:after="120"/>
        <w:jc w:val="left"/>
        <w:rPr/>
      </w:pPr>
      <w:r>
        <w:rPr>
          <w:rFonts w:ascii="Avenir Next LT Pro;sans-serif" w:hAnsi="Avenir Next LT Pro;sans-serif"/>
          <w:b w:val="false"/>
          <w:color w:val="000000"/>
          <w:sz w:val="20"/>
        </w:rPr>
        <w:t>Interest charges are lower for the three months ended March 31, 2024,</w:t>
      </w:r>
      <w:r>
        <w:rPr>
          <w:color w:val="000000"/>
        </w:rPr>
        <w:t xml:space="preserve"> </w:t>
      </w:r>
      <w:r>
        <w:rPr>
          <w:rFonts w:ascii="Avenir Next LT Pro;sans-serif" w:hAnsi="Avenir Next LT Pro;sans-serif"/>
          <w:b w:val="false"/>
          <w:color w:val="000000"/>
          <w:sz w:val="20"/>
        </w:rPr>
        <w:t xml:space="preserve">primarily due to lower overall debt levels. Higher selling and general expenses were a result of the timing of corporate donations and an increase in provisions for incentive awards. Lower income tax benefit was a result of lower pre-tax losses.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primary sources of liquidity are cash on hand, net cash provided by continuing operations activities and available borrowing capacity under its senior unsecured RCF. The Company’s liquidity requirements consist primarily of capital expenditures, debt maturity, retirement and interest payments, working capital requirements, dividend payments, and, as applicable, share repurchases.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presents the Company’s cash flows for the periods presented:</w:t>
      </w:r>
    </w:p>
    <w:tbl>
      <w:tblPr>
        <w:tblW w:w="8828" w:type="dxa"/>
        <w:jc w:val="left"/>
        <w:tblInd w:w="0" w:type="dxa"/>
        <w:tblLayout w:type="fixed"/>
        <w:tblCellMar>
          <w:top w:w="28" w:type="dxa"/>
          <w:left w:w="28" w:type="dxa"/>
          <w:bottom w:w="28" w:type="dxa"/>
          <w:right w:w="28" w:type="dxa"/>
        </w:tblCellMar>
      </w:tblPr>
      <w:tblGrid>
        <w:gridCol w:w="2243"/>
        <w:gridCol w:w="1973"/>
        <w:gridCol w:w="1978"/>
        <w:gridCol w:w="241"/>
        <w:gridCol w:w="781"/>
        <w:gridCol w:w="109"/>
        <w:gridCol w:w="109"/>
        <w:gridCol w:w="109"/>
        <w:gridCol w:w="109"/>
        <w:gridCol w:w="226"/>
        <w:gridCol w:w="796"/>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(required by):</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financing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Effect of exchange rate changes on cash and cash equivalents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Provided by Continuing Operations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provided by continuing operations activities for the three months ended March 31, 2024 was $119.0 million higher compared to the same period in 2023. The increase was primarily attributable to no contingent consideration payments related to prior Gulf of Mexico acquisitions in 2024 (2023: $124.0 million) and the timing of working capital settlements ($50.7 million), partially offset by higher lease operating expenses ($34.3 million) primarily related to workovers in the Gulf of Mexico. Payments of contingent consideration are shown both in “Operating Activities” and “Financing Activities” in the Company’s Consolidated Statements of Cash Flows; amounts considered as financing activities are those amounts paid up to the original estimated contingent consideration liability included in the purchase price allocation, at the time of acquisition. Any contingent consideration paid above the original estimated liability, included in the purchase price, are considered operating activities. During the three months ended March 31, 2023, the Company paid a total of $171.7 million in contingent consideration, of which $124.0 million is shown in “Operating Activities” and $47.7 million is shown in “Financing Activities” in the Company’s Consolidated Statements of Cash Flows. As of the end of the second quarter of 2023, the Company had no further obligation payable for contingent consideration relating to prior Gulf of Mexico acquisitions.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Required by Investing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required by investing activities for the three months ended March 31, 2024 was $96.2 million lower compared to the same period in 2023. The decrease was due to lower property additions and dry hole costs ($96.2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4155"/>
                <wp:effectExtent l="0" t="0" r="0" b="0"/>
                <wp:wrapNone/>
                <wp:docPr id="31" name="Frame3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“Property additions and dry hole costs” in the Consolidated Statements of Cash Flows to total capital expenditures for continuing operations follows.</w:t>
      </w:r>
    </w:p>
    <w:tbl>
      <w:tblPr>
        <w:tblW w:w="8874" w:type="dxa"/>
        <w:jc w:val="left"/>
        <w:tblInd w:w="0" w:type="dxa"/>
        <w:tblLayout w:type="fixed"/>
        <w:tblCellMar>
          <w:top w:w="28" w:type="dxa"/>
          <w:left w:w="28" w:type="dxa"/>
          <w:bottom w:w="28" w:type="dxa"/>
          <w:right w:w="28" w:type="dxa"/>
        </w:tblCellMar>
      </w:tblPr>
      <w:tblGrid>
        <w:gridCol w:w="2288"/>
        <w:gridCol w:w="2015"/>
        <w:gridCol w:w="2027"/>
        <w:gridCol w:w="241"/>
        <w:gridCol w:w="781"/>
        <w:gridCol w:w="109"/>
        <w:gridCol w:w="109"/>
        <w:gridCol w:w="109"/>
        <w:gridCol w:w="109"/>
        <w:gridCol w:w="226"/>
        <w:gridCol w:w="706"/>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Property additions and dry hole costs per cash flow statements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Geophysical and other exploration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 accrual changes and 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accrual basis capital expenditures are shown below.</w:t>
      </w:r>
    </w:p>
    <w:tbl>
      <w:tblPr>
        <w:tblW w:w="5289" w:type="dxa"/>
        <w:jc w:val="left"/>
        <w:tblInd w:w="0" w:type="dxa"/>
        <w:tblLayout w:type="fixed"/>
        <w:tblCellMar>
          <w:top w:w="28" w:type="dxa"/>
          <w:left w:w="28" w:type="dxa"/>
          <w:bottom w:w="28" w:type="dxa"/>
          <w:right w:w="28" w:type="dxa"/>
        </w:tblCellMar>
      </w:tblPr>
      <w:tblGrid>
        <w:gridCol w:w="992"/>
        <w:gridCol w:w="874"/>
        <w:gridCol w:w="879"/>
        <w:gridCol w:w="241"/>
        <w:gridCol w:w="781"/>
        <w:gridCol w:w="109"/>
        <w:gridCol w:w="109"/>
        <w:gridCol w:w="109"/>
        <w:gridCol w:w="109"/>
        <w:gridCol w:w="226"/>
        <w:gridCol w:w="70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Lower capital expenditures in the three months ended March 31, 2024 compared to the same period of 2023 was primarily attributable to lower development expenditures at Eagle Ford Shale assets, partially offset by higher development expenditures at various Gulf of Mexico fields.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Capital expenditures in 2024 primarily relate to development drilling and field development activities at Eagle Ford Shale assets ($53.4 million), development drilling and field development activities at Tupper Montney field ($47.8 million), development activities in the Gulf of Mexico, primarily related to Khaleesi, Mormont, Lucius and St. Malo fields ($106.4 million) and total exploration costs of $35.8 million. Total exploration costs in 2024 were in the Gulf of Mexico for the Orange #1 (Mississippi Canyon 216) and Ocotillo #1 (Mississippi Canyon 40) exploration wells and additional costs related to Oso #1 (Atwater Valley 138) exploration well which encountered non-commercial hydrocarbons in the fourth quarter of 2023 and finished operations in the first quarter of 2024.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Required by Financing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Net cash required by financing activities for the three months ended March 31, 2024 increased by $29.5 million compared to the same period in 2023. In 2024, the cash used in financing activities was principally for the repurchase of common shares ($50.0 million, excluding accrued excise tax), cash dividends to shareholders of $0.30 per share ($45.8 million), withholding tax on stock-based incentive awards ($25.3 million) and distributions to the noncontrolling interest in the Gulf of Mexico ($23.0 million). In 2023, there were payments of contingent consideration related to prior Gulf of Mexico acquisitions ($47.7 million) as discussed in the “Cash Provided by Operating Activities” section.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At March 31, 2024, the Company had approximately $1.1 billion of liquidity consisting of $323.4 million in cash and cash equivalents and $796.3 million available on its committed senior unsecured RCF with a major banking consortium.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$800 million senior unsecured RCF expires in November 2027 and as of March 31, 2024, the Company had no outstanding borrowings under the RCF and $3.7 million of outstanding letters of credit, which reduce the borrowing capacity of the senior unsecured RCF. At March 31, 2024, the interest rate in effect on borrowings under the facility would have been 7.68%. At March 31, 2024, the Company was in compliance with all covenants related to the RCF.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4155"/>
                <wp:effectExtent l="0" t="0" r="0" b="0"/>
                <wp:wrapNone/>
                <wp:docPr id="32" name="Frame3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8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invested cash are maintained in several operating locations outside the U.S. As of March 31, 2024, cash and cash equivalents held outside the U.S. included U.S. dollar equivalents of approximately $98.1 million, the majority of which was held in Canada ($60.0 million), Mexico ($15.0 million) and the U.K. ($9.1 million). In certain cases, the Company could incur cash taxes or other costs should these cash balances be repatriated to the U.S. in future periods. Canada currently collects a 5% withholding tax on any earnings repatriated to the U.S.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Working Capital </w:t>
      </w:r>
    </w:p>
    <w:tbl>
      <w:tblPr>
        <w:tblW w:w="7016" w:type="dxa"/>
        <w:jc w:val="left"/>
        <w:tblInd w:w="0" w:type="dxa"/>
        <w:tblLayout w:type="fixed"/>
        <w:tblCellMar>
          <w:top w:w="28" w:type="dxa"/>
          <w:left w:w="28" w:type="dxa"/>
          <w:bottom w:w="28" w:type="dxa"/>
          <w:right w:w="28" w:type="dxa"/>
        </w:tblCellMar>
      </w:tblPr>
      <w:tblGrid>
        <w:gridCol w:w="1019"/>
        <w:gridCol w:w="898"/>
        <w:gridCol w:w="903"/>
        <w:gridCol w:w="386"/>
        <w:gridCol w:w="1254"/>
        <w:gridCol w:w="175"/>
        <w:gridCol w:w="109"/>
        <w:gridCol w:w="109"/>
        <w:gridCol w:w="109"/>
        <w:gridCol w:w="426"/>
        <w:gridCol w:w="1335"/>
        <w:gridCol w:w="293"/>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Working capital</w:t>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assets</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760.9</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752.2 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liabilities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818.2</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846.5 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working capital liability</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(57.3)</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(94.3)</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As of March 31, 2024, net working capital had a favorable increase of $37.0 million compared to December 31, 2023. The favorable increase was primarily attributable to lower other accrued liabilities ($39.5 million), lower operating lease liabilities ($28.4 million), higher accounts receivable ($12.9 million), and a higher cash balance ($6.4 million), partially offset by higher accounts payable ($39.0 million). Lower accrued liabilities were primarily due to incentive payments and lower operating lease liabilities were primarily due to 2024 payments reducing drilling rig and vessel lease liabilities. Higher accounts receivable and higher accounts payable were primarily due to the timing of cash receipts and cash payments, respectively.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Capital Employed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summary of capital employed at March 31, 2024 and December 31, 2023 follows.</w:t>
      </w:r>
    </w:p>
    <w:tbl>
      <w:tblPr>
        <w:tblW w:w="8556" w:type="dxa"/>
        <w:jc w:val="left"/>
        <w:tblInd w:w="0" w:type="dxa"/>
        <w:tblLayout w:type="fixed"/>
        <w:tblCellMar>
          <w:top w:w="28" w:type="dxa"/>
          <w:left w:w="28" w:type="dxa"/>
          <w:bottom w:w="28" w:type="dxa"/>
          <w:right w:w="28" w:type="dxa"/>
        </w:tblCellMar>
      </w:tblPr>
      <w:tblGrid>
        <w:gridCol w:w="1046"/>
        <w:gridCol w:w="921"/>
        <w:gridCol w:w="927"/>
        <w:gridCol w:w="241"/>
        <w:gridCol w:w="991"/>
        <w:gridCol w:w="109"/>
        <w:gridCol w:w="109"/>
        <w:gridCol w:w="109"/>
        <w:gridCol w:w="109"/>
        <w:gridCol w:w="390"/>
        <w:gridCol w:w="391"/>
        <w:gridCol w:w="301"/>
        <w:gridCol w:w="109"/>
        <w:gridCol w:w="109"/>
        <w:gridCol w:w="109"/>
        <w:gridCol w:w="226"/>
        <w:gridCol w:w="886"/>
        <w:gridCol w:w="109"/>
        <w:gridCol w:w="109"/>
        <w:gridCol w:w="109"/>
        <w:gridCol w:w="109"/>
        <w:gridCol w:w="353"/>
        <w:gridCol w:w="353"/>
        <w:gridCol w:w="33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employed</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shareholders' equity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employed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6,632.7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8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March 31, 2024, long-term debt of $1,328.7 million had increased by $0.4 million compared to December 31, 2023, primarily as a result of normal debt issuance cost amortization. The total of the fixed-rate notes had a weighted average maturity of 7.9 years and a weighted average coupon of 6.2%.</w:t>
      </w:r>
    </w:p>
    <w:p>
      <w:pPr>
        <w:pStyle w:val="TextBody"/>
        <w:bidi w:val="0"/>
        <w:spacing w:lineRule="auto" w:line="288" w:before="80" w:after="120"/>
        <w:jc w:val="left"/>
        <w:rPr/>
      </w:pPr>
      <w:r>
        <w:rPr>
          <w:rFonts w:ascii="Avenir Next LT Pro;sans-serif" w:hAnsi="Avenir Next LT Pro;sans-serif"/>
          <w:b w:val="false"/>
          <w:color w:val="000000"/>
          <w:sz w:val="20"/>
        </w:rPr>
        <w:t xml:space="preserve">Murphy shareholders’ equity decreased by $58.8 million in 2024 primarily due to shares repurchased ($50.0 million, including excise tax), cash dividends paid ($45.8 million) and unrealized foreign currency translation losses ($35.5 million), partially offset by net income earned ($90.0 million). A summary of transactions in stockholders’ equity accounts is presented in the Consolidated Statements of Stockholders’ Equity on page </w:t>
      </w:r>
      <w:hyperlink w:anchor="ic14b27ef3a644d4aa2b1bbd95cd36467_34">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80" w:after="120"/>
        <w:jc w:val="left"/>
        <w:rPr/>
      </w:pPr>
      <w:r>
        <w:rPr/>
      </w:r>
    </w:p>
    <w:p>
      <w:pPr>
        <w:pStyle w:val="TextBody"/>
        <w:bidi w:val="0"/>
        <w:spacing w:lineRule="auto" w:line="288" w:before="80" w:after="12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 xml:space="preserve">Critical Accounting Estimates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2024, there have been no significant changes to our critical accounting estimates since our Annual Report on Form 10-K for the year ended December 31, 2023.</w:t>
      </w:r>
    </w:p>
    <w:p>
      <w:pPr>
        <w:pStyle w:val="TextBody"/>
        <w:bidi w:val="0"/>
        <w:spacing w:before="120" w:after="120"/>
        <w:jc w:val="left"/>
        <w:rPr/>
      </w:pPr>
      <w:r>
        <w:rPr/>
      </w:r>
    </w:p>
    <w:p>
      <w:pPr>
        <w:pStyle w:val="TextBody"/>
        <w:bidi w:val="0"/>
        <w:spacing w:lineRule="auto" w:line="417" w:before="0" w:after="80"/>
        <w:jc w:val="left"/>
        <w:rPr/>
      </w:pPr>
      <w:r>
        <w:rPr>
          <w:rFonts w:ascii="Avenir Next LT Pro;sans-serif" w:hAnsi="Avenir Next LT Pro;sans-serif"/>
          <w:b/>
          <w:color w:val="000000"/>
          <w:sz w:val="20"/>
          <w:u w:val="single"/>
        </w:rPr>
        <w:t>Accounting Changes and Recent Accounting Pronouncements</w:t>
      </w:r>
      <w:r>
        <w:rPr>
          <w:color w:val="000000"/>
        </w:rPr>
        <w:t xml:space="preserve"> </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w:t>
      </w:r>
      <w:hyperlink w:anchor="ic14b27ef3a644d4aa2b1bbd95cd36467_43">
        <w:r>
          <w:rPr>
            <w:rStyle w:val="InternetLink"/>
            <w:rFonts w:ascii="Avenir Next LT Pro;sans-serif" w:hAnsi="Avenir Next LT Pro;sans-serif"/>
            <w:b w:val="false"/>
            <w:color w:val="0000FF"/>
            <w:sz w:val="20"/>
            <w:u w:val="single"/>
          </w:rPr>
          <w:t>Note B</w:t>
        </w:r>
      </w:hyperlink>
      <w:r>
        <w:rPr>
          <w:color w:val="000000"/>
        </w:rPr>
        <w:t xml:space="preserve"> </w:t>
      </w:r>
      <w:r>
        <w:rPr>
          <w:rFonts w:ascii="Avenir Next LT Pro;sans-serif" w:hAnsi="Avenir Next LT Pro;sans-serif"/>
          <w:b w:val="false"/>
          <w:color w:val="000000"/>
          <w:sz w:val="20"/>
        </w:rPr>
        <w:t>to the Consolidated Financial Statements regarding the impact or potential impact of recent accounting pronouncements upon our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4155"/>
                <wp:effectExtent l="0" t="0" r="0" b="0"/>
                <wp:wrapNone/>
                <wp:docPr id="33" name="Frame3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Other Key Performance Metrics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uses other operational performance and income metrics to review operational performance. Management uses adjusted net income, earnings before interest, taxes, depreciation and amortization (EBITDA) and adjusted EBITDA internally to evaluate the Company’s operational performance and trends between periods and relative to its industry competitors. Adjusted net income also excludes certain items that management believes affect the comparability of results between periods. Management believes this information may be useful to investors and analysts to gain a better understanding of the Company’s financial results. Adjusted net income, EBITDA, and adjusted EBITDA are non-GAAP financial measures and should not be considered a substitute for net income (loss) or cash provided by operating activities as determined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reported net income attributable to Murphy to adjusted net income from continuing operations attributable to Murphy.</w:t>
      </w:r>
    </w:p>
    <w:tbl>
      <w:tblPr>
        <w:tblW w:w="10205" w:type="dxa"/>
        <w:jc w:val="left"/>
        <w:tblInd w:w="0" w:type="dxa"/>
        <w:tblLayout w:type="fixed"/>
        <w:tblCellMar>
          <w:top w:w="28" w:type="dxa"/>
          <w:left w:w="28" w:type="dxa"/>
          <w:bottom w:w="28" w:type="dxa"/>
          <w:right w:w="28" w:type="dxa"/>
        </w:tblCellMar>
      </w:tblPr>
      <w:tblGrid>
        <w:gridCol w:w="2392"/>
        <w:gridCol w:w="1993"/>
        <w:gridCol w:w="2005"/>
        <w:gridCol w:w="109"/>
        <w:gridCol w:w="109"/>
        <w:gridCol w:w="175"/>
        <w:gridCol w:w="175"/>
        <w:gridCol w:w="389"/>
        <w:gridCol w:w="1263"/>
        <w:gridCol w:w="175"/>
        <w:gridCol w:w="109"/>
        <w:gridCol w:w="109"/>
        <w:gridCol w:w="109"/>
        <w:gridCol w:w="226"/>
        <w:gridCol w:w="706"/>
        <w:gridCol w:w="161"/>
      </w:tblGrid>
      <w:tr>
        <w:trPr/>
        <w:tc>
          <w:tcPr>
            <w:tcW w:w="2392"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20" w:type="dxa"/>
            <w:gridSpan w:val="6"/>
            <w:tcBorders/>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Net income attributable to Murphy (GAAP)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90.0</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90.9</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Impairment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34.5</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Write-off of previously suspended exploration well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Mark-to-market loss on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50.1</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benefit related to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after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39.9</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Adjusted net income from continuing operations attributable to Murphy </w:t>
            </w:r>
          </w:p>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130.8</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 per average diluted share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0.60</w:t>
            </w:r>
            <w:r>
              <w:rPr>
                <w:color w:val="000000"/>
              </w:rPr>
              <w:t>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Adjusted net income from continuing operations per average diluted share </w:t>
            </w:r>
          </w:p>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0.85</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pStyle w:val="TextBody"/>
        <w:bidi w:val="0"/>
        <w:spacing w:before="0" w:after="40"/>
        <w:ind w:left="0" w:right="0" w:hanging="173"/>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4155"/>
                <wp:effectExtent l="0" t="0" r="0" b="0"/>
                <wp:wrapNone/>
                <wp:docPr id="34" name="Frame3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reported net income attributable to Murphy to EBITDA attributable to Murphy and adjusted EBITDA attributable to Murphy.</w:t>
      </w:r>
    </w:p>
    <w:tbl>
      <w:tblPr>
        <w:tblW w:w="9203" w:type="dxa"/>
        <w:jc w:val="left"/>
        <w:tblInd w:w="0" w:type="dxa"/>
        <w:tblLayout w:type="fixed"/>
        <w:tblCellMar>
          <w:top w:w="28" w:type="dxa"/>
          <w:left w:w="28" w:type="dxa"/>
          <w:bottom w:w="28" w:type="dxa"/>
          <w:right w:w="28" w:type="dxa"/>
        </w:tblCellMar>
      </w:tblPr>
      <w:tblGrid>
        <w:gridCol w:w="1881"/>
        <w:gridCol w:w="1656"/>
        <w:gridCol w:w="1667"/>
        <w:gridCol w:w="109"/>
        <w:gridCol w:w="109"/>
        <w:gridCol w:w="191"/>
        <w:gridCol w:w="191"/>
        <w:gridCol w:w="423"/>
        <w:gridCol w:w="1372"/>
        <w:gridCol w:w="191"/>
        <w:gridCol w:w="109"/>
        <w:gridCol w:w="109"/>
        <w:gridCol w:w="109"/>
        <w:gridCol w:w="226"/>
        <w:gridCol w:w="706"/>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Net income attributable to Murphy (GAAP)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90.0</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30.1</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20.0</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Depreciation, depletion and amortization expense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202.7</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EBITDA attributable to Murphy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342.8</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Impairment of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34.5</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Write-off of previously suspended exploration well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Accretion of asset retirement obligations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11.4</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Mark-to-market loss on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Adjusted EBITDA attributable to Murphy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405.2</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pStyle w:val="TextBody"/>
        <w:bidi w:val="0"/>
        <w:spacing w:before="0" w:after="40"/>
        <w:ind w:left="0" w:right="0" w:hanging="173"/>
        <w:jc w:val="left"/>
        <w:rPr/>
      </w:pPr>
      <w:r>
        <w:rPr/>
      </w:r>
    </w:p>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4155"/>
                <wp:effectExtent l="0" t="0" r="0" b="0"/>
                <wp:wrapNone/>
                <wp:docPr id="35" name="Frame3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before="120" w:after="12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Outlook</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oil and gas industry is impacted by global commodity pricing and as a result the prices for the Company’s primary products are often volatile and are affected by the levels of supply and demand for energy. As discussed in the Results of Operations section discussing revenues, on page </w:t>
      </w:r>
      <w:hyperlink w:anchor="ic14b27ef3a644d4aa2b1bbd95cd36467_160">
        <w:r>
          <w:rPr>
            <w:rStyle w:val="InternetLink"/>
            <w:rFonts w:ascii="Avenir Next LT Pro;sans-serif" w:hAnsi="Avenir Next LT Pro;sans-serif"/>
            <w:b w:val="false"/>
            <w:color w:val="0000FF"/>
            <w:sz w:val="20"/>
            <w:u w:val="single"/>
          </w:rPr>
          <w:t>26</w:t>
        </w:r>
      </w:hyperlink>
      <w:r>
        <w:rPr>
          <w:rFonts w:ascii="Avenir Next LT Pro;sans-serif" w:hAnsi="Avenir Next LT Pro;sans-serif"/>
          <w:b w:val="false"/>
          <w:color w:val="000000"/>
          <w:sz w:val="20"/>
        </w:rPr>
        <w:t xml:space="preserve">, higher average crude oil price during the first quarter of 2024 compared to same period in 2023, directly impacted the Company’s product sales revenue.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close on April 30, 2024, forward price curves for existing forward contracts for the remainder of 2024 and 2025 are shown in the table below:</w:t>
      </w:r>
    </w:p>
    <w:tbl>
      <w:tblPr>
        <w:tblW w:w="4810"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215"/>
        <w:gridCol w:w="215"/>
        <w:gridCol w:w="216"/>
        <w:gridCol w:w="109"/>
        <w:gridCol w:w="109"/>
        <w:gridCol w:w="109"/>
        <w:gridCol w:w="202"/>
        <w:gridCol w:w="202"/>
        <w:gridCol w:w="287"/>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74.76</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(US$ Equivalent/MCF)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2.43</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Similar to the overall inflation and higher interest rates in the wider economy, the oil and gas industry and the Company is observing higher costs for goods and services used in E&amp;P operations. Murphy continues to manage input costs through its dedicated procurement department focused on managing supply chain and other costs to deliver cash flow from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We cannot predict what impact economic factors (including, but not limited to, inflation, global conflicts and possible economic recession) may have on future commodity pricing. Lower prices, should they occur, will result in lower profits and operating cash flows. For the second quarter of 2024, production is expected to average between 176 and 184 thousand barrels of oil equivalents per day (MBOEPD), excluding noncontrolling interest.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capital expenditure spend for 2024 is expected to be between $920 million and $1,020 million, excluding noncontrolling interest. 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2024 using operating cash flow and available cash. If oil and/or natural gas prices weaken, actual cash flow generated from operations could be reduced such that capital spending reductions are required and/or borrowings under available credit facilities might be required during the year to maintain funding of the Company’s ongoing development projects.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plans to utilize surplus cash (not planned to be used by operations, investing activities, dividends or payment to noncontrolling interests), in accordance with the Company’s capital allocation framework designed to allow for additional shareholder returns and debt reduction. Details of the framework can be found in the “Capital Allocation Framework” section of the Company’s Form 8-K filed on August 4, 2022. In 2023, the Company’s Board of Directors authorized a $300 million increase to the original share repurchase program announced in the Capital Allocation Framework, bringing the total amount allowed to be repurchased under the program to $600 million. As of March 31, 2024, the Company has $400 million remaining available to repurchase.</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continues to monitor the impact of commodity prices on its financial position and is currently in compliance with the covenants related to the RCF (see </w:t>
      </w:r>
      <w:hyperlink w:anchor="ic14b27ef3a644d4aa2b1bbd95cd36467_73">
        <w:r>
          <w:rPr>
            <w:rStyle w:val="InternetLink"/>
            <w:rFonts w:ascii="Avenir Next LT Pro;sans-serif" w:hAnsi="Avenir Next LT Pro;sans-serif"/>
            <w:b w:val="false"/>
            <w:color w:val="0000FF"/>
            <w:sz w:val="20"/>
            <w:u w:val="single"/>
          </w:rPr>
          <w:t>Note E</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April 30, 2024, the Company has entered into forward fixed-price delivery contracts to manage risk associated with certain future oil and natural gas sales prices as follows:</w:t>
      </w:r>
    </w:p>
    <w:tbl>
      <w:tblPr>
        <w:tblW w:w="10205"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450"/>
        <w:gridCol w:w="450"/>
        <w:gridCol w:w="451"/>
        <w:gridCol w:w="109"/>
        <w:gridCol w:w="109"/>
        <w:gridCol w:w="109"/>
        <w:gridCol w:w="592"/>
        <w:gridCol w:w="592"/>
        <w:gridCol w:w="600"/>
        <w:gridCol w:w="109"/>
        <w:gridCol w:w="109"/>
        <w:gridCol w:w="109"/>
        <w:gridCol w:w="357"/>
        <w:gridCol w:w="357"/>
        <w:gridCol w:w="359"/>
        <w:gridCol w:w="109"/>
        <w:gridCol w:w="109"/>
        <w:gridCol w:w="109"/>
        <w:gridCol w:w="332"/>
        <w:gridCol w:w="332"/>
        <w:gridCol w:w="333"/>
        <w:gridCol w:w="109"/>
        <w:gridCol w:w="109"/>
        <w:gridCol w:w="109"/>
        <w:gridCol w:w="327"/>
        <w:gridCol w:w="327"/>
        <w:gridCol w:w="320"/>
        <w:gridCol w:w="183"/>
        <w:gridCol w:w="183"/>
        <w:gridCol w:w="183"/>
        <w:gridCol w:w="294"/>
        <w:gridCol w:w="294"/>
        <w:gridCol w:w="398"/>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w:t>
              <w:b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4/1/2024</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US$1.98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4/1/2024</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10/31/2024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US$1.98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11/1/2024</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4155"/>
                <wp:effectExtent l="0" t="0" r="0" b="0"/>
                <wp:wrapNone/>
                <wp:docPr id="36" name="Frame3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before="120" w:after="12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Forward-Looking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“expressed confidence”,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decisions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ESG (environmental/social/governance) matters, make capital expenditures or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gas industry, including supply/demand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 of health pandemics such as COVID-19 and related government responses; other natural hazards impacting our operations or markets; any other deterioration in our business, markets or prospects; any failure to obtain necessary regulatory approvals; any inability to service or refinance our outstanding debt or to access debt markets at acceptable prices; or adverse developments in the U.S. or global capital markets, credit markets, banking system or economies in general, including inflation. For further discussion of factors that could cause one or more of these future events or results not to occur as implied by any forward-looking statement, see “Risk Factors” in our most recent Annual Report on Form 10-K filed with the U.S. Securities and Exchange Commission (“SEC”) and on page </w:t>
      </w:r>
      <w:hyperlink w:anchor="ic14b27ef3a644d4aa2b1bbd95cd36467_232">
        <w:r>
          <w:rPr>
            <w:rStyle w:val="InternetLink"/>
            <w:rFonts w:ascii="Avenir Next LT Pro;sans-serif" w:hAnsi="Avenir Next LT Pro;sans-serif"/>
            <w:b w:val="false"/>
            <w:color w:val="0000FF"/>
            <w:sz w:val="20"/>
            <w:u w:val="single"/>
          </w:rPr>
          <w:t>37</w:t>
        </w:r>
      </w:hyperlink>
      <w:r>
        <w:rPr>
          <w:color w:val="000000"/>
        </w:rPr>
        <w:t xml:space="preserve"> </w:t>
      </w:r>
      <w:r>
        <w:rPr>
          <w:rFonts w:ascii="Avenir Next LT Pro;sans-serif" w:hAnsi="Avenir Next LT Pro;sans-serif"/>
          <w:b w:val="false"/>
          <w:color w:val="000000"/>
          <w:sz w:val="20"/>
        </w:rPr>
        <w:t>of this Form 10-Q report,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Murphy Oil Corporation undertakes no duty to publicly update or revise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4155"/>
                <wp:effectExtent l="0" t="0" r="0" b="0"/>
                <wp:wrapNone/>
                <wp:docPr id="37" name="Frame3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before="20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3. QUANTITATIVE AND QUALITATIVE DISCLOSURES ABOUT MARKET RISK</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is exposed to market risks associated with interest rates, prices of crude oil, natural gas and petroleum products, and foreign currency exchange rates. As described in </w:t>
      </w:r>
      <w:hyperlink w:anchor="ic14b27ef3a644d4aa2b1bbd95cd36467_103">
        <w:r>
          <w:rPr>
            <w:rStyle w:val="InternetLink"/>
            <w:rFonts w:ascii="Avenir Next LT Pro;sans-serif" w:hAnsi="Avenir Next LT Pro;sans-serif"/>
            <w:b w:val="false"/>
            <w:color w:val="0000FF"/>
            <w:sz w:val="20"/>
            <w:u w:val="single"/>
          </w:rPr>
          <w:t>Note L</w:t>
        </w:r>
      </w:hyperlink>
      <w:r>
        <w:rPr>
          <w:color w:val="000000"/>
        </w:rPr>
        <w:t xml:space="preserve"> </w:t>
      </w:r>
      <w:r>
        <w:rPr>
          <w:rFonts w:ascii="Avenir Next LT Pro;sans-serif" w:hAnsi="Avenir Next LT Pro;sans-serif"/>
          <w:b w:val="false"/>
          <w:color w:val="000000"/>
          <w:sz w:val="20"/>
        </w:rPr>
        <w:t>to this Form 10-Q report, Murphy, at times, makes use of derivative financial and commodity instruments to manage risks associated with existing or anticipated transactions.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derivative commodity contracts in place at March 31, 2024.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derivative foreign exchange contracts in place at March 31, 2024.</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4.  CONTROLS AND PROCEDURES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quarter ended March 31, 2024, there were no changes in the Company’s internal control over financial reporting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4155"/>
                <wp:effectExtent l="0" t="0" r="0" b="0"/>
                <wp:wrapNone/>
                <wp:docPr id="38" name="Frame3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LEGAL PROCEEDINGS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and its subsidiaries are engaged in a number of legal proceedings, all of which Murphy considers routine and incidental to its business. Based on information currently available to the Company, the ultimate resolution of matters referred to in this item is not expected to have a material adverse effect on the Company’s net income or loss,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w:t>
      </w:r>
    </w:p>
    <w:p>
      <w:pPr>
        <w:pStyle w:val="TextBody"/>
        <w:bidi w:val="0"/>
        <w:spacing w:lineRule="auto" w:line="288" w:before="120" w:after="120"/>
        <w:jc w:val="left"/>
        <w:rPr/>
      </w:pPr>
      <w:r>
        <w:rPr>
          <w:rFonts w:ascii="Avenir Next LT Pro;sans-serif" w:hAnsi="Avenir Next LT Pro;sans-serif"/>
          <w:b w:val="false"/>
          <w:color w:val="000000"/>
          <w:sz w:val="20"/>
        </w:rPr>
        <w:t>The Company’s operations in the oil and gas business naturally lead to various risks and uncertainties. These risk factors are discussed in Item 1A Risk Factors in the Company’s 2023 Form 10-K filed on February 23, 2024. In March 2024, the SEC finalized its climate disclosure rule, SEC Release No. 34-99678,</w:t>
      </w:r>
      <w:r>
        <w:rPr>
          <w:color w:val="000000"/>
        </w:rPr>
        <w:t xml:space="preserve"> </w:t>
      </w:r>
      <w:r>
        <w:rPr>
          <w:rFonts w:ascii="Avenir Next LT Pro;sans-serif" w:hAnsi="Avenir Next LT Pro;sans-serif"/>
          <w:b w:val="false"/>
          <w:i/>
          <w:color w:val="000000"/>
          <w:sz w:val="20"/>
        </w:rPr>
        <w:t>The Enhancement and Standardization of Climate-Related Disclosures for Investor</w:t>
      </w:r>
      <w:r>
        <w:rPr>
          <w:rFonts w:ascii="Avenir Next LT Pro;sans-serif" w:hAnsi="Avenir Next LT Pro;sans-serif"/>
          <w:b w:val="false"/>
          <w:color w:val="000000"/>
          <w:sz w:val="20"/>
        </w:rPr>
        <w:t>s, which requires registrants to provide certain climate-related information in their annual reports. In April 2024, the SEC stayed the climate disclosure rule pending judicial review. The Company has not identified any additional risk factors not previously disclosed in its 2023 Form 10-K report or noted above.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2. UNREGISTERED SALES OF EQUITY SECURITIES AND USE OF PROCEEDS</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Issuer Purchase of Equity Securities: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summarizes repurchases of our common stock occurring in the first quarter 2024.</w:t>
      </w:r>
    </w:p>
    <w:tbl>
      <w:tblPr>
        <w:tblW w:w="10205" w:type="dxa"/>
        <w:jc w:val="center"/>
        <w:tblInd w:w="0" w:type="dxa"/>
        <w:tblLayout w:type="fixed"/>
        <w:tblCellMar>
          <w:top w:w="28" w:type="dxa"/>
          <w:left w:w="28" w:type="dxa"/>
          <w:bottom w:w="28" w:type="dxa"/>
          <w:right w:w="28" w:type="dxa"/>
        </w:tblCellMar>
      </w:tblPr>
      <w:tblGrid>
        <w:gridCol w:w="523"/>
        <w:gridCol w:w="377"/>
        <w:gridCol w:w="384"/>
        <w:gridCol w:w="109"/>
        <w:gridCol w:w="109"/>
        <w:gridCol w:w="109"/>
        <w:gridCol w:w="800"/>
        <w:gridCol w:w="457"/>
        <w:gridCol w:w="458"/>
        <w:gridCol w:w="109"/>
        <w:gridCol w:w="109"/>
        <w:gridCol w:w="109"/>
        <w:gridCol w:w="273"/>
        <w:gridCol w:w="853"/>
        <w:gridCol w:w="131"/>
        <w:gridCol w:w="109"/>
        <w:gridCol w:w="109"/>
        <w:gridCol w:w="109"/>
        <w:gridCol w:w="954"/>
        <w:gridCol w:w="655"/>
        <w:gridCol w:w="656"/>
        <w:gridCol w:w="109"/>
        <w:gridCol w:w="109"/>
        <w:gridCol w:w="109"/>
        <w:gridCol w:w="403"/>
        <w:gridCol w:w="1690"/>
        <w:gridCol w:w="283"/>
      </w:tblGrid>
      <w:tr>
        <w:trPr/>
        <w:tc>
          <w:tcPr>
            <w:tcW w:w="52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val="false"/>
                <w:color w:val="000000"/>
                <w:sz w:val="20"/>
              </w:rPr>
              <w:t>Average Price Paid Per Share</w:t>
            </w:r>
            <w:r>
              <w:rPr>
                <w:rFonts w:ascii="Avenir Next LT Pro;sans-serif" w:hAnsi="Avenir Next LT Pr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val="false"/>
                <w:color w:val="000000"/>
                <w:sz w:val="20"/>
              </w:rPr>
              <w:t>Maximum Approximate Dollar Value of Shares that May Yet Be Purchased Under Plans or Programs</w:t>
            </w:r>
            <w:r>
              <w:rPr>
                <w:rFonts w:ascii="Avenir Next LT Pro;sans-serif" w:hAnsi="Avenir Next LT Pro;sans-serif"/>
                <w:b w:val="false"/>
                <w:color w:val="000000"/>
                <w:sz w:val="13"/>
              </w:rPr>
              <w:t>2,3</w:t>
            </w:r>
            <w:r>
              <w:rPr>
                <w:color w:val="000000"/>
              </w:rPr>
              <w:t xml:space="preserve"> </w:t>
            </w:r>
          </w:p>
          <w:p>
            <w:pPr>
              <w:pStyle w:val="TableContents"/>
              <w:bidi w:val="0"/>
              <w:spacing w:lineRule="auto" w:line="240" w:before="0" w:after="0"/>
              <w:jc w:val="center"/>
              <w:rPr>
                <w:rFonts w:ascii="Avenir Next LT Pro;sans-serif" w:hAnsi="Avenir Next LT Pro;sans-serif"/>
                <w:b w:val="false"/>
                <w:i/>
                <w:color w:val="000000"/>
                <w:sz w:val="18"/>
              </w:rPr>
            </w:pPr>
            <w:r>
              <w:rPr>
                <w:rFonts w:ascii="Avenir Next LT Pro;sans-serif" w:hAnsi="Avenir Next LT Pro;sans-serif"/>
                <w:b w:val="false"/>
                <w:i/>
                <w:color w:val="000000"/>
                <w:sz w:val="18"/>
              </w:rPr>
              <w:t>(in thousands)</w:t>
            </w:r>
          </w:p>
        </w:tc>
      </w:tr>
      <w:tr>
        <w:trPr/>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January 1 through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450,000 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February 1 through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1,273,245 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1,273,245 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March 1 through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Amounts exclude 1% excise tax and fees on share repurchases.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In August 2022, the Board authorized an initial share repurchase program of up to $300 million of the Company’s common stock. On October 30, 2023, the Board authorized an increase to the share repurchase program by an additional $300 million, bringing the total amount allowed to be repurchased under the program to $600 million. Pursuant to the share repurchase program, the Company may repurchase shares through open market purchases, privately negotiated transactions and other means in accordance with federal securities laws. This repurchase program has no time limit and may be suspended or discontinued completely at any time without prior notice as determined by the Company at its discretion.</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Maximum approximate dollar values reported represent amounts at end of the month. Since the inception of the share repurchase program, the Company has repurchased 4,684,403 shares of its common stock in open-market transactions for $199.9 million, excluding taxes and fees.</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4155"/>
                <wp:effectExtent l="0" t="0" r="0" b="0"/>
                <wp:wrapNone/>
                <wp:docPr id="39" name="Frame3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before="120" w:after="120"/>
        <w:jc w:val="left"/>
        <w:rPr/>
      </w:pPr>
      <w:r>
        <w:rPr/>
      </w:r>
    </w:p>
    <w:p>
      <w:pPr>
        <w:pStyle w:val="TextBody"/>
        <w:bidi w:val="0"/>
        <w:spacing w:before="200" w:after="120"/>
        <w:jc w:val="left"/>
        <w:rPr/>
      </w:pPr>
      <w:r>
        <w:rPr/>
      </w:r>
    </w:p>
    <w:p>
      <w:pPr>
        <w:pStyle w:val="TextBody"/>
        <w:bidi w:val="0"/>
        <w:spacing w:before="200" w:after="120"/>
        <w:jc w:val="left"/>
        <w:rPr/>
      </w:pPr>
      <w:r>
        <w:rPr/>
      </w:r>
    </w:p>
    <w:p>
      <w:pPr>
        <w:pStyle w:val="TextBody"/>
        <w:bidi w:val="0"/>
        <w:spacing w:before="20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5. OTHER INFORMATION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March 31, 2024, no director or officer of the Company adopted or terminated a “Rule 10b5-1 trading arrangement” or “non-Rule 10b5-1 trading arrangement,” as each term is defined in Item 408(a) of Regulation S-K.</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6. EXHIBITS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Exhibit Index on page </w:t>
      </w:r>
      <w:hyperlink w:anchor="ic14b27ef3a644d4aa2b1bbd95cd36467_247">
        <w:r>
          <w:rPr>
            <w:rStyle w:val="InternetLink"/>
            <w:rFonts w:ascii="Avenir Next LT Pro;sans-serif" w:hAnsi="Avenir Next LT Pro;sans-serif"/>
            <w:b w:val="false"/>
            <w:color w:val="0000FF"/>
            <w:sz w:val="20"/>
            <w:u w:val="single"/>
          </w:rPr>
          <w:t>40</w:t>
        </w:r>
      </w:hyperlink>
      <w:r>
        <w:rPr>
          <w:color w:val="000000"/>
        </w:rPr>
        <w:t xml:space="preserve"> </w:t>
      </w:r>
      <w:r>
        <w:rPr>
          <w:rFonts w:ascii="Avenir Next LT Pro;sans-serif" w:hAnsi="Avenir Next LT Pro;sans-serif"/>
          <w:b w:val="false"/>
          <w:color w:val="000000"/>
          <w:sz w:val="20"/>
        </w:rPr>
        <w:t>of this Form 10-Q report lists the exhibits that are hereby filed or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4155"/>
                <wp:effectExtent l="0" t="0" r="0" b="0"/>
                <wp:wrapNone/>
                <wp:docPr id="40" name="Frame3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center"/>
        <w:rPr>
          <w:rFonts w:ascii="Avenir Next LT Pro;sans-serif" w:hAnsi="Avenir Next LT Pro;sans-serif"/>
          <w:b/>
          <w:color w:val="000000"/>
          <w:sz w:val="20"/>
        </w:rPr>
      </w:pPr>
      <w:r>
        <w:rPr>
          <w:rFonts w:ascii="Avenir Next LT Pro;sans-serif" w:hAnsi="Avenir Next LT Pro;sans-serif"/>
          <w:b/>
          <w:color w:val="000000"/>
          <w:sz w:val="20"/>
        </w:rPr>
        <w:t>SIGNATURE</w:t>
      </w:r>
    </w:p>
    <w:p>
      <w:pPr>
        <w:pStyle w:val="TextBody"/>
        <w:bidi w:val="0"/>
        <w:spacing w:lineRule="auto" w:line="288" w:before="36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Pursuant to the requirements of the Securities Exchange Act of 1934, the Registrant has duly caused this report to be signed on its behalf by the undersigned thereunto duly authorized.</w:t>
      </w:r>
    </w:p>
    <w:tbl>
      <w:tblPr>
        <w:tblW w:w="7257" w:type="dxa"/>
        <w:jc w:val="left"/>
        <w:tblInd w:w="0" w:type="dxa"/>
        <w:tblLayout w:type="fixed"/>
        <w:tblCellMar>
          <w:top w:w="28" w:type="dxa"/>
          <w:left w:w="28" w:type="dxa"/>
          <w:bottom w:w="28" w:type="dxa"/>
          <w:right w:w="28" w:type="dxa"/>
        </w:tblCellMar>
      </w:tblPr>
      <w:tblGrid>
        <w:gridCol w:w="124"/>
        <w:gridCol w:w="109"/>
        <w:gridCol w:w="109"/>
        <w:gridCol w:w="505"/>
        <w:gridCol w:w="505"/>
        <w:gridCol w:w="505"/>
        <w:gridCol w:w="1580"/>
        <w:gridCol w:w="1580"/>
        <w:gridCol w:w="2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i/>
                <w:color w:val="000000"/>
                <w:sz w:val="20"/>
              </w:rPr>
            </w:pPr>
            <w:r>
              <w:rPr>
                <w:rFonts w:ascii="Avenir Next LT Pro;sans-serif" w:hAnsi="Avenir Next LT Pro;sans-serif"/>
                <w:b/>
                <w:i/>
                <w:color w:val="000000"/>
                <w:sz w:val="20"/>
              </w:rPr>
              <w:t>MURPHY OIL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By</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Vice President and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(Chief Accounting Officer and Duly Authorized Officer)</w:t>
            </w:r>
          </w:p>
        </w:tc>
      </w:tr>
    </w:tbl>
    <w:p>
      <w:pPr>
        <w:pStyle w:val="TextBody"/>
        <w:bidi w:val="0"/>
        <w:spacing w:lineRule="auto" w:line="288" w:before="1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May 2, 2024 </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4155"/>
                <wp:effectExtent l="0" t="0" r="0" b="0"/>
                <wp:wrapNone/>
                <wp:docPr id="41" name="Frame4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14b27ef3a644d4aa2b1bbd95cd36467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EXHIBIT INDEX</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an index of exhibits that are hereby filed as indicated by asterisk (*), that are considered furnished rather than filed, or that are incorporated by reference. Exhibits other than those listed have been omitted since they are either not required or not applicable.</w:t>
      </w:r>
    </w:p>
    <w:tbl>
      <w:tblPr>
        <w:tblW w:w="10205" w:type="dxa"/>
        <w:jc w:val="center"/>
        <w:tblInd w:w="0" w:type="dxa"/>
        <w:tblLayout w:type="fixed"/>
        <w:tblCellMar>
          <w:top w:w="28" w:type="dxa"/>
          <w:left w:w="28" w:type="dxa"/>
          <w:bottom w:w="28" w:type="dxa"/>
          <w:right w:w="28" w:type="dxa"/>
        </w:tblCellMar>
      </w:tblPr>
      <w:tblGrid>
        <w:gridCol w:w="347"/>
        <w:gridCol w:w="304"/>
        <w:gridCol w:w="307"/>
        <w:gridCol w:w="109"/>
        <w:gridCol w:w="109"/>
        <w:gridCol w:w="109"/>
        <w:gridCol w:w="2946"/>
        <w:gridCol w:w="2905"/>
        <w:gridCol w:w="2911"/>
        <w:gridCol w:w="15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40331xex1035.htm">
              <w:r>
                <w:rPr>
                  <w:rStyle w:val="InternetLink"/>
                  <w:rFonts w:ascii="Avenir Next LT Pro;sans-serif" w:hAnsi="Avenir Next LT Pro;sans-serif"/>
                  <w:b w:val="false"/>
                  <w:color w:val="0000FF"/>
                  <w:sz w:val="20"/>
                  <w:u w:val="single"/>
                </w:rPr>
                <w:t>*10.35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40331xex1035.htm">
              <w:r>
                <w:rPr>
                  <w:rStyle w:val="InternetLink"/>
                  <w:rFonts w:ascii="Avenir Next LT Pro;sans-serif" w:hAnsi="Avenir Next LT Pro;sans-serif"/>
                  <w:b w:val="false"/>
                  <w:color w:val="0000FF"/>
                  <w:sz w:val="20"/>
                  <w:u w:val="single"/>
                </w:rPr>
                <w:t>Form of non-employee director elective restricted stock unit (2021 NED Plan)</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40331xex311.htm">
              <w:r>
                <w:rPr>
                  <w:rStyle w:val="InternetLink"/>
                  <w:rFonts w:ascii="Avenir Next LT Pro;sans-serif" w:hAnsi="Avenir Next LT Pro;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40331xex311.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40331xex312.htm">
              <w:r>
                <w:rPr>
                  <w:rStyle w:val="InternetLink"/>
                  <w:rFonts w:ascii="Avenir Next LT Pro;sans-serif" w:hAnsi="Avenir Next LT Pro;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40331xex312.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40331xex321.htm">
              <w:r>
                <w:rPr>
                  <w:rStyle w:val="InternetLink"/>
                  <w:rFonts w:ascii="Avenir Next LT Pro;sans-serif" w:hAnsi="Avenir Next LT Pro;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40331xex321.htm">
              <w:r>
                <w:rPr>
                  <w:rStyle w:val="InternetLink"/>
                  <w:rFonts w:ascii="Avenir Next LT Pro;sans-serif" w:hAnsi="Avenir Next LT Pro;sans-serif"/>
                  <w:b w:val="false"/>
                  <w:color w:val="0000FF"/>
                  <w:sz w:val="20"/>
                  <w:u w:val="single"/>
                </w:rPr>
                <w:t>Certifications pursuant to 18 U.S.C. Section 1350, as adopted pursuant to Section 906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Instance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Schema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Calculation Linkbase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Definition Linkbase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Labels Linkbase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Presentation Linkbase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Cover Page Interactive Data File (formatted as Inline XBRL and contained in Exhibit 101)</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120"/>
        <w:ind w:left="0" w:right="0" w:firstLine="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10.35</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8.6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v:textbox>
                <w10:wrap type="none"/>
              </v:rect>
            </w:pict>
          </mc:Fallback>
        </mc:AlternateContent>
      </w:r>
    </w:p>
    <w:p>
      <w:pPr>
        <w:pStyle w:val="TextBody"/>
        <w:bidi w:val="0"/>
        <w:spacing w:lineRule="auto" w:line="276" w:before="0" w:after="0"/>
        <w:jc w:val="center"/>
        <w:rPr>
          <w:rFonts w:ascii="Calibri;sans-serif" w:hAnsi="Calibri;sans-serif"/>
          <w:b/>
          <w:color w:val="000000"/>
          <w:sz w:val="28"/>
        </w:rPr>
      </w:pPr>
      <w:r>
        <w:rPr>
          <w:rFonts w:ascii="Calibri;sans-serif" w:hAnsi="Calibri;sans-serif"/>
          <w:b/>
          <w:color w:val="000000"/>
          <w:sz w:val="28"/>
        </w:rPr>
        <w:t>MURPHY OIL CORPORATION</w:t>
      </w:r>
    </w:p>
    <w:p>
      <w:pPr>
        <w:pStyle w:val="TextBody"/>
        <w:bidi w:val="0"/>
        <w:spacing w:lineRule="auto" w:line="276" w:before="0" w:after="0"/>
        <w:jc w:val="center"/>
        <w:rPr>
          <w:rFonts w:ascii="Calibri;sans-serif" w:hAnsi="Calibri;sans-serif"/>
          <w:b/>
          <w:color w:val="000000"/>
          <w:sz w:val="28"/>
        </w:rPr>
      </w:pPr>
      <w:r>
        <w:rPr>
          <w:rFonts w:ascii="Calibri;sans-serif" w:hAnsi="Calibri;sans-serif"/>
          <w:b/>
          <w:color w:val="000000"/>
          <w:sz w:val="28"/>
        </w:rPr>
        <w:t>RESTRICTED STOCK UNIT GRANT AGREEMENT</w:t>
      </w:r>
    </w:p>
    <w:p>
      <w:pPr>
        <w:pStyle w:val="TextBody"/>
        <w:bidi w:val="0"/>
        <w:spacing w:lineRule="auto" w:line="276" w:before="0" w:after="0"/>
        <w:jc w:val="center"/>
        <w:rPr>
          <w:rFonts w:ascii="Calibri;sans-serif" w:hAnsi="Calibri;sans-serif"/>
          <w:b/>
          <w:color w:val="000000"/>
          <w:sz w:val="28"/>
        </w:rPr>
      </w:pPr>
      <w:r>
        <w:rPr>
          <w:rFonts w:ascii="Calibri;sans-serif" w:hAnsi="Calibri;sans-serif"/>
          <w:b/>
          <w:color w:val="000000"/>
          <w:sz w:val="28"/>
        </w:rPr>
        <w:t xml:space="preserve">ELECTIVE RSU </w:t>
      </w:r>
    </w:p>
    <w:tbl>
      <w:tblPr>
        <w:tblW w:w="10205" w:type="dxa"/>
        <w:jc w:val="center"/>
        <w:tblInd w:w="0" w:type="dxa"/>
        <w:tblLayout w:type="fixed"/>
        <w:tblCellMar>
          <w:top w:w="28" w:type="dxa"/>
          <w:left w:w="28" w:type="dxa"/>
          <w:bottom w:w="28" w:type="dxa"/>
          <w:right w:w="28" w:type="dxa"/>
        </w:tblCellMar>
      </w:tblPr>
      <w:tblGrid>
        <w:gridCol w:w="1254"/>
        <w:gridCol w:w="1101"/>
        <w:gridCol w:w="1105"/>
        <w:gridCol w:w="565"/>
        <w:gridCol w:w="565"/>
        <w:gridCol w:w="567"/>
        <w:gridCol w:w="1474"/>
        <w:gridCol w:w="1474"/>
        <w:gridCol w:w="2100"/>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Calibri;sans-serif" w:hAnsi="Calibri;sans-serif"/>
                <w:b w:val="false"/>
                <w:color w:val="000000"/>
                <w:sz w:val="22"/>
              </w:rPr>
            </w:pPr>
            <w:r>
              <w:rPr>
                <w:rFonts w:ascii="Calibri;sans-serif" w:hAnsi="Calibri;sans-serif"/>
                <w:b w:val="false"/>
                <w:color w:val="000000"/>
                <w:sz w:val="22"/>
              </w:rPr>
              <w:t>Restricted Stock Unit Award Number:</w:t>
            </w:r>
          </w:p>
          <w:p>
            <w:pPr>
              <w:pStyle w:val="TableContents"/>
              <w:bidi w:val="0"/>
              <w:spacing w:before="0" w:after="0"/>
              <w:jc w:val="center"/>
              <w:rPr/>
            </w:pPr>
            <w:r>
              <w:rPr/>
            </w:r>
          </w:p>
        </w:tc>
        <w:tc>
          <w:tcPr>
            <w:tcW w:w="16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68" w:before="0" w:after="0"/>
              <w:jc w:val="center"/>
              <w:rPr>
                <w:rFonts w:ascii="Calibri;sans-serif" w:hAnsi="Calibri;sans-serif"/>
                <w:b w:val="false"/>
                <w:color w:val="000000"/>
                <w:sz w:val="22"/>
              </w:rPr>
            </w:pPr>
            <w:r>
              <w:rPr>
                <w:rFonts w:ascii="Calibri;sans-serif" w:hAnsi="Calibri;sans-serif"/>
                <w:b w:val="false"/>
                <w:color w:val="000000"/>
                <w:sz w:val="22"/>
              </w:rPr>
              <w:t>Name of Grantee:</w:t>
            </w:r>
          </w:p>
        </w:tc>
        <w:tc>
          <w:tcPr>
            <w:tcW w:w="504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Calibri;sans-serif" w:hAnsi="Calibri;sans-serif"/>
                <w:b w:val="false"/>
                <w:color w:val="000000"/>
                <w:sz w:val="22"/>
              </w:rPr>
            </w:pPr>
            <w:r>
              <w:rPr>
                <w:rFonts w:ascii="Calibri;sans-serif" w:hAnsi="Calibri;sans-serif"/>
                <w:b w:val="false"/>
                <w:color w:val="000000"/>
                <w:sz w:val="22"/>
              </w:rPr>
              <w:t>Number of Restricted Stock Units Subject to this Grant:</w:t>
            </w:r>
          </w:p>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lineRule="auto" w:line="268" w:before="0" w:after="0"/>
        <w:jc w:val="both"/>
        <w:rPr/>
      </w:pPr>
      <w:r>
        <w:rPr>
          <w:rFonts w:ascii="Calibri;sans-serif" w:hAnsi="Calibri;sans-serif"/>
          <w:b w:val="false"/>
          <w:color w:val="000000"/>
          <w:sz w:val="22"/>
        </w:rPr>
        <w:t>This Restricted Stock Unit Award</w:t>
      </w:r>
      <w:r>
        <w:rPr>
          <w:color w:val="000000"/>
        </w:rPr>
        <w:t xml:space="preserve"> </w:t>
      </w:r>
      <w:r>
        <w:rPr>
          <w:rFonts w:ascii="Calibri;sans-serif" w:hAnsi="Calibri;sans-serif"/>
          <w:b w:val="false"/>
          <w:color w:val="000000"/>
          <w:sz w:val="24"/>
        </w:rPr>
        <w:t>is</w:t>
      </w:r>
      <w:r>
        <w:rPr>
          <w:color w:val="000000"/>
        </w:rPr>
        <w:t xml:space="preserve"> </w:t>
      </w:r>
      <w:r>
        <w:rPr>
          <w:rFonts w:ascii="Calibri;sans-serif" w:hAnsi="Calibri;sans-serif"/>
          <w:b w:val="false"/>
          <w:color w:val="000000"/>
          <w:sz w:val="22"/>
        </w:rPr>
        <w:t>granted on and dated</w:t>
      </w:r>
      <w:r>
        <w:rPr>
          <w:color w:val="000000"/>
        </w:rPr>
        <w:t xml:space="preserve"> </w:t>
      </w:r>
      <w:r>
        <w:rPr>
          <w:rFonts w:ascii="Calibri;sans-serif" w:hAnsi="Calibri;sans-serif"/>
          <w:b/>
          <w:color w:val="000000"/>
          <w:sz w:val="24"/>
        </w:rPr>
        <w:t>[•]</w:t>
      </w:r>
      <w:r>
        <w:rPr>
          <w:rFonts w:ascii="Calibri;sans-serif" w:hAnsi="Calibri;sans-serif"/>
          <w:b w:val="false"/>
          <w:color w:val="000000"/>
          <w:sz w:val="22"/>
        </w:rPr>
        <w:t>, by Murphy Oil Corporation, a Delaware corporation (the “Company”), pursuant to and for the purposes of the 2021 Stock Plan for Non-Employee Directors (the “Plan”) adopted by the stockholders of the Company on May 12, 2021, subject to the provisions set forth herein and in the Plan.</w:t>
      </w:r>
      <w:r>
        <w:rPr>
          <w:color w:val="000000"/>
        </w:rPr>
        <w:t xml:space="preserve"> </w:t>
      </w:r>
      <w:r>
        <w:rPr>
          <w:rFonts w:ascii="Calibri;sans-serif" w:hAnsi="Calibri;sans-serif"/>
          <w:b w:val="false"/>
          <w:color w:val="000000"/>
          <w:sz w:val="22"/>
        </w:rPr>
        <w:t>Any terms used herein and not otherwise defined shall have the meaning set forth in the Plan.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Calibri;sans-serif" w:hAnsi="Calibri;sans-serif"/>
          <w:b w:val="false"/>
          <w:color w:val="000000"/>
          <w:sz w:val="22"/>
        </w:rPr>
        <w:t>1.</w:t>
      </w:r>
      <w:r>
        <w:rPr>
          <w:color w:val="000000"/>
        </w:rPr>
        <w:t xml:space="preserve"> </w:t>
      </w:r>
      <w:r>
        <w:rPr>
          <w:rFonts w:ascii="Calibri;sans-serif" w:hAnsi="Calibri;sans-serif"/>
          <w:b w:val="false"/>
          <w:color w:val="000000"/>
          <w:sz w:val="22"/>
        </w:rPr>
        <w:t xml:space="preserve">The Company hereby grants to the individual named above (the “Awardee”) an award of Restricted Stock Units each equal in value to one share of Common Stock, </w:t>
      </w:r>
      <w:r>
        <w:rPr>
          <w:rFonts w:ascii="Calibri;sans-serif" w:hAnsi="Calibri;sans-serif"/>
          <w:b w:val="false"/>
          <w:color w:val="000000"/>
          <w:sz w:val="24"/>
        </w:rPr>
        <w:t>$1.00 par value</w:t>
      </w:r>
      <w:r>
        <w:rPr>
          <w:rFonts w:ascii="Calibri;sans-serif" w:hAnsi="Calibri;sans-serif"/>
          <w:b w:val="false"/>
          <w:color w:val="000000"/>
          <w:sz w:val="22"/>
        </w:rPr>
        <w:t>.</w:t>
      </w:r>
      <w:r>
        <w:rPr>
          <w:color w:val="000000"/>
        </w:rPr>
        <w:t xml:space="preserve"> </w:t>
      </w:r>
      <w:r>
        <w:rPr>
          <w:rFonts w:ascii="Calibri;sans-serif" w:hAnsi="Calibri;sans-serif"/>
          <w:b w:val="false"/>
          <w:color w:val="000000"/>
          <w:sz w:val="22"/>
        </w:rPr>
        <w:t>This award constitutes a right to receive shares in the future and does not represent any current interest in the shares subject to the award.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Calibri;sans-serif" w:hAnsi="Calibri;sans-serif"/>
          <w:b w:val="false"/>
          <w:color w:val="000000"/>
          <w:sz w:val="22"/>
        </w:rPr>
        <w:t>2.</w:t>
      </w:r>
      <w:r>
        <w:rPr>
          <w:color w:val="000000"/>
        </w:rPr>
        <w:t xml:space="preserve"> </w:t>
      </w:r>
      <w:r>
        <w:rPr>
          <w:rFonts w:ascii="Calibri;sans-serif" w:hAnsi="Calibri;sans-serif"/>
          <w:b w:val="false"/>
          <w:color w:val="000000"/>
          <w:sz w:val="22"/>
        </w:rPr>
        <w:t>This award is fully vested as of the date of grant and Common Shares and any accrued dividend equivalents will be issued, without restrictions, within thirty days following vesting date or, to the extent a valid deferral election has been made by the Awardee, the settlement date selected pursuant to the Awardee’s valid deferral election made in accordance with the Plan (each, the “Settlement Date”).</w:t>
      </w:r>
      <w:r>
        <w:rPr>
          <w:color w:val="000000"/>
        </w:rPr>
        <w:t xml:space="preserve"> </w:t>
      </w:r>
      <w:r>
        <w:rPr>
          <w:rFonts w:ascii="Calibri;sans-serif" w:hAnsi="Calibri;sans-serif"/>
          <w:b w:val="false"/>
          <w:color w:val="000000"/>
          <w:sz w:val="22"/>
        </w:rPr>
        <w:t>This award shall not be settled whenever the delivery of Common Shares under it would be a violation of any applicable law, rule or regulation.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Calibri;sans-serif" w:hAnsi="Calibri;sans-serif"/>
          <w:b w:val="false"/>
          <w:color w:val="000000"/>
          <w:sz w:val="22"/>
        </w:rPr>
        <w:t>3.</w:t>
      </w:r>
      <w:r>
        <w:rPr>
          <w:color w:val="000000"/>
        </w:rPr>
        <w:t xml:space="preserve"> </w:t>
      </w:r>
      <w:r>
        <w:rPr>
          <w:rFonts w:ascii="Calibri;sans-serif" w:hAnsi="Calibri;sans-serif"/>
          <w:b w:val="false"/>
          <w:color w:val="000000"/>
          <w:sz w:val="22"/>
        </w:rPr>
        <w:t xml:space="preserve">In the event of any relevant change in the capitalization of the Company subsequent to the date of this grant and prior to its settlement, the number of Restricted Stock Units will be adjusted to reflect that change. </w:t>
      </w:r>
    </w:p>
    <w:p>
      <w:pPr>
        <w:pStyle w:val="TextBody"/>
        <w:bidi w:val="0"/>
        <w:spacing w:before="0" w:after="0"/>
        <w:jc w:val="left"/>
        <w:rPr/>
      </w:pPr>
      <w:r>
        <w:rPr/>
      </w:r>
    </w:p>
    <w:p>
      <w:pPr>
        <w:pStyle w:val="TextBody"/>
        <w:bidi w:val="0"/>
        <w:spacing w:lineRule="auto" w:line="268" w:before="0" w:after="0"/>
        <w:jc w:val="both"/>
        <w:rPr/>
      </w:pPr>
      <w:r>
        <w:rPr>
          <w:rFonts w:ascii="Calibri;sans-serif" w:hAnsi="Calibri;sans-serif"/>
          <w:b w:val="false"/>
          <w:color w:val="000000"/>
          <w:sz w:val="22"/>
        </w:rPr>
        <w:t>4.</w:t>
      </w:r>
      <w:r>
        <w:rPr>
          <w:color w:val="000000"/>
        </w:rPr>
        <w:t xml:space="preserve"> </w:t>
      </w:r>
      <w:r>
        <w:rPr>
          <w:rFonts w:ascii="Calibri;sans-serif" w:hAnsi="Calibri;sans-serif"/>
          <w:b w:val="false"/>
          <w:color w:val="000000"/>
          <w:sz w:val="22"/>
        </w:rPr>
        <w:t xml:space="preserve">This </w:t>
      </w:r>
      <w:r>
        <w:rPr>
          <w:rFonts w:ascii="Calibri;sans-serif" w:hAnsi="Calibri;sans-serif"/>
          <w:b w:val="false"/>
          <w:color w:val="000000"/>
          <w:sz w:val="24"/>
        </w:rPr>
        <w:t xml:space="preserve">Restricted Stock Unit </w:t>
      </w:r>
      <w:r>
        <w:rPr>
          <w:rFonts w:ascii="Calibri;sans-serif" w:hAnsi="Calibri;sans-serif"/>
          <w:b w:val="false"/>
          <w:color w:val="000000"/>
          <w:sz w:val="22"/>
        </w:rPr>
        <w:t>Award is not assignable except as provided in the case of death and is not subject in whole or in part to attachment, execution or levy of any kind.</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4"/>
        </w:rPr>
      </w:pPr>
      <w:r>
        <w:rPr>
          <w:rFonts w:ascii="Calibri;sans-serif" w:hAnsi="Calibri;sans-serif"/>
          <w:b w:val="false"/>
          <w:color w:val="000000"/>
          <w:sz w:val="24"/>
        </w:rPr>
        <w:t>5. The holder of the Restricted Stock Units shall not be eligible to receive any dividends or other distributions paid with respect to the underlying Common Shares prior to the Settlement Date. An amount equivalent to these dividends and/or other distributions shall be paid to the holder on the Settlement Date. Any such payment (unadjusted for interest) shall be made in whole shares of the Common Stock of the Company and in cash equal to the value of any fractional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Calibri;sans-serif" w:hAnsi="Calibri;sans-serif"/>
          <w:b w:val="false"/>
          <w:color w:val="000000"/>
          <w:sz w:val="22"/>
        </w:rPr>
        <w:t>Attest:</w:t>
      </w:r>
      <w:r>
        <w:rPr>
          <w:color w:val="000000"/>
        </w:rPr>
        <w:t xml:space="preserve"> </w:t>
      </w:r>
      <w:r>
        <w:rPr>
          <w:rFonts w:ascii="Calibri;sans-serif" w:hAnsi="Calibri;sans-serif"/>
          <w:b w:val="false"/>
          <w:color w:val="000000"/>
          <w:sz w:val="22"/>
        </w:rPr>
        <w:t>Murphy Oil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Calibri;sans-serif" w:hAnsi="Calibri;sans-serif"/>
          <w:b w:val="false"/>
          <w:color w:val="000000"/>
          <w:sz w:val="22"/>
        </w:rPr>
        <w:t>_______________________________________</w:t>
      </w:r>
      <w:r>
        <w:rPr>
          <w:color w:val="000000"/>
        </w:rPr>
        <w:t xml:space="preserve"> </w:t>
      </w:r>
      <w:r>
        <w:rPr>
          <w:rFonts w:ascii="Calibri;sans-serif" w:hAnsi="Calibri;sans-serif"/>
          <w:b w:val="false"/>
          <w:color w:val="000000"/>
          <w:sz w:val="22"/>
        </w:rPr>
        <w:t>By _____________________________________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Roger W. Jenkins,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1935" w:type="dxa"/>
        <w:jc w:val="left"/>
        <w:tblInd w:w="0" w:type="dxa"/>
        <w:tblLayout w:type="fixed"/>
        <w:tblCellMar>
          <w:top w:w="28" w:type="dxa"/>
          <w:left w:w="28" w:type="dxa"/>
          <w:bottom w:w="28" w:type="dxa"/>
          <w:right w:w="28" w:type="dxa"/>
        </w:tblCellMar>
      </w:tblPr>
      <w:tblGrid>
        <w:gridCol w:w="619"/>
        <w:gridCol w:w="543"/>
        <w:gridCol w:w="77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May 2, 2024</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7"/>
        <w:gridCol w:w="108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Roger W. Jenkins</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Roger W. Jenkins</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Thomas J. Mireles,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1935" w:type="dxa"/>
        <w:jc w:val="left"/>
        <w:tblInd w:w="0" w:type="dxa"/>
        <w:tblLayout w:type="fixed"/>
        <w:tblCellMar>
          <w:top w:w="28" w:type="dxa"/>
          <w:left w:w="28" w:type="dxa"/>
          <w:bottom w:w="28" w:type="dxa"/>
          <w:right w:w="28" w:type="dxa"/>
        </w:tblCellMar>
      </w:tblPr>
      <w:tblGrid>
        <w:gridCol w:w="619"/>
        <w:gridCol w:w="543"/>
        <w:gridCol w:w="77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May 2, 2024</w:t>
            </w:r>
          </w:p>
        </w:tc>
      </w:tr>
    </w:tbl>
    <w:p>
      <w:pPr>
        <w:pStyle w:val="TextBody"/>
        <w:bidi w:val="0"/>
        <w:spacing w:before="10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32.1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18 U.S.C. SECTION 1350,</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AS ADOPTED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906 OF THE SARBANES-OXLEY ACT OF 2002</w:t>
      </w:r>
    </w:p>
    <w:p>
      <w:pPr>
        <w:pStyle w:val="TextBody"/>
        <w:bidi w:val="0"/>
        <w:spacing w:lineRule="auto" w:line="288" w:before="200" w:after="283"/>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In connection with the quarterly report of Murphy Oil Corporation (the “Company”) on Form 10-Q for the period ended March 31, 2024 as filed with the Securities and Exchange Commission on the date hereof (the “Report”), we, Roger W. Jenkins and Thomas J. Mireles,  Principal Executive Officer and Principal Financial Officer, respectively, of the Company, certify, pursuant to 18 U.S.C. § 1350, as adopted pursuant to § 906 of the Sarbanes-Oxley Act of 2002, that to our knowledge: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(2)The information contained in the Report fairly presents, in all material respects, the financial condition and results of operations of the Company.</w:t>
      </w:r>
    </w:p>
    <w:tbl>
      <w:tblPr>
        <w:tblW w:w="1935" w:type="dxa"/>
        <w:jc w:val="left"/>
        <w:tblInd w:w="0" w:type="dxa"/>
        <w:tblLayout w:type="fixed"/>
        <w:tblCellMar>
          <w:top w:w="28" w:type="dxa"/>
          <w:left w:w="28" w:type="dxa"/>
          <w:bottom w:w="28" w:type="dxa"/>
          <w:right w:w="28" w:type="dxa"/>
        </w:tblCellMar>
      </w:tblPr>
      <w:tblGrid>
        <w:gridCol w:w="619"/>
        <w:gridCol w:w="543"/>
        <w:gridCol w:w="77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May 2, 2024</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7"/>
        <w:gridCol w:w="108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Roger W. Jenkins</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Roger W. Jenkins</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spacing w:before="8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venir Next LT Pro">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16788</Words>
  <Characters>93798</Characters>
  <CharactersWithSpaces>109263</CharactersWithSpaces>
  <Paragraphs>2345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