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DEMING CLAIBORNE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 KATY FREEWAY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MURPHY OIL CORP</w:t>
              </w:r>
            </w:hyperlink>
            <w:r>
              <w:rPr/>
              <w:t xml:space="preserve"> [ </w:t>
            </w:r>
            <w:r>
              <w:rPr>
                <w:rFonts w:ascii="Times;serif" w:hAnsi="Times;serif"/>
                <w:color w:val="0000FF"/>
                <w:sz w:val="24"/>
                <w:shd w:fill="FFFFFF" w:val="clear"/>
              </w:rPr>
              <w:t>MUR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1"/>
        <w:gridCol w:w="931"/>
        <w:gridCol w:w="798"/>
        <w:gridCol w:w="618"/>
        <w:gridCol w:w="349"/>
        <w:gridCol w:w="788"/>
        <w:gridCol w:w="438"/>
        <w:gridCol w:w="607"/>
        <w:gridCol w:w="1281"/>
        <w:gridCol w:w="992"/>
        <w:gridCol w:w="12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987,092</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50,224</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1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1,639,538</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Beneficiary Of Trusts</w:t>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86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63,685</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63,685</w:t>
            </w: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32,553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stock unit is the economic equivalent of one (1) share of Murphy Oil Corporation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phantom stock units were acquired under Murphy Oil Corporation's excess benefit plan and are to be settled upon the reporting person's retirement or other termination of service. The reporting person may transfer the value of his phantom stock units into an alternative investment account at any time prior to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587 shares obtained under Murphy Oil Corporation's Non-Qualified Deferred Compensation Plan for Non-Employee Directors. The information in this report is based on a plan statement dated September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 Award granted under the 2026 Stock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Securities generally do not carry a Conversion Price, Exercisable Date, or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Vest date is February 4, 2027. The reporting person has elected to defer settlement of restricted stock units in accordance with their deferral election form to either (1) following the reporting person's termination of service from the Board or (2) on a future date selected by the reporting person at the time of their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has elected to defer settlement of restricted stock units in accordance with their deferral election form to either (1) following the reporting person's termination of service from the Board or (2) on a future date selected by the reporting person at the time of their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represent fully-vested restricted stock units ("RSUs") issued in lieu of quarterly cash retainer(s) payable under Murphy Oil Corporation's Non-Employee Director Deferred Compensation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Tricia M. Hammons,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6951" TargetMode="External"/><Relationship Id="rId5" Type="http://schemas.openxmlformats.org/officeDocument/2006/relationships/hyperlink" Target="http://www.sec.gov/cgi-bin/browse-edgar?action=getcompany&amp;CIK=0000717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4744</Characters>
  <CharactersWithSpaces>5510</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