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215900</wp:posOffset>
            </wp:positionH>
            <wp:positionV relativeFrom="page">
              <wp:posOffset>597535</wp:posOffset>
            </wp:positionV>
            <wp:extent cx="7117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080" cy="1714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84" w:lineRule="exact"/>
        <w:rPr>
          <w:sz w:val="24"/>
          <w:szCs w:val="24"/>
          <w:color w:val="auto"/>
        </w:rPr>
      </w:pPr>
    </w:p>
    <w:tbl>
      <w:tblPr>
        <w:tblLayout w:type="fixed"/>
        <w:tblInd w:w="80" w:type="dxa"/>
        <w:tblCellMar>
          <w:top w:w="0" w:type="dxa"/>
          <w:left w:w="0" w:type="dxa"/>
          <w:bottom w:w="0" w:type="dxa"/>
          <w:right w:w="0" w:type="dxa"/>
        </w:tblCellMar>
      </w:tblPr>
      <w:tr>
        <w:trPr>
          <w:trHeight w:val="249"/>
        </w:trPr>
        <w:tc>
          <w:tcPr>
            <w:tcW w:w="8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8920" w:type="dxa"/>
            <w:vAlign w:val="bottom"/>
            <w:gridSpan w:val="2"/>
          </w:tcPr>
          <w:p>
            <w:pPr>
              <w:jc w:val="center"/>
              <w:ind w:left="64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21"/>
        </w:trPr>
        <w:tc>
          <w:tcPr>
            <w:tcW w:w="860" w:type="dxa"/>
            <w:vAlign w:val="bottom"/>
          </w:tcPr>
          <w:p>
            <w:pPr>
              <w:spacing w:after="0"/>
              <w:rPr>
                <w:sz w:val="19"/>
                <w:szCs w:val="19"/>
                <w:color w:val="auto"/>
              </w:rPr>
            </w:pPr>
          </w:p>
        </w:tc>
        <w:tc>
          <w:tcPr>
            <w:tcW w:w="8920" w:type="dxa"/>
            <w:vAlign w:val="bottom"/>
            <w:gridSpan w:val="2"/>
          </w:tcPr>
          <w:p>
            <w:pPr>
              <w:ind w:left="2900"/>
              <w:spacing w:after="0"/>
              <w:rPr>
                <w:sz w:val="20"/>
                <w:szCs w:val="20"/>
                <w:color w:val="auto"/>
              </w:rPr>
            </w:pPr>
            <w:r>
              <w:rPr>
                <w:rFonts w:ascii="Arial" w:cs="Arial" w:eastAsia="Arial" w:hAnsi="Arial"/>
                <w:sz w:val="16"/>
                <w:szCs w:val="16"/>
                <w:b w:val="1"/>
                <w:bCs w:val="1"/>
                <w:color w:val="auto"/>
              </w:rPr>
              <w:t>For the fiscal year ended December 31, 2024</w:t>
            </w:r>
          </w:p>
        </w:tc>
        <w:tc>
          <w:tcPr>
            <w:tcW w:w="0" w:type="dxa"/>
            <w:vAlign w:val="bottom"/>
          </w:tcPr>
          <w:p>
            <w:pPr>
              <w:spacing w:after="0"/>
              <w:rPr>
                <w:sz w:val="1"/>
                <w:szCs w:val="1"/>
                <w:color w:val="auto"/>
              </w:rPr>
            </w:pPr>
          </w:p>
        </w:tc>
      </w:tr>
      <w:tr>
        <w:trPr>
          <w:trHeight w:val="327"/>
        </w:trPr>
        <w:tc>
          <w:tcPr>
            <w:tcW w:w="86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5580" w:type="dxa"/>
            <w:vAlign w:val="bottom"/>
          </w:tcPr>
          <w:p>
            <w:pPr>
              <w:ind w:left="4560"/>
              <w:spacing w:after="0"/>
              <w:rPr>
                <w:sz w:val="20"/>
                <w:szCs w:val="20"/>
                <w:color w:val="auto"/>
              </w:rPr>
            </w:pPr>
            <w:r>
              <w:rPr>
                <w:rFonts w:ascii="Arial" w:cs="Arial" w:eastAsia="Arial" w:hAnsi="Arial"/>
                <w:sz w:val="16"/>
                <w:szCs w:val="16"/>
                <w:b w:val="1"/>
                <w:bCs w:val="1"/>
                <w:color w:val="auto"/>
              </w:rPr>
              <w:t>OR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60" w:type="dxa"/>
            <w:vAlign w:val="bottom"/>
            <w:vMerge w:val="continue"/>
          </w:tcPr>
          <w:p>
            <w:pPr>
              <w:spacing w:after="0"/>
              <w:rPr>
                <w:sz w:val="18"/>
                <w:szCs w:val="18"/>
                <w:color w:val="auto"/>
              </w:rPr>
            </w:pPr>
          </w:p>
        </w:tc>
        <w:tc>
          <w:tcPr>
            <w:tcW w:w="8920" w:type="dxa"/>
            <w:vAlign w:val="bottom"/>
            <w:gridSpan w:val="2"/>
          </w:tcPr>
          <w:p>
            <w:pPr>
              <w:jc w:val="center"/>
              <w:ind w:left="62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21"/>
        </w:trPr>
        <w:tc>
          <w:tcPr>
            <w:tcW w:w="860" w:type="dxa"/>
            <w:vAlign w:val="bottom"/>
          </w:tcPr>
          <w:p>
            <w:pPr>
              <w:spacing w:after="0"/>
              <w:rPr>
                <w:sz w:val="19"/>
                <w:szCs w:val="19"/>
                <w:color w:val="auto"/>
              </w:rPr>
            </w:pPr>
          </w:p>
        </w:tc>
        <w:tc>
          <w:tcPr>
            <w:tcW w:w="5580" w:type="dxa"/>
            <w:vAlign w:val="bottom"/>
          </w:tcPr>
          <w:p>
            <w:pPr>
              <w:ind w:left="3020"/>
              <w:spacing w:after="0"/>
              <w:rPr>
                <w:sz w:val="20"/>
                <w:szCs w:val="20"/>
                <w:color w:val="auto"/>
              </w:rPr>
            </w:pPr>
            <w:r>
              <w:rPr>
                <w:rFonts w:ascii="Arial" w:cs="Arial" w:eastAsia="Arial" w:hAnsi="Arial"/>
                <w:sz w:val="16"/>
                <w:szCs w:val="16"/>
                <w:b w:val="1"/>
                <w:bCs w:val="1"/>
                <w:color w:val="auto"/>
              </w:rPr>
              <w:t>For the transition period from</w:t>
            </w:r>
          </w:p>
        </w:tc>
        <w:tc>
          <w:tcPr>
            <w:tcW w:w="3340" w:type="dxa"/>
            <w:vAlign w:val="bottom"/>
          </w:tcPr>
          <w:p>
            <w:pPr>
              <w:ind w:left="320"/>
              <w:spacing w:after="0"/>
              <w:rPr>
                <w:sz w:val="20"/>
                <w:szCs w:val="20"/>
                <w:color w:val="auto"/>
              </w:rPr>
            </w:pPr>
            <w:r>
              <w:rPr>
                <w:rFonts w:ascii="Arial" w:cs="Arial" w:eastAsia="Arial" w:hAnsi="Arial"/>
                <w:sz w:val="16"/>
                <w:szCs w:val="16"/>
                <w:b w:val="1"/>
                <w:bCs w:val="1"/>
                <w:color w:val="auto"/>
              </w:rPr>
              <w:t>to</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1-8590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2811780</wp:posOffset>
            </wp:positionH>
            <wp:positionV relativeFrom="paragraph">
              <wp:posOffset>16510</wp:posOffset>
            </wp:positionV>
            <wp:extent cx="1526540" cy="890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6540" cy="890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MURPHY OIL CORPORATION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7" w:lineRule="exact"/>
        <w:rPr>
          <w:sz w:val="24"/>
          <w:szCs w:val="24"/>
          <w:color w:val="auto"/>
        </w:rPr>
      </w:pPr>
    </w:p>
    <w:tbl>
      <w:tblPr>
        <w:tblLayout w:type="fixed"/>
        <w:tblInd w:w="1160" w:type="dxa"/>
        <w:tblCellMar>
          <w:top w:w="0" w:type="dxa"/>
          <w:left w:w="0" w:type="dxa"/>
          <w:bottom w:w="0" w:type="dxa"/>
          <w:right w:w="0" w:type="dxa"/>
        </w:tblCellMar>
      </w:tblPr>
      <w:tr>
        <w:trPr>
          <w:trHeight w:val="219"/>
        </w:trPr>
        <w:tc>
          <w:tcPr>
            <w:tcW w:w="4100" w:type="dxa"/>
            <w:vAlign w:val="bottom"/>
          </w:tcPr>
          <w:p>
            <w:pPr>
              <w:jc w:val="center"/>
              <w:ind w:right="3"/>
              <w:spacing w:after="0"/>
              <w:rPr>
                <w:sz w:val="20"/>
                <w:szCs w:val="20"/>
                <w:color w:val="auto"/>
              </w:rPr>
            </w:pPr>
            <w:r>
              <w:rPr>
                <w:rFonts w:ascii="Arial" w:cs="Arial" w:eastAsia="Arial" w:hAnsi="Arial"/>
                <w:sz w:val="16"/>
                <w:szCs w:val="16"/>
                <w:b w:val="1"/>
                <w:bCs w:val="1"/>
                <w:color w:val="auto"/>
                <w:w w:val="99"/>
              </w:rPr>
              <w:t>Delaware</w:t>
            </w:r>
          </w:p>
        </w:tc>
        <w:tc>
          <w:tcPr>
            <w:tcW w:w="4240" w:type="dxa"/>
            <w:vAlign w:val="bottom"/>
          </w:tcPr>
          <w:p>
            <w:pPr>
              <w:jc w:val="right"/>
              <w:ind w:right="823"/>
              <w:spacing w:after="0"/>
              <w:rPr>
                <w:sz w:val="20"/>
                <w:szCs w:val="20"/>
                <w:color w:val="auto"/>
              </w:rPr>
            </w:pPr>
            <w:r>
              <w:rPr>
                <w:rFonts w:ascii="Arial" w:cs="Arial" w:eastAsia="Arial" w:hAnsi="Arial"/>
                <w:sz w:val="16"/>
                <w:szCs w:val="16"/>
                <w:b w:val="1"/>
                <w:bCs w:val="1"/>
                <w:color w:val="auto"/>
              </w:rPr>
              <w:t>71-0361522</w:t>
            </w:r>
          </w:p>
        </w:tc>
      </w:tr>
      <w:tr>
        <w:trPr>
          <w:trHeight w:val="195"/>
        </w:trPr>
        <w:tc>
          <w:tcPr>
            <w:tcW w:w="4100" w:type="dxa"/>
            <w:vAlign w:val="bottom"/>
          </w:tcPr>
          <w:p>
            <w:pPr>
              <w:jc w:val="center"/>
              <w:ind w:right="3"/>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240" w:type="dxa"/>
            <w:vAlign w:val="bottom"/>
          </w:tcPr>
          <w:p>
            <w:pPr>
              <w:jc w:val="center"/>
              <w:ind w:left="1523"/>
              <w:spacing w:after="0"/>
              <w:rPr>
                <w:sz w:val="20"/>
                <w:szCs w:val="20"/>
                <w:color w:val="auto"/>
              </w:rPr>
            </w:pPr>
            <w:r>
              <w:rPr>
                <w:rFonts w:ascii="Arial" w:cs="Arial" w:eastAsia="Arial" w:hAnsi="Arial"/>
                <w:sz w:val="14"/>
                <w:szCs w:val="14"/>
                <w:b w:val="1"/>
                <w:bCs w:val="1"/>
                <w:color w:val="auto"/>
              </w:rPr>
              <w:t>(I.R.S. Employer Identification Number)</w:t>
            </w:r>
          </w:p>
        </w:tc>
      </w:tr>
      <w:tr>
        <w:trPr>
          <w:trHeight w:val="214"/>
        </w:trPr>
        <w:tc>
          <w:tcPr>
            <w:tcW w:w="4100" w:type="dxa"/>
            <w:vAlign w:val="bottom"/>
          </w:tcPr>
          <w:p>
            <w:pPr>
              <w:jc w:val="center"/>
              <w:ind w:right="3"/>
              <w:spacing w:after="0"/>
              <w:rPr>
                <w:sz w:val="20"/>
                <w:szCs w:val="20"/>
                <w:color w:val="auto"/>
              </w:rPr>
            </w:pPr>
            <w:r>
              <w:rPr>
                <w:rFonts w:ascii="Arial" w:cs="Arial" w:eastAsia="Arial" w:hAnsi="Arial"/>
                <w:sz w:val="16"/>
                <w:szCs w:val="16"/>
                <w:b w:val="1"/>
                <w:bCs w:val="1"/>
                <w:color w:val="auto"/>
                <w:w w:val="99"/>
              </w:rPr>
              <w:t>9805 Katy Fwy, Suite G-200</w:t>
            </w:r>
          </w:p>
        </w:tc>
        <w:tc>
          <w:tcPr>
            <w:tcW w:w="4240" w:type="dxa"/>
            <w:vAlign w:val="bottom"/>
          </w:tcPr>
          <w:p>
            <w:pPr>
              <w:jc w:val="right"/>
              <w:ind w:right="1023"/>
              <w:spacing w:after="0"/>
              <w:rPr>
                <w:sz w:val="20"/>
                <w:szCs w:val="20"/>
                <w:color w:val="auto"/>
              </w:rPr>
            </w:pPr>
            <w:r>
              <w:rPr>
                <w:rFonts w:ascii="Arial" w:cs="Arial" w:eastAsia="Arial" w:hAnsi="Arial"/>
                <w:sz w:val="16"/>
                <w:szCs w:val="16"/>
                <w:b w:val="1"/>
                <w:bCs w:val="1"/>
                <w:color w:val="auto"/>
              </w:rPr>
              <w:t>77024</w:t>
            </w:r>
          </w:p>
        </w:tc>
      </w:tr>
      <w:tr>
        <w:trPr>
          <w:trHeight w:val="219"/>
        </w:trPr>
        <w:tc>
          <w:tcPr>
            <w:tcW w:w="4100" w:type="dxa"/>
            <w:vAlign w:val="bottom"/>
          </w:tcPr>
          <w:p>
            <w:pPr>
              <w:ind w:left="1280"/>
              <w:spacing w:after="0"/>
              <w:rPr>
                <w:sz w:val="20"/>
                <w:szCs w:val="20"/>
                <w:color w:val="auto"/>
              </w:rPr>
            </w:pPr>
            <w:r>
              <w:rPr>
                <w:rFonts w:ascii="Arial" w:cs="Arial" w:eastAsia="Arial" w:hAnsi="Arial"/>
                <w:sz w:val="16"/>
                <w:szCs w:val="16"/>
                <w:b w:val="1"/>
                <w:bCs w:val="1"/>
                <w:color w:val="auto"/>
              </w:rPr>
              <w:t>Houston, Texas</w:t>
            </w:r>
          </w:p>
        </w:tc>
        <w:tc>
          <w:tcPr>
            <w:tcW w:w="4240" w:type="dxa"/>
            <w:vAlign w:val="bottom"/>
          </w:tcPr>
          <w:p>
            <w:pPr>
              <w:jc w:val="center"/>
              <w:ind w:left="1543"/>
              <w:spacing w:after="0"/>
              <w:rPr>
                <w:sz w:val="20"/>
                <w:szCs w:val="20"/>
                <w:color w:val="auto"/>
              </w:rPr>
            </w:pPr>
            <w:r>
              <w:rPr>
                <w:rFonts w:ascii="Arial" w:cs="Arial" w:eastAsia="Arial" w:hAnsi="Arial"/>
                <w:sz w:val="14"/>
                <w:szCs w:val="14"/>
                <w:b w:val="1"/>
                <w:bCs w:val="1"/>
                <w:color w:val="auto"/>
              </w:rPr>
              <w:t>(Zip Code)</w:t>
            </w:r>
          </w:p>
        </w:tc>
      </w:tr>
      <w:tr>
        <w:trPr>
          <w:trHeight w:val="195"/>
        </w:trPr>
        <w:tc>
          <w:tcPr>
            <w:tcW w:w="4100" w:type="dxa"/>
            <w:vAlign w:val="bottom"/>
          </w:tcPr>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tc>
        <w:tc>
          <w:tcPr>
            <w:tcW w:w="4240" w:type="dxa"/>
            <w:vAlign w:val="bottom"/>
          </w:tcPr>
          <w:p>
            <w:pPr>
              <w:spacing w:after="0"/>
              <w:rPr>
                <w:sz w:val="16"/>
                <w:szCs w:val="16"/>
                <w:color w:val="auto"/>
              </w:rPr>
            </w:pPr>
          </w:p>
        </w:tc>
      </w:tr>
      <w:tr>
        <w:trPr>
          <w:trHeight w:val="222"/>
        </w:trPr>
        <w:tc>
          <w:tcPr>
            <w:tcW w:w="4100" w:type="dxa"/>
            <w:vAlign w:val="bottom"/>
          </w:tcPr>
          <w:p>
            <w:pPr>
              <w:spacing w:after="0"/>
              <w:rPr>
                <w:sz w:val="19"/>
                <w:szCs w:val="19"/>
                <w:color w:val="auto"/>
              </w:rPr>
            </w:pPr>
          </w:p>
        </w:tc>
        <w:tc>
          <w:tcPr>
            <w:tcW w:w="4240" w:type="dxa"/>
            <w:vAlign w:val="bottom"/>
          </w:tcPr>
          <w:p>
            <w:pPr>
              <w:jc w:val="right"/>
              <w:ind w:right="3003"/>
              <w:spacing w:after="0"/>
              <w:rPr>
                <w:sz w:val="20"/>
                <w:szCs w:val="20"/>
                <w:color w:val="auto"/>
              </w:rPr>
            </w:pPr>
            <w:r>
              <w:rPr>
                <w:rFonts w:ascii="Arial" w:cs="Arial" w:eastAsia="Arial" w:hAnsi="Arial"/>
                <w:sz w:val="16"/>
                <w:szCs w:val="16"/>
                <w:b w:val="1"/>
                <w:bCs w:val="1"/>
                <w:color w:val="auto"/>
              </w:rPr>
              <w:t>(281) 675-9000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r>
        <w:rPr>
          <w:rFonts w:ascii="Arial" w:cs="Arial" w:eastAsia="Arial" w:hAnsi="Arial"/>
          <w:sz w:val="17"/>
          <w:szCs w:val="17"/>
          <w:color w:val="auto"/>
        </w:rPr>
        <w: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 w:type="dxa"/>
            <w:vAlign w:val="bottom"/>
            <w:tcBorders>
              <w:right w:val="single" w:sz="8" w:color="auto"/>
            </w:tcBorders>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50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right w:val="single" w:sz="8" w:color="auto"/>
            </w:tcBorders>
          </w:tcPr>
          <w:p>
            <w:pPr>
              <w:jc w:val="center"/>
              <w:ind w:right="464"/>
              <w:spacing w:after="0"/>
              <w:rPr>
                <w:sz w:val="20"/>
                <w:szCs w:val="20"/>
                <w:color w:val="auto"/>
              </w:rPr>
            </w:pPr>
            <w:r>
              <w:rPr>
                <w:rFonts w:ascii="Arial" w:cs="Arial" w:eastAsia="Arial" w:hAnsi="Arial"/>
                <w:sz w:val="14"/>
                <w:szCs w:val="14"/>
                <w:color w:val="auto"/>
              </w:rPr>
              <w:t>Trading Symbol</w:t>
            </w:r>
          </w:p>
        </w:tc>
        <w:tc>
          <w:tcPr>
            <w:tcW w:w="300" w:type="dxa"/>
            <w:vAlign w:val="bottom"/>
            <w:tcBorders>
              <w:top w:val="single" w:sz="8" w:color="auto"/>
              <w:bottom w:val="single" w:sz="8" w:color="auto"/>
            </w:tcBorders>
          </w:tcPr>
          <w:p>
            <w:pPr>
              <w:spacing w:after="0"/>
              <w:rPr>
                <w:sz w:val="18"/>
                <w:szCs w:val="18"/>
                <w:color w:val="auto"/>
              </w:rPr>
            </w:pPr>
          </w:p>
        </w:tc>
        <w:tc>
          <w:tcPr>
            <w:tcW w:w="4500" w:type="dxa"/>
            <w:vAlign w:val="bottom"/>
            <w:tcBorders>
              <w:top w:val="single" w:sz="8" w:color="auto"/>
              <w:bottom w:val="single" w:sz="8" w:color="auto"/>
              <w:right w:val="single" w:sz="8" w:color="auto"/>
            </w:tcBorders>
          </w:tcPr>
          <w:p>
            <w:pPr>
              <w:jc w:val="center"/>
              <w:ind w:right="292"/>
              <w:spacing w:after="0"/>
              <w:rPr>
                <w:sz w:val="20"/>
                <w:szCs w:val="20"/>
                <w:color w:val="auto"/>
              </w:rPr>
            </w:pPr>
            <w:r>
              <w:rPr>
                <w:rFonts w:ascii="Arial" w:cs="Arial" w:eastAsia="Arial" w:hAnsi="Arial"/>
                <w:sz w:val="14"/>
                <w:szCs w:val="14"/>
                <w:color w:val="auto"/>
              </w:rPr>
              <w:t>Name of each exchange on which registered</w:t>
            </w:r>
          </w:p>
        </w:tc>
      </w:tr>
      <w:tr>
        <w:trPr>
          <w:trHeight w:val="209"/>
        </w:trPr>
        <w:tc>
          <w:tcPr>
            <w:tcW w:w="6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$1.00 Par Value</w:t>
            </w:r>
          </w:p>
        </w:tc>
        <w:tc>
          <w:tcPr>
            <w:tcW w:w="50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ind w:right="464"/>
              <w:spacing w:after="0"/>
              <w:rPr>
                <w:sz w:val="20"/>
                <w:szCs w:val="20"/>
                <w:color w:val="auto"/>
              </w:rPr>
            </w:pPr>
            <w:r>
              <w:rPr>
                <w:rFonts w:ascii="Arial" w:cs="Arial" w:eastAsia="Arial" w:hAnsi="Arial"/>
                <w:sz w:val="16"/>
                <w:szCs w:val="16"/>
                <w:color w:val="auto"/>
                <w:w w:val="98"/>
              </w:rPr>
              <w:t>MUR</w:t>
            </w:r>
          </w:p>
        </w:tc>
        <w:tc>
          <w:tcPr>
            <w:tcW w:w="3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center"/>
              <w:ind w:right="272"/>
              <w:spacing w:after="0"/>
              <w:rPr>
                <w:sz w:val="20"/>
                <w:szCs w:val="20"/>
                <w:color w:val="auto"/>
              </w:rPr>
            </w:pPr>
            <w:r>
              <w:rPr>
                <w:rFonts w:ascii="Arial" w:cs="Arial" w:eastAsia="Arial" w:hAnsi="Arial"/>
                <w:sz w:val="14"/>
                <w:szCs w:val="14"/>
                <w:color w:val="auto"/>
              </w:rPr>
              <w:t>New York Stock Exchange</w:t>
            </w:r>
          </w:p>
        </w:tc>
      </w:tr>
      <w:tr>
        <w:trPr>
          <w:trHeight w:val="361"/>
        </w:trPr>
        <w:tc>
          <w:tcPr>
            <w:tcW w:w="43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50"/>
        </w:trPr>
        <w:tc>
          <w:tcPr>
            <w:tcW w:w="6740" w:type="dxa"/>
            <w:vAlign w:val="bottom"/>
            <w:gridSpan w:val="5"/>
          </w:tcPr>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w:t>
            </w:r>
          </w:p>
        </w:tc>
        <w:tc>
          <w:tcPr>
            <w:tcW w:w="4500" w:type="dxa"/>
            <w:vAlign w:val="bottom"/>
          </w:tcPr>
          <w:p>
            <w:pPr>
              <w:ind w:left="4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tc>
      </w:tr>
    </w:tbl>
    <w:p>
      <w:pPr>
        <w:spacing w:after="0" w:line="3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9" w:lineRule="exact"/>
        <w:rPr>
          <w:sz w:val="24"/>
          <w:szCs w:val="24"/>
          <w:color w:val="auto"/>
        </w:rPr>
      </w:pPr>
    </w:p>
    <w:p>
      <w:pPr>
        <w:ind w:right="60"/>
        <w:spacing w:after="0" w:line="164"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0" w:lineRule="exact"/>
        <w:rPr>
          <w:sz w:val="24"/>
          <w:szCs w:val="24"/>
          <w:color w:val="auto"/>
        </w:rPr>
      </w:pPr>
    </w:p>
    <w:p>
      <w:pPr>
        <w:ind w:right="60"/>
        <w:spacing w:after="0" w:line="164"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0" w:lineRule="exact"/>
        <w:rPr>
          <w:sz w:val="24"/>
          <w:szCs w:val="24"/>
          <w:color w:val="auto"/>
        </w:rPr>
      </w:pPr>
    </w:p>
    <w:p>
      <w:pPr>
        <w:ind w:right="60"/>
        <w:spacing w:after="0" w:line="30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or an emerging growth company. See the definitions of “large accelerated filer,” “accelerated filer” and “smaller reporting company” and “emerging growth company” in Rule 12b-2 of the Exchange Act.</w:t>
      </w:r>
    </w:p>
    <w:p>
      <w:pPr>
        <w:spacing w:after="0" w:line="67" w:lineRule="exact"/>
        <w:rPr>
          <w:sz w:val="24"/>
          <w:szCs w:val="24"/>
          <w:color w:val="auto"/>
        </w:rPr>
      </w:pPr>
    </w:p>
    <w:p>
      <w:pPr>
        <w:ind w:left="320"/>
        <w:spacing w:after="0" w:line="138" w:lineRule="exact"/>
        <w:tabs>
          <w:tab w:leader="none" w:pos="1880" w:val="left"/>
          <w:tab w:leader="none" w:pos="2420" w:val="left"/>
          <w:tab w:leader="none" w:pos="3620" w:val="left"/>
          <w:tab w:leader="none" w:pos="4200" w:val="left"/>
          <w:tab w:leader="none" w:pos="5700" w:val="left"/>
          <w:tab w:leader="none" w:pos="6380" w:val="left"/>
          <w:tab w:leader="none" w:pos="8320" w:val="left"/>
          <w:tab w:leader="none" w:pos="9020" w:val="left"/>
          <w:tab w:leader="none" w:pos="1098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Smaller reporting company</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43" w:lineRule="exact"/>
        <w:rPr>
          <w:sz w:val="24"/>
          <w:szCs w:val="24"/>
          <w:color w:val="auto"/>
        </w:rPr>
      </w:pPr>
    </w:p>
    <w:p>
      <w:pPr>
        <w:ind w:right="40"/>
        <w:spacing w:after="0" w:line="164"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0" w:lineRule="exact"/>
        <w:rPr>
          <w:sz w:val="24"/>
          <w:szCs w:val="24"/>
          <w:color w:val="auto"/>
        </w:rPr>
      </w:pPr>
    </w:p>
    <w:p>
      <w:pPr>
        <w:ind w:right="140"/>
        <w:spacing w:after="0" w:line="164"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60" w:lineRule="exact"/>
        <w:rPr>
          <w:sz w:val="24"/>
          <w:szCs w:val="24"/>
          <w:color w:val="auto"/>
        </w:rPr>
      </w:pPr>
    </w:p>
    <w:p>
      <w:pPr>
        <w:ind w:right="100"/>
        <w:spacing w:after="0" w:line="164"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60" w:lineRule="exact"/>
        <w:rPr>
          <w:sz w:val="24"/>
          <w:szCs w:val="24"/>
          <w:color w:val="auto"/>
        </w:rPr>
      </w:pPr>
    </w:p>
    <w:p>
      <w:pPr>
        <w:ind w:right="280"/>
        <w:spacing w:after="0" w:line="164"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3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9" w:lineRule="exact"/>
        <w:rPr>
          <w:sz w:val="24"/>
          <w:szCs w:val="24"/>
          <w:color w:val="auto"/>
        </w:rPr>
      </w:pPr>
    </w:p>
    <w:p>
      <w:pPr>
        <w:spacing w:after="0" w:line="302" w:lineRule="auto"/>
        <w:rPr>
          <w:sz w:val="20"/>
          <w:szCs w:val="20"/>
          <w:color w:val="auto"/>
        </w:rPr>
      </w:pPr>
      <w:r>
        <w:rPr>
          <w:rFonts w:ascii="Arial" w:cs="Arial" w:eastAsia="Arial" w:hAnsi="Arial"/>
          <w:sz w:val="12"/>
          <w:szCs w:val="12"/>
          <w:color w:val="auto"/>
        </w:rPr>
        <w:t>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(as of June 28, 2024) – $4,465,018,220.</w:t>
      </w:r>
    </w:p>
    <w:p>
      <w:pPr>
        <w:spacing w:after="0" w:line="40" w:lineRule="exact"/>
        <w:rPr>
          <w:sz w:val="24"/>
          <w:szCs w:val="24"/>
          <w:color w:val="auto"/>
        </w:rPr>
      </w:pPr>
    </w:p>
    <w:p>
      <w:pPr>
        <w:spacing w:after="0"/>
        <w:rPr>
          <w:sz w:val="20"/>
          <w:szCs w:val="20"/>
          <w:color w:val="auto"/>
        </w:rPr>
      </w:pPr>
      <w:r>
        <w:rPr>
          <w:rFonts w:ascii="Arial" w:cs="Arial" w:eastAsia="Arial" w:hAnsi="Arial"/>
          <w:sz w:val="12"/>
          <w:szCs w:val="12"/>
          <w:color w:val="auto"/>
        </w:rPr>
        <w:t>Number of shares of Common Stock, $1.00 Par Value, outstanding at January 31, 2025 was 145,855,183.</w:t>
      </w:r>
    </w:p>
    <w:p>
      <w:pPr>
        <w:spacing w:after="0" w:line="116" w:lineRule="exact"/>
        <w:rPr>
          <w:sz w:val="24"/>
          <w:szCs w:val="24"/>
          <w:color w:val="auto"/>
        </w:rPr>
      </w:pPr>
    </w:p>
    <w:p>
      <w:pPr>
        <w:ind w:left="4480"/>
        <w:spacing w:after="0"/>
        <w:rPr>
          <w:sz w:val="20"/>
          <w:szCs w:val="20"/>
          <w:color w:val="auto"/>
        </w:rPr>
      </w:pPr>
      <w:r>
        <w:rPr>
          <w:rFonts w:ascii="Arial" w:cs="Arial" w:eastAsia="Arial" w:hAnsi="Arial"/>
          <w:sz w:val="12"/>
          <w:szCs w:val="12"/>
          <w:b w:val="1"/>
          <w:bCs w:val="1"/>
          <w:color w:val="auto"/>
        </w:rPr>
        <w:t>Documents incorporated by reference:</w:t>
      </w:r>
    </w:p>
    <w:p>
      <w:pPr>
        <w:spacing w:after="0" w:line="156" w:lineRule="exact"/>
        <w:rPr>
          <w:sz w:val="24"/>
          <w:szCs w:val="24"/>
          <w:color w:val="auto"/>
        </w:rPr>
      </w:pPr>
    </w:p>
    <w:p>
      <w:pPr>
        <w:ind w:left="20"/>
        <w:spacing w:after="0"/>
        <w:rPr>
          <w:sz w:val="20"/>
          <w:szCs w:val="20"/>
          <w:color w:val="auto"/>
        </w:rPr>
      </w:pPr>
      <w:r>
        <w:rPr>
          <w:rFonts w:ascii="Arial" w:cs="Arial" w:eastAsia="Arial" w:hAnsi="Arial"/>
          <w:sz w:val="12"/>
          <w:szCs w:val="12"/>
          <w:color w:val="auto"/>
        </w:rPr>
        <w:t>Portions of the Registrant’s definitive Proxy Statement relating to the Annual Meeting of Stockholders on May 14, 2025 have been incorporated by reference in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538480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135890</wp:posOffset>
            </wp:positionV>
            <wp:extent cx="7117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080" cy="171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0" w:type="dxa"/>
            <w:vAlign w:val="bottom"/>
            <w:gridSpan w:val="12"/>
          </w:tcPr>
          <w:p>
            <w:pPr>
              <w:jc w:val="center"/>
              <w:ind w:right="2360"/>
              <w:spacing w:after="0"/>
              <w:rPr>
                <w:sz w:val="20"/>
                <w:szCs w:val="20"/>
                <w:color w:val="auto"/>
              </w:rPr>
            </w:pPr>
            <w:r>
              <w:rPr>
                <w:rFonts w:ascii="Arial" w:cs="Arial" w:eastAsia="Arial" w:hAnsi="Arial"/>
                <w:sz w:val="18"/>
                <w:szCs w:val="18"/>
                <w:b w:val="1"/>
                <w:bCs w:val="1"/>
                <w:color w:val="auto"/>
                <w:w w:val="98"/>
              </w:rPr>
              <w:t>MURPHY OIL CORPORATION</w:t>
            </w:r>
          </w:p>
        </w:tc>
        <w:tc>
          <w:tcPr>
            <w:tcW w:w="1120" w:type="dxa"/>
            <w:vAlign w:val="bottom"/>
          </w:tcPr>
          <w:p>
            <w:pPr>
              <w:spacing w:after="0"/>
              <w:rPr>
                <w:sz w:val="21"/>
                <w:szCs w:val="21"/>
                <w:color w:val="auto"/>
              </w:rPr>
            </w:pPr>
          </w:p>
        </w:tc>
      </w:tr>
      <w:tr>
        <w:trPr>
          <w:trHeight w:val="321"/>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10"/>
          </w:tcPr>
          <w:p>
            <w:pPr>
              <w:jc w:val="center"/>
              <w:ind w:right="3300"/>
              <w:spacing w:after="0"/>
              <w:rPr>
                <w:sz w:val="20"/>
                <w:szCs w:val="20"/>
                <w:color w:val="auto"/>
              </w:rPr>
            </w:pPr>
            <w:r>
              <w:rPr>
                <w:rFonts w:ascii="Arial" w:cs="Arial" w:eastAsia="Arial" w:hAnsi="Arial"/>
                <w:sz w:val="18"/>
                <w:szCs w:val="18"/>
                <w:b w:val="1"/>
                <w:bCs w:val="1"/>
                <w:color w:val="auto"/>
                <w:w w:val="98"/>
              </w:rPr>
              <w:t>2024 FORM 10-K</w:t>
            </w:r>
          </w:p>
        </w:tc>
        <w:tc>
          <w:tcPr>
            <w:tcW w:w="1120" w:type="dxa"/>
            <w:vAlign w:val="bottom"/>
          </w:tcPr>
          <w:p>
            <w:pPr>
              <w:spacing w:after="0"/>
              <w:rPr>
                <w:sz w:val="24"/>
                <w:szCs w:val="24"/>
                <w:color w:val="auto"/>
              </w:rPr>
            </w:pPr>
          </w:p>
        </w:tc>
      </w:tr>
      <w:tr>
        <w:trPr>
          <w:trHeight w:val="321"/>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7"/>
              </w:rPr>
              <w:t>TABLE OF CONTENTS</w:t>
            </w:r>
          </w:p>
        </w:tc>
        <w:tc>
          <w:tcPr>
            <w:tcW w:w="1120" w:type="dxa"/>
            <w:vAlign w:val="bottom"/>
          </w:tcPr>
          <w:p>
            <w:pPr>
              <w:spacing w:after="0"/>
              <w:rPr>
                <w:sz w:val="24"/>
                <w:szCs w:val="24"/>
                <w:color w:val="auto"/>
              </w:rPr>
            </w:pPr>
          </w:p>
        </w:tc>
      </w:tr>
      <w:tr>
        <w:trPr>
          <w:trHeight w:val="315"/>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Page Number</w:t>
            </w:r>
          </w:p>
        </w:tc>
      </w:tr>
      <w:tr>
        <w:trPr>
          <w:trHeight w:val="214"/>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6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242424"/>
                <w:w w:val="94"/>
              </w:rPr>
              <w:t>PART I</w:t>
            </w:r>
          </w:p>
        </w:tc>
        <w:tc>
          <w:tcPr>
            <w:tcW w:w="1120" w:type="dxa"/>
            <w:vAlign w:val="bottom"/>
          </w:tcPr>
          <w:p>
            <w:pPr>
              <w:spacing w:after="0"/>
              <w:rPr>
                <w:sz w:val="18"/>
                <w:szCs w:val="18"/>
                <w:color w:val="auto"/>
              </w:rPr>
            </w:pPr>
          </w:p>
        </w:tc>
      </w:tr>
      <w:tr>
        <w:trPr>
          <w:trHeight w:val="187"/>
        </w:trPr>
        <w:tc>
          <w:tcPr>
            <w:tcW w:w="86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1.</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40" w:type="dxa"/>
            <w:vAlign w:val="bottom"/>
            <w:gridSpan w:val="24"/>
            <w:shd w:val="clear" w:color="auto" w:fill="CCEEFF"/>
          </w:tcPr>
          <w:p>
            <w:pPr>
              <w:spacing w:after="0" w:line="187" w:lineRule="exact"/>
              <w:rPr>
                <w:sz w:val="20"/>
                <w:szCs w:val="20"/>
                <w:color w:val="auto"/>
              </w:rPr>
            </w:pPr>
            <w:r>
              <w:rPr>
                <w:rFonts w:ascii="Arial" w:cs="Arial" w:eastAsia="Arial" w:hAnsi="Arial"/>
                <w:sz w:val="18"/>
                <w:szCs w:val="18"/>
                <w:color w:val="0000FF"/>
              </w:rPr>
              <w:t>Business</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242424"/>
              </w:rPr>
              <w:t>1</w:t>
            </w: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60" w:type="dxa"/>
            <w:vAlign w:val="bottom"/>
          </w:tcPr>
          <w:p>
            <w:pPr>
              <w:ind w:left="20"/>
              <w:spacing w:after="0" w:line="187" w:lineRule="exact"/>
              <w:rPr>
                <w:sz w:val="20"/>
                <w:szCs w:val="20"/>
                <w:color w:val="auto"/>
              </w:rPr>
            </w:pPr>
            <w:r>
              <w:rPr>
                <w:rFonts w:ascii="Arial" w:cs="Arial" w:eastAsia="Arial" w:hAnsi="Arial"/>
                <w:sz w:val="18"/>
                <w:szCs w:val="18"/>
                <w:color w:val="242424"/>
              </w:rPr>
              <w:t>Item 1A.</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gridSpan w:val="24"/>
          </w:tcPr>
          <w:p>
            <w:pPr>
              <w:spacing w:after="0" w:line="187" w:lineRule="exact"/>
              <w:rPr>
                <w:sz w:val="20"/>
                <w:szCs w:val="20"/>
                <w:color w:val="auto"/>
              </w:rPr>
            </w:pPr>
            <w:r>
              <w:rPr>
                <w:rFonts w:ascii="Arial" w:cs="Arial" w:eastAsia="Arial" w:hAnsi="Arial"/>
                <w:sz w:val="18"/>
                <w:szCs w:val="18"/>
                <w:color w:val="0000FF"/>
              </w:rPr>
              <w:t>Risk Factors</w:t>
            </w:r>
          </w:p>
        </w:tc>
        <w:tc>
          <w:tcPr>
            <w:tcW w:w="1120" w:type="dxa"/>
            <w:vAlign w:val="bottom"/>
          </w:tcPr>
          <w:p>
            <w:pPr>
              <w:jc w:val="right"/>
              <w:spacing w:after="0" w:line="187" w:lineRule="exact"/>
              <w:rPr>
                <w:sz w:val="20"/>
                <w:szCs w:val="20"/>
                <w:color w:val="auto"/>
              </w:rPr>
            </w:pPr>
            <w:r>
              <w:rPr>
                <w:rFonts w:ascii="Arial" w:cs="Arial" w:eastAsia="Arial" w:hAnsi="Arial"/>
                <w:sz w:val="18"/>
                <w:szCs w:val="18"/>
                <w:color w:val="242424"/>
              </w:rPr>
              <w:t>13</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8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1B.</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0000FF"/>
            </w:tcBorders>
            <w:gridSpan w:val="12"/>
            <w:shd w:val="clear" w:color="auto" w:fill="CCEEFF"/>
          </w:tcPr>
          <w:p>
            <w:pPr>
              <w:spacing w:after="0" w:line="187" w:lineRule="exact"/>
              <w:rPr>
                <w:sz w:val="20"/>
                <w:szCs w:val="20"/>
                <w:color w:val="auto"/>
              </w:rPr>
            </w:pPr>
            <w:r>
              <w:rPr>
                <w:rFonts w:ascii="Arial" w:cs="Arial" w:eastAsia="Arial" w:hAnsi="Arial"/>
                <w:sz w:val="18"/>
                <w:szCs w:val="18"/>
                <w:color w:val="0000FF"/>
                <w:w w:val="98"/>
              </w:rPr>
              <w:t>Unresolved Staff Comments</w:t>
            </w:r>
          </w:p>
        </w:tc>
        <w:tc>
          <w:tcPr>
            <w:tcW w:w="6600" w:type="dxa"/>
            <w:vAlign w:val="bottom"/>
            <w:tcBorders>
              <w:bottom w:val="single" w:sz="8" w:color="CCEEFF"/>
            </w:tcBorders>
            <w:gridSpan w:val="12"/>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8"/>
                <w:szCs w:val="18"/>
                <w:color w:val="242424"/>
              </w:rPr>
              <w:t>26</w:t>
            </w:r>
          </w:p>
        </w:tc>
      </w:tr>
      <w:tr>
        <w:trPr>
          <w:trHeight w:val="187"/>
        </w:trPr>
        <w:tc>
          <w:tcPr>
            <w:tcW w:w="860" w:type="dxa"/>
            <w:vAlign w:val="bottom"/>
          </w:tcPr>
          <w:p>
            <w:pPr>
              <w:ind w:left="20"/>
              <w:spacing w:after="0" w:line="187" w:lineRule="exact"/>
              <w:rPr>
                <w:sz w:val="20"/>
                <w:szCs w:val="20"/>
                <w:color w:val="auto"/>
              </w:rPr>
            </w:pPr>
            <w:r>
              <w:rPr>
                <w:rFonts w:ascii="Arial" w:cs="Arial" w:eastAsia="Arial" w:hAnsi="Arial"/>
                <w:sz w:val="18"/>
                <w:szCs w:val="18"/>
                <w:color w:val="242424"/>
              </w:rPr>
              <w:t>Item 1C.</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gridSpan w:val="24"/>
          </w:tcPr>
          <w:p>
            <w:pPr>
              <w:spacing w:after="0" w:line="187" w:lineRule="exact"/>
              <w:rPr>
                <w:sz w:val="20"/>
                <w:szCs w:val="20"/>
                <w:color w:val="auto"/>
              </w:rPr>
            </w:pPr>
            <w:r>
              <w:rPr>
                <w:rFonts w:ascii="Arial" w:cs="Arial" w:eastAsia="Arial" w:hAnsi="Arial"/>
                <w:sz w:val="18"/>
                <w:szCs w:val="18"/>
                <w:color w:val="0000FF"/>
              </w:rPr>
              <w:t>Cybersecurity</w:t>
            </w:r>
          </w:p>
        </w:tc>
        <w:tc>
          <w:tcPr>
            <w:tcW w:w="1120" w:type="dxa"/>
            <w:vAlign w:val="bottom"/>
          </w:tcPr>
          <w:p>
            <w:pPr>
              <w:jc w:val="right"/>
              <w:spacing w:after="0" w:line="187" w:lineRule="exact"/>
              <w:rPr>
                <w:sz w:val="20"/>
                <w:szCs w:val="20"/>
                <w:color w:val="auto"/>
              </w:rPr>
            </w:pPr>
            <w:r>
              <w:rPr>
                <w:rFonts w:ascii="Arial" w:cs="Arial" w:eastAsia="Arial" w:hAnsi="Arial"/>
                <w:sz w:val="18"/>
                <w:szCs w:val="18"/>
                <w:color w:val="242424"/>
              </w:rPr>
              <w:t>26</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8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0000FF"/>
            </w:tcBorders>
            <w:gridSpan w:val="4"/>
            <w:shd w:val="clear" w:color="auto" w:fill="CCEEFF"/>
          </w:tcPr>
          <w:p>
            <w:pPr>
              <w:spacing w:after="0" w:line="187" w:lineRule="exact"/>
              <w:rPr>
                <w:sz w:val="20"/>
                <w:szCs w:val="20"/>
                <w:color w:val="auto"/>
              </w:rPr>
            </w:pPr>
            <w:r>
              <w:rPr>
                <w:rFonts w:ascii="Arial" w:cs="Arial" w:eastAsia="Arial" w:hAnsi="Arial"/>
                <w:sz w:val="18"/>
                <w:szCs w:val="18"/>
                <w:color w:val="0000FF"/>
                <w:w w:val="97"/>
              </w:rPr>
              <w:t>Properties</w:t>
            </w:r>
          </w:p>
        </w:tc>
        <w:tc>
          <w:tcPr>
            <w:tcW w:w="8020" w:type="dxa"/>
            <w:vAlign w:val="bottom"/>
            <w:tcBorders>
              <w:bottom w:val="single" w:sz="8" w:color="CCEEFF"/>
            </w:tcBorders>
            <w:gridSpan w:val="20"/>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8"/>
                <w:szCs w:val="18"/>
                <w:color w:val="242424"/>
              </w:rPr>
              <w:t>27</w:t>
            </w:r>
          </w:p>
        </w:tc>
      </w:tr>
      <w:tr>
        <w:trPr>
          <w:trHeight w:val="187"/>
        </w:trPr>
        <w:tc>
          <w:tcPr>
            <w:tcW w:w="860" w:type="dxa"/>
            <w:vAlign w:val="bottom"/>
          </w:tcPr>
          <w:p>
            <w:pPr>
              <w:ind w:left="20"/>
              <w:spacing w:after="0" w:line="187" w:lineRule="exact"/>
              <w:rPr>
                <w:sz w:val="20"/>
                <w:szCs w:val="20"/>
                <w:color w:val="auto"/>
              </w:rPr>
            </w:pPr>
            <w:r>
              <w:rPr>
                <w:rFonts w:ascii="Arial" w:cs="Arial" w:eastAsia="Arial" w:hAnsi="Arial"/>
                <w:sz w:val="18"/>
                <w:szCs w:val="18"/>
                <w:color w:val="242424"/>
              </w:rPr>
              <w:t>Item 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gridSpan w:val="24"/>
          </w:tcPr>
          <w:p>
            <w:pPr>
              <w:spacing w:after="0" w:line="187" w:lineRule="exact"/>
              <w:rPr>
                <w:sz w:val="20"/>
                <w:szCs w:val="20"/>
                <w:color w:val="auto"/>
              </w:rPr>
            </w:pPr>
            <w:r>
              <w:rPr>
                <w:rFonts w:ascii="Arial" w:cs="Arial" w:eastAsia="Arial" w:hAnsi="Arial"/>
                <w:sz w:val="18"/>
                <w:szCs w:val="18"/>
                <w:color w:val="0000FF"/>
              </w:rPr>
              <w:t>Legal Proceedings</w:t>
            </w:r>
          </w:p>
        </w:tc>
        <w:tc>
          <w:tcPr>
            <w:tcW w:w="1120" w:type="dxa"/>
            <w:vAlign w:val="bottom"/>
          </w:tcPr>
          <w:p>
            <w:pPr>
              <w:jc w:val="right"/>
              <w:spacing w:after="0" w:line="187" w:lineRule="exact"/>
              <w:rPr>
                <w:sz w:val="20"/>
                <w:szCs w:val="20"/>
                <w:color w:val="auto"/>
              </w:rPr>
            </w:pPr>
            <w:r>
              <w:rPr>
                <w:rFonts w:ascii="Arial" w:cs="Arial" w:eastAsia="Arial" w:hAnsi="Arial"/>
                <w:sz w:val="18"/>
                <w:szCs w:val="18"/>
                <w:color w:val="242424"/>
              </w:rPr>
              <w:t>27</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86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40" w:type="dxa"/>
            <w:vAlign w:val="bottom"/>
            <w:gridSpan w:val="24"/>
            <w:shd w:val="clear" w:color="auto" w:fill="CCEEFF"/>
          </w:tcPr>
          <w:p>
            <w:pPr>
              <w:spacing w:after="0" w:line="187" w:lineRule="exact"/>
              <w:rPr>
                <w:sz w:val="20"/>
                <w:szCs w:val="20"/>
                <w:color w:val="auto"/>
              </w:rPr>
            </w:pPr>
            <w:r>
              <w:rPr>
                <w:rFonts w:ascii="Arial" w:cs="Arial" w:eastAsia="Arial" w:hAnsi="Arial"/>
                <w:sz w:val="18"/>
                <w:szCs w:val="18"/>
                <w:color w:val="0000FF"/>
              </w:rPr>
              <w:t>Mine Safety Disclosures</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242424"/>
              </w:rPr>
              <w:t>27</w:t>
            </w:r>
          </w:p>
        </w:tc>
      </w:tr>
      <w:tr>
        <w:trPr>
          <w:trHeight w:val="227"/>
        </w:trPr>
        <w:tc>
          <w:tcPr>
            <w:tcW w:w="8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5160" w:type="dxa"/>
            <w:vAlign w:val="bottom"/>
            <w:tcBorders>
              <w:top w:val="single" w:sz="8" w:color="CCEEFF"/>
            </w:tcBorders>
            <w:gridSpan w:val="9"/>
          </w:tcPr>
          <w:p>
            <w:pPr>
              <w:jc w:val="center"/>
              <w:ind w:right="3700"/>
              <w:spacing w:after="0"/>
              <w:rPr>
                <w:sz w:val="20"/>
                <w:szCs w:val="20"/>
                <w:color w:val="auto"/>
              </w:rPr>
            </w:pPr>
            <w:r>
              <w:rPr>
                <w:rFonts w:ascii="Arial" w:cs="Arial" w:eastAsia="Arial" w:hAnsi="Arial"/>
                <w:sz w:val="18"/>
                <w:szCs w:val="18"/>
                <w:b w:val="1"/>
                <w:bCs w:val="1"/>
                <w:color w:val="242424"/>
                <w:w w:val="96"/>
              </w:rPr>
              <w:t>PART II</w:t>
            </w:r>
          </w:p>
        </w:tc>
        <w:tc>
          <w:tcPr>
            <w:tcW w:w="1120" w:type="dxa"/>
            <w:vAlign w:val="bottom"/>
            <w:tcBorders>
              <w:top w:val="single" w:sz="8" w:color="CCEEFF"/>
            </w:tcBorders>
          </w:tcPr>
          <w:p>
            <w:pPr>
              <w:spacing w:after="0"/>
              <w:rPr>
                <w:sz w:val="19"/>
                <w:szCs w:val="19"/>
                <w:color w:val="auto"/>
              </w:rPr>
            </w:pPr>
          </w:p>
        </w:tc>
      </w:tr>
      <w:tr>
        <w:trPr>
          <w:trHeight w:val="207"/>
        </w:trPr>
        <w:tc>
          <w:tcPr>
            <w:tcW w:w="86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40" w:type="dxa"/>
            <w:vAlign w:val="bottom"/>
            <w:gridSpan w:val="24"/>
            <w:shd w:val="clear" w:color="auto" w:fill="CCEEFF"/>
          </w:tcPr>
          <w:p>
            <w:pPr>
              <w:spacing w:after="0" w:line="187"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242424"/>
              </w:rPr>
              <w:t>29</w:t>
            </w:r>
          </w:p>
        </w:tc>
      </w:tr>
      <w:tr>
        <w:trPr>
          <w:trHeight w:val="187"/>
        </w:trPr>
        <w:tc>
          <w:tcPr>
            <w:tcW w:w="860" w:type="dxa"/>
            <w:vAlign w:val="bottom"/>
            <w:tcBorders>
              <w:top w:val="single" w:sz="8" w:color="CCEEFF"/>
            </w:tcBorders>
          </w:tcPr>
          <w:p>
            <w:pPr>
              <w:ind w:left="20"/>
              <w:spacing w:after="0" w:line="187" w:lineRule="exact"/>
              <w:rPr>
                <w:sz w:val="20"/>
                <w:szCs w:val="20"/>
                <w:color w:val="auto"/>
              </w:rPr>
            </w:pPr>
            <w:r>
              <w:rPr>
                <w:rFonts w:ascii="Arial" w:cs="Arial" w:eastAsia="Arial" w:hAnsi="Arial"/>
                <w:sz w:val="18"/>
                <w:szCs w:val="18"/>
                <w:color w:val="242424"/>
              </w:rPr>
              <w:t>Item 6.</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780" w:type="dxa"/>
            <w:vAlign w:val="bottom"/>
            <w:tcBorders>
              <w:top w:val="single" w:sz="8" w:color="0000FF"/>
            </w:tcBorders>
            <w:gridSpan w:val="23"/>
          </w:tcPr>
          <w:p>
            <w:pPr>
              <w:spacing w:after="0" w:line="187" w:lineRule="exact"/>
              <w:rPr>
                <w:sz w:val="20"/>
                <w:szCs w:val="20"/>
                <w:color w:val="auto"/>
              </w:rPr>
            </w:pPr>
            <w:r>
              <w:rPr>
                <w:rFonts w:ascii="Arial" w:cs="Arial" w:eastAsia="Arial" w:hAnsi="Arial"/>
                <w:sz w:val="18"/>
                <w:szCs w:val="18"/>
                <w:color w:val="0000FF"/>
              </w:rPr>
              <w:t>Reserved</w:t>
            </w:r>
          </w:p>
        </w:tc>
        <w:tc>
          <w:tcPr>
            <w:tcW w:w="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jc w:val="right"/>
              <w:spacing w:after="0" w:line="187" w:lineRule="exact"/>
              <w:rPr>
                <w:sz w:val="20"/>
                <w:szCs w:val="20"/>
                <w:color w:val="auto"/>
              </w:rPr>
            </w:pPr>
            <w:r>
              <w:rPr>
                <w:rFonts w:ascii="Arial" w:cs="Arial" w:eastAsia="Arial" w:hAnsi="Arial"/>
                <w:sz w:val="18"/>
                <w:szCs w:val="18"/>
                <w:color w:val="242424"/>
              </w:rPr>
              <w:t>31</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8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20"/>
            <w:shd w:val="clear" w:color="auto" w:fill="CCEEFF"/>
          </w:tcPr>
          <w:p>
            <w:pPr>
              <w:spacing w:after="0" w:line="187" w:lineRule="exact"/>
              <w:rPr>
                <w:sz w:val="20"/>
                <w:szCs w:val="20"/>
                <w:color w:val="auto"/>
              </w:rPr>
            </w:pPr>
            <w:r>
              <w:rPr>
                <w:rFonts w:ascii="Arial" w:cs="Arial" w:eastAsia="Arial" w:hAnsi="Arial"/>
                <w:sz w:val="18"/>
                <w:szCs w:val="18"/>
                <w:color w:val="0000FF"/>
                <w:w w:val="98"/>
              </w:rPr>
              <w:t>Management’s Discussion and Analysis of Financial Condition and Results of Operations</w:t>
            </w:r>
          </w:p>
        </w:tc>
        <w:tc>
          <w:tcPr>
            <w:tcW w:w="1820" w:type="dxa"/>
            <w:vAlign w:val="bottom"/>
            <w:tcBorders>
              <w:bottom w:val="single" w:sz="8" w:color="CCEEFF"/>
            </w:tcBorders>
            <w:gridSpan w:val="4"/>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8"/>
                <w:szCs w:val="18"/>
                <w:color w:val="242424"/>
              </w:rPr>
              <w:t>31</w:t>
            </w:r>
          </w:p>
        </w:tc>
      </w:tr>
      <w:tr>
        <w:trPr>
          <w:trHeight w:val="187"/>
        </w:trPr>
        <w:tc>
          <w:tcPr>
            <w:tcW w:w="860" w:type="dxa"/>
            <w:vAlign w:val="bottom"/>
          </w:tcPr>
          <w:p>
            <w:pPr>
              <w:ind w:left="20"/>
              <w:spacing w:after="0" w:line="187" w:lineRule="exact"/>
              <w:rPr>
                <w:sz w:val="20"/>
                <w:szCs w:val="20"/>
                <w:color w:val="auto"/>
              </w:rPr>
            </w:pPr>
            <w:r>
              <w:rPr>
                <w:rFonts w:ascii="Arial" w:cs="Arial" w:eastAsia="Arial" w:hAnsi="Arial"/>
                <w:sz w:val="18"/>
                <w:szCs w:val="18"/>
                <w:color w:val="242424"/>
              </w:rPr>
              <w:t>Item 7A.</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gridSpan w:val="24"/>
          </w:tcPr>
          <w:p>
            <w:pPr>
              <w:spacing w:after="0" w:line="187" w:lineRule="exact"/>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tcPr>
          <w:p>
            <w:pPr>
              <w:jc w:val="right"/>
              <w:spacing w:after="0" w:line="187" w:lineRule="exact"/>
              <w:rPr>
                <w:sz w:val="20"/>
                <w:szCs w:val="20"/>
                <w:color w:val="auto"/>
              </w:rPr>
            </w:pPr>
            <w:r>
              <w:rPr>
                <w:rFonts w:ascii="Arial" w:cs="Arial" w:eastAsia="Arial" w:hAnsi="Arial"/>
                <w:sz w:val="18"/>
                <w:szCs w:val="18"/>
                <w:color w:val="242424"/>
              </w:rPr>
              <w:t>54</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7"/>
        </w:trPr>
        <w:tc>
          <w:tcPr>
            <w:tcW w:w="86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8.</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40" w:type="dxa"/>
            <w:vAlign w:val="bottom"/>
            <w:gridSpan w:val="24"/>
            <w:shd w:val="clear" w:color="auto" w:fill="CCEEFF"/>
          </w:tcPr>
          <w:p>
            <w:pPr>
              <w:spacing w:after="0" w:line="187" w:lineRule="exact"/>
              <w:rPr>
                <w:sz w:val="20"/>
                <w:szCs w:val="20"/>
                <w:color w:val="auto"/>
              </w:rPr>
            </w:pPr>
            <w:r>
              <w:rPr>
                <w:rFonts w:ascii="Arial" w:cs="Arial" w:eastAsia="Arial" w:hAnsi="Arial"/>
                <w:sz w:val="18"/>
                <w:szCs w:val="18"/>
                <w:color w:val="0000FF"/>
              </w:rPr>
              <w:t>Financial Statements and Supplementary Data</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242424"/>
              </w:rPr>
              <w:t>54</w:t>
            </w: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60" w:type="dxa"/>
            <w:vAlign w:val="bottom"/>
          </w:tcPr>
          <w:p>
            <w:pPr>
              <w:ind w:left="20"/>
              <w:spacing w:after="0" w:line="187" w:lineRule="exact"/>
              <w:rPr>
                <w:sz w:val="20"/>
                <w:szCs w:val="20"/>
                <w:color w:val="auto"/>
              </w:rPr>
            </w:pPr>
            <w:r>
              <w:rPr>
                <w:rFonts w:ascii="Arial" w:cs="Arial" w:eastAsia="Arial" w:hAnsi="Arial"/>
                <w:sz w:val="18"/>
                <w:szCs w:val="18"/>
                <w:color w:val="242424"/>
              </w:rPr>
              <w:t>Item 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gridSpan w:val="24"/>
          </w:tcPr>
          <w:p>
            <w:pPr>
              <w:spacing w:after="0" w:line="187"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20" w:type="dxa"/>
            <w:vAlign w:val="bottom"/>
          </w:tcPr>
          <w:p>
            <w:pPr>
              <w:jc w:val="right"/>
              <w:spacing w:after="0" w:line="187" w:lineRule="exact"/>
              <w:rPr>
                <w:sz w:val="20"/>
                <w:szCs w:val="20"/>
                <w:color w:val="auto"/>
              </w:rPr>
            </w:pPr>
            <w:r>
              <w:rPr>
                <w:rFonts w:ascii="Arial" w:cs="Arial" w:eastAsia="Arial" w:hAnsi="Arial"/>
                <w:sz w:val="18"/>
                <w:szCs w:val="18"/>
                <w:color w:val="242424"/>
              </w:rPr>
              <w:t>54</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8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9A.</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FF"/>
            </w:tcBorders>
            <w:gridSpan w:val="11"/>
            <w:shd w:val="clear" w:color="auto" w:fill="CCEEFF"/>
          </w:tcPr>
          <w:p>
            <w:pPr>
              <w:spacing w:after="0" w:line="187" w:lineRule="exact"/>
              <w:rPr>
                <w:sz w:val="20"/>
                <w:szCs w:val="20"/>
                <w:color w:val="auto"/>
              </w:rPr>
            </w:pPr>
            <w:r>
              <w:rPr>
                <w:rFonts w:ascii="Arial" w:cs="Arial" w:eastAsia="Arial" w:hAnsi="Arial"/>
                <w:sz w:val="18"/>
                <w:szCs w:val="18"/>
                <w:color w:val="0000FF"/>
                <w:w w:val="98"/>
              </w:rPr>
              <w:t>Controls and Procedures</w:t>
            </w:r>
          </w:p>
        </w:tc>
        <w:tc>
          <w:tcPr>
            <w:tcW w:w="6860" w:type="dxa"/>
            <w:vAlign w:val="bottom"/>
            <w:tcBorders>
              <w:bottom w:val="single" w:sz="8" w:color="CCEEFF"/>
            </w:tcBorders>
            <w:gridSpan w:val="13"/>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8"/>
                <w:szCs w:val="18"/>
                <w:color w:val="242424"/>
              </w:rPr>
              <w:t>54</w:t>
            </w:r>
          </w:p>
        </w:tc>
      </w:tr>
      <w:tr>
        <w:trPr>
          <w:trHeight w:val="187"/>
        </w:trPr>
        <w:tc>
          <w:tcPr>
            <w:tcW w:w="860" w:type="dxa"/>
            <w:vAlign w:val="bottom"/>
          </w:tcPr>
          <w:p>
            <w:pPr>
              <w:ind w:left="20"/>
              <w:spacing w:after="0" w:line="187" w:lineRule="exact"/>
              <w:rPr>
                <w:sz w:val="20"/>
                <w:szCs w:val="20"/>
                <w:color w:val="auto"/>
              </w:rPr>
            </w:pPr>
            <w:r>
              <w:rPr>
                <w:rFonts w:ascii="Arial" w:cs="Arial" w:eastAsia="Arial" w:hAnsi="Arial"/>
                <w:sz w:val="18"/>
                <w:szCs w:val="18"/>
                <w:color w:val="242424"/>
              </w:rPr>
              <w:t>Item 9B.</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gridSpan w:val="24"/>
          </w:tcPr>
          <w:p>
            <w:pPr>
              <w:spacing w:after="0" w:line="187" w:lineRule="exact"/>
              <w:rPr>
                <w:sz w:val="20"/>
                <w:szCs w:val="20"/>
                <w:color w:val="auto"/>
              </w:rPr>
            </w:pPr>
            <w:r>
              <w:rPr>
                <w:rFonts w:ascii="Arial" w:cs="Arial" w:eastAsia="Arial" w:hAnsi="Arial"/>
                <w:sz w:val="18"/>
                <w:szCs w:val="18"/>
                <w:color w:val="0000FF"/>
              </w:rPr>
              <w:t>Other Information</w:t>
            </w:r>
          </w:p>
        </w:tc>
        <w:tc>
          <w:tcPr>
            <w:tcW w:w="1120" w:type="dxa"/>
            <w:vAlign w:val="bottom"/>
          </w:tcPr>
          <w:p>
            <w:pPr>
              <w:jc w:val="right"/>
              <w:spacing w:after="0" w:line="187" w:lineRule="exact"/>
              <w:rPr>
                <w:sz w:val="20"/>
                <w:szCs w:val="20"/>
                <w:color w:val="auto"/>
              </w:rPr>
            </w:pPr>
            <w:r>
              <w:rPr>
                <w:rFonts w:ascii="Arial" w:cs="Arial" w:eastAsia="Arial" w:hAnsi="Arial"/>
                <w:sz w:val="18"/>
                <w:szCs w:val="18"/>
                <w:color w:val="242424"/>
              </w:rPr>
              <w:t>55</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8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9C.</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360" w:type="dxa"/>
            <w:vAlign w:val="bottom"/>
            <w:tcBorders>
              <w:bottom w:val="single" w:sz="8" w:color="0000FF"/>
            </w:tcBorders>
            <w:gridSpan w:val="18"/>
            <w:shd w:val="clear" w:color="auto" w:fill="CCEEFF"/>
          </w:tcPr>
          <w:p>
            <w:pPr>
              <w:spacing w:after="0" w:line="187" w:lineRule="exact"/>
              <w:rPr>
                <w:sz w:val="20"/>
                <w:szCs w:val="20"/>
                <w:color w:val="auto"/>
              </w:rPr>
            </w:pPr>
            <w:r>
              <w:rPr>
                <w:rFonts w:ascii="Arial" w:cs="Arial" w:eastAsia="Arial" w:hAnsi="Arial"/>
                <w:sz w:val="18"/>
                <w:szCs w:val="18"/>
                <w:color w:val="0000FF"/>
                <w:w w:val="98"/>
              </w:rPr>
              <w:t>Disclosure Regarding Foreign Jurisdictions that Prevent Inspections</w:t>
            </w:r>
          </w:p>
        </w:tc>
        <w:tc>
          <w:tcPr>
            <w:tcW w:w="3480" w:type="dxa"/>
            <w:vAlign w:val="bottom"/>
            <w:tcBorders>
              <w:bottom w:val="single" w:sz="8" w:color="CCEEFF"/>
            </w:tcBorders>
            <w:gridSpan w:val="6"/>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8"/>
                <w:szCs w:val="18"/>
                <w:color w:val="242424"/>
              </w:rPr>
              <w:t>55</w:t>
            </w:r>
          </w:p>
        </w:tc>
      </w:tr>
      <w:tr>
        <w:trPr>
          <w:trHeight w:val="227"/>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6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242424"/>
                <w:w w:val="98"/>
              </w:rPr>
              <w:t>PART III</w:t>
            </w:r>
          </w:p>
        </w:tc>
        <w:tc>
          <w:tcPr>
            <w:tcW w:w="1120" w:type="dxa"/>
            <w:vAlign w:val="bottom"/>
          </w:tcPr>
          <w:p>
            <w:pPr>
              <w:spacing w:after="0"/>
              <w:rPr>
                <w:sz w:val="19"/>
                <w:szCs w:val="19"/>
                <w:color w:val="auto"/>
              </w:rPr>
            </w:pPr>
          </w:p>
        </w:tc>
      </w:tr>
      <w:tr>
        <w:trPr>
          <w:trHeight w:val="207"/>
        </w:trPr>
        <w:tc>
          <w:tcPr>
            <w:tcW w:w="8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10.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60" w:type="dxa"/>
            <w:vAlign w:val="bottom"/>
            <w:tcBorders>
              <w:bottom w:val="single" w:sz="8" w:color="0000FF"/>
            </w:tcBorders>
            <w:gridSpan w:val="16"/>
            <w:shd w:val="clear" w:color="auto" w:fill="CCEEFF"/>
          </w:tcPr>
          <w:p>
            <w:pPr>
              <w:spacing w:after="0" w:line="187" w:lineRule="exact"/>
              <w:rPr>
                <w:sz w:val="20"/>
                <w:szCs w:val="20"/>
                <w:color w:val="auto"/>
              </w:rPr>
            </w:pPr>
            <w:r>
              <w:rPr>
                <w:rFonts w:ascii="Arial" w:cs="Arial" w:eastAsia="Arial" w:hAnsi="Arial"/>
                <w:sz w:val="18"/>
                <w:szCs w:val="18"/>
                <w:color w:val="0000FF"/>
                <w:w w:val="98"/>
              </w:rPr>
              <w:t>Directors, Executive Officers and Corporate Governance</w:t>
            </w:r>
          </w:p>
        </w:tc>
        <w:tc>
          <w:tcPr>
            <w:tcW w:w="4380" w:type="dxa"/>
            <w:vAlign w:val="bottom"/>
            <w:tcBorders>
              <w:bottom w:val="single" w:sz="8" w:color="CCEEFF"/>
            </w:tcBorders>
            <w:gridSpan w:val="8"/>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8"/>
                <w:szCs w:val="18"/>
                <w:color w:val="242424"/>
              </w:rPr>
              <w:t>56</w:t>
            </w:r>
          </w:p>
        </w:tc>
      </w:tr>
      <w:tr>
        <w:trPr>
          <w:trHeight w:val="187"/>
        </w:trPr>
        <w:tc>
          <w:tcPr>
            <w:tcW w:w="860" w:type="dxa"/>
            <w:vAlign w:val="bottom"/>
          </w:tcPr>
          <w:p>
            <w:pPr>
              <w:ind w:left="20"/>
              <w:spacing w:after="0" w:line="187" w:lineRule="exact"/>
              <w:rPr>
                <w:sz w:val="20"/>
                <w:szCs w:val="20"/>
                <w:color w:val="auto"/>
              </w:rPr>
            </w:pPr>
            <w:r>
              <w:rPr>
                <w:rFonts w:ascii="Arial" w:cs="Arial" w:eastAsia="Arial" w:hAnsi="Arial"/>
                <w:sz w:val="18"/>
                <w:szCs w:val="18"/>
                <w:color w:val="242424"/>
              </w:rPr>
              <w:t>Item 11.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gridSpan w:val="24"/>
          </w:tcPr>
          <w:p>
            <w:pPr>
              <w:spacing w:after="0" w:line="187" w:lineRule="exact"/>
              <w:rPr>
                <w:sz w:val="20"/>
                <w:szCs w:val="20"/>
                <w:color w:val="auto"/>
              </w:rPr>
            </w:pPr>
            <w:r>
              <w:rPr>
                <w:rFonts w:ascii="Arial" w:cs="Arial" w:eastAsia="Arial" w:hAnsi="Arial"/>
                <w:sz w:val="18"/>
                <w:szCs w:val="18"/>
                <w:color w:val="0000FF"/>
              </w:rPr>
              <w:t>Executive Compensation</w:t>
            </w:r>
          </w:p>
        </w:tc>
        <w:tc>
          <w:tcPr>
            <w:tcW w:w="1120" w:type="dxa"/>
            <w:vAlign w:val="bottom"/>
          </w:tcPr>
          <w:p>
            <w:pPr>
              <w:jc w:val="right"/>
              <w:spacing w:after="0" w:line="187" w:lineRule="exact"/>
              <w:rPr>
                <w:sz w:val="20"/>
                <w:szCs w:val="20"/>
                <w:color w:val="auto"/>
              </w:rPr>
            </w:pPr>
            <w:r>
              <w:rPr>
                <w:rFonts w:ascii="Arial" w:cs="Arial" w:eastAsia="Arial" w:hAnsi="Arial"/>
                <w:sz w:val="18"/>
                <w:szCs w:val="18"/>
                <w:color w:val="242424"/>
              </w:rPr>
              <w:t>56</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8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12.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FF"/>
            </w:tcBorders>
            <w:gridSpan w:val="22"/>
            <w:shd w:val="clear" w:color="auto" w:fill="CCEEFF"/>
          </w:tcPr>
          <w:p>
            <w:pPr>
              <w:spacing w:after="0" w:line="187" w:lineRule="exact"/>
              <w:rPr>
                <w:sz w:val="20"/>
                <w:szCs w:val="20"/>
                <w:color w:val="auto"/>
              </w:rPr>
            </w:pPr>
            <w:r>
              <w:rPr>
                <w:rFonts w:ascii="Arial" w:cs="Arial" w:eastAsia="Arial" w:hAnsi="Arial"/>
                <w:sz w:val="18"/>
                <w:szCs w:val="18"/>
                <w:color w:val="0000FF"/>
                <w:w w:val="98"/>
              </w:rPr>
              <w:t>Security Ownership of Certain Beneficial Owners and Management and Related Stockholder Matters</w:t>
            </w:r>
          </w:p>
        </w:tc>
        <w:tc>
          <w:tcPr>
            <w:tcW w:w="900" w:type="dxa"/>
            <w:vAlign w:val="bottom"/>
            <w:tcBorders>
              <w:bottom w:val="single" w:sz="8" w:color="CCEEFF"/>
            </w:tcBorders>
            <w:gridSpan w:val="2"/>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8"/>
                <w:szCs w:val="18"/>
                <w:color w:val="242424"/>
              </w:rPr>
              <w:t>56</w:t>
            </w:r>
          </w:p>
        </w:tc>
      </w:tr>
      <w:tr>
        <w:trPr>
          <w:trHeight w:val="187"/>
        </w:trPr>
        <w:tc>
          <w:tcPr>
            <w:tcW w:w="860" w:type="dxa"/>
            <w:vAlign w:val="bottom"/>
          </w:tcPr>
          <w:p>
            <w:pPr>
              <w:ind w:left="20"/>
              <w:spacing w:after="0" w:line="187" w:lineRule="exact"/>
              <w:rPr>
                <w:sz w:val="20"/>
                <w:szCs w:val="20"/>
                <w:color w:val="auto"/>
              </w:rPr>
            </w:pPr>
            <w:r>
              <w:rPr>
                <w:rFonts w:ascii="Arial" w:cs="Arial" w:eastAsia="Arial" w:hAnsi="Arial"/>
                <w:sz w:val="18"/>
                <w:szCs w:val="18"/>
                <w:color w:val="242424"/>
              </w:rPr>
              <w:t>Item 13.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40" w:type="dxa"/>
            <w:vAlign w:val="bottom"/>
            <w:gridSpan w:val="24"/>
          </w:tcPr>
          <w:p>
            <w:pPr>
              <w:spacing w:after="0" w:line="187"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120" w:type="dxa"/>
            <w:vAlign w:val="bottom"/>
          </w:tcPr>
          <w:p>
            <w:pPr>
              <w:jc w:val="right"/>
              <w:spacing w:after="0" w:line="187" w:lineRule="exact"/>
              <w:rPr>
                <w:sz w:val="20"/>
                <w:szCs w:val="20"/>
                <w:color w:val="auto"/>
              </w:rPr>
            </w:pPr>
            <w:r>
              <w:rPr>
                <w:rFonts w:ascii="Arial" w:cs="Arial" w:eastAsia="Arial" w:hAnsi="Arial"/>
                <w:sz w:val="18"/>
                <w:szCs w:val="18"/>
                <w:color w:val="242424"/>
              </w:rPr>
              <w:t>56</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86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40" w:type="dxa"/>
            <w:vAlign w:val="bottom"/>
            <w:gridSpan w:val="24"/>
            <w:shd w:val="clear" w:color="auto" w:fill="CCEEFF"/>
          </w:tcPr>
          <w:p>
            <w:pPr>
              <w:spacing w:after="0" w:line="187" w:lineRule="exact"/>
              <w:rPr>
                <w:sz w:val="20"/>
                <w:szCs w:val="20"/>
                <w:color w:val="auto"/>
              </w:rPr>
            </w:pPr>
            <w:r>
              <w:rPr>
                <w:rFonts w:ascii="Arial" w:cs="Arial" w:eastAsia="Arial" w:hAnsi="Arial"/>
                <w:sz w:val="18"/>
                <w:szCs w:val="18"/>
                <w:color w:val="0000FF"/>
              </w:rPr>
              <w:t>Principal Accounting Fees and Services</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242424"/>
              </w:rPr>
              <w:t>56</w:t>
            </w:r>
          </w:p>
        </w:tc>
      </w:tr>
      <w:tr>
        <w:trPr>
          <w:trHeight w:val="227"/>
        </w:trPr>
        <w:tc>
          <w:tcPr>
            <w:tcW w:w="8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5160" w:type="dxa"/>
            <w:vAlign w:val="bottom"/>
            <w:tcBorders>
              <w:top w:val="single" w:sz="8" w:color="CCEEFF"/>
            </w:tcBorders>
            <w:gridSpan w:val="9"/>
          </w:tcPr>
          <w:p>
            <w:pPr>
              <w:jc w:val="center"/>
              <w:ind w:right="3680"/>
              <w:spacing w:after="0"/>
              <w:rPr>
                <w:sz w:val="20"/>
                <w:szCs w:val="20"/>
                <w:color w:val="auto"/>
              </w:rPr>
            </w:pPr>
            <w:r>
              <w:rPr>
                <w:rFonts w:ascii="Arial" w:cs="Arial" w:eastAsia="Arial" w:hAnsi="Arial"/>
                <w:sz w:val="18"/>
                <w:szCs w:val="18"/>
                <w:b w:val="1"/>
                <w:bCs w:val="1"/>
                <w:color w:val="242424"/>
                <w:w w:val="95"/>
              </w:rPr>
              <w:t>PART IV</w:t>
            </w:r>
          </w:p>
        </w:tc>
        <w:tc>
          <w:tcPr>
            <w:tcW w:w="1120" w:type="dxa"/>
            <w:vAlign w:val="bottom"/>
            <w:tcBorders>
              <w:top w:val="single" w:sz="8" w:color="CCEEFF"/>
            </w:tcBorders>
          </w:tcPr>
          <w:p>
            <w:pPr>
              <w:spacing w:after="0"/>
              <w:rPr>
                <w:sz w:val="19"/>
                <w:szCs w:val="19"/>
                <w:color w:val="auto"/>
              </w:rPr>
            </w:pPr>
          </w:p>
        </w:tc>
      </w:tr>
      <w:tr>
        <w:trPr>
          <w:trHeight w:val="207"/>
        </w:trPr>
        <w:tc>
          <w:tcPr>
            <w:tcW w:w="86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242424"/>
              </w:rPr>
              <w:t>Item 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40" w:type="dxa"/>
            <w:vAlign w:val="bottom"/>
            <w:gridSpan w:val="24"/>
            <w:shd w:val="clear" w:color="auto" w:fill="CCEEFF"/>
          </w:tcPr>
          <w:p>
            <w:pPr>
              <w:spacing w:after="0" w:line="187" w:lineRule="exact"/>
              <w:rPr>
                <w:sz w:val="20"/>
                <w:szCs w:val="20"/>
                <w:color w:val="auto"/>
              </w:rPr>
            </w:pPr>
            <w:r>
              <w:rPr>
                <w:rFonts w:ascii="Arial" w:cs="Arial" w:eastAsia="Arial" w:hAnsi="Arial"/>
                <w:sz w:val="18"/>
                <w:szCs w:val="18"/>
                <w:color w:val="0000FF"/>
              </w:rPr>
              <w:t>Exhibits, Financial Statement Schedules</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242424"/>
              </w:rPr>
              <w:t>57</w:t>
            </w:r>
          </w:p>
        </w:tc>
      </w:tr>
      <w:tr>
        <w:trPr>
          <w:trHeight w:val="187"/>
        </w:trPr>
        <w:tc>
          <w:tcPr>
            <w:tcW w:w="860" w:type="dxa"/>
            <w:vAlign w:val="bottom"/>
            <w:tcBorders>
              <w:top w:val="single" w:sz="8" w:color="CCEEFF"/>
            </w:tcBorders>
          </w:tcPr>
          <w:p>
            <w:pPr>
              <w:ind w:left="20"/>
              <w:spacing w:after="0" w:line="187" w:lineRule="exact"/>
              <w:rPr>
                <w:sz w:val="20"/>
                <w:szCs w:val="20"/>
                <w:color w:val="auto"/>
              </w:rPr>
            </w:pPr>
            <w:r>
              <w:rPr>
                <w:rFonts w:ascii="Arial" w:cs="Arial" w:eastAsia="Arial" w:hAnsi="Arial"/>
                <w:sz w:val="18"/>
                <w:szCs w:val="18"/>
                <w:color w:val="242424"/>
              </w:rPr>
              <w:t>Item 16.</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180" w:type="dxa"/>
            <w:vAlign w:val="bottom"/>
            <w:tcBorders>
              <w:top w:val="single" w:sz="8" w:color="0000FF"/>
            </w:tcBorders>
            <w:gridSpan w:val="14"/>
          </w:tcPr>
          <w:p>
            <w:pPr>
              <w:spacing w:after="0" w:line="187" w:lineRule="exact"/>
              <w:rPr>
                <w:sz w:val="20"/>
                <w:szCs w:val="20"/>
                <w:color w:val="auto"/>
              </w:rPr>
            </w:pPr>
            <w:r>
              <w:rPr>
                <w:rFonts w:ascii="Arial" w:cs="Arial" w:eastAsia="Arial" w:hAnsi="Arial"/>
                <w:sz w:val="18"/>
                <w:szCs w:val="18"/>
                <w:color w:val="0000FF"/>
              </w:rPr>
              <w:t>Form 10-K Summary</w:t>
            </w:r>
          </w:p>
        </w:tc>
        <w:tc>
          <w:tcPr>
            <w:tcW w:w="5660" w:type="dxa"/>
            <w:vAlign w:val="bottom"/>
            <w:tcBorders>
              <w:top w:val="single" w:sz="8" w:color="CCEEFF"/>
            </w:tcBorders>
            <w:gridSpan w:val="10"/>
          </w:tcPr>
          <w:p>
            <w:pPr>
              <w:spacing w:after="0"/>
              <w:rPr>
                <w:sz w:val="16"/>
                <w:szCs w:val="16"/>
                <w:color w:val="auto"/>
              </w:rPr>
            </w:pPr>
          </w:p>
        </w:tc>
        <w:tc>
          <w:tcPr>
            <w:tcW w:w="1120" w:type="dxa"/>
            <w:vAlign w:val="bottom"/>
            <w:tcBorders>
              <w:top w:val="single" w:sz="8" w:color="CCEEFF"/>
            </w:tcBorders>
          </w:tcPr>
          <w:p>
            <w:pPr>
              <w:jc w:val="right"/>
              <w:spacing w:after="0" w:line="187" w:lineRule="exact"/>
              <w:rPr>
                <w:sz w:val="20"/>
                <w:szCs w:val="20"/>
                <w:color w:val="auto"/>
              </w:rPr>
            </w:pPr>
            <w:r>
              <w:rPr>
                <w:rFonts w:ascii="Arial" w:cs="Arial" w:eastAsia="Arial" w:hAnsi="Arial"/>
                <w:sz w:val="18"/>
                <w:szCs w:val="18"/>
                <w:color w:val="242424"/>
              </w:rPr>
              <w:t>60</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7"/>
        </w:trPr>
        <w:tc>
          <w:tcPr>
            <w:tcW w:w="860" w:type="dxa"/>
            <w:vAlign w:val="bottom"/>
            <w:shd w:val="clear" w:color="auto" w:fill="CCEEFF"/>
          </w:tcPr>
          <w:p>
            <w:pPr>
              <w:spacing w:after="0"/>
              <w:rPr>
                <w:sz w:val="16"/>
                <w:szCs w:val="16"/>
                <w:color w:val="auto"/>
              </w:rPr>
            </w:pPr>
          </w:p>
        </w:tc>
        <w:tc>
          <w:tcPr>
            <w:tcW w:w="9240" w:type="dxa"/>
            <w:vAlign w:val="bottom"/>
            <w:gridSpan w:val="26"/>
            <w:shd w:val="clear" w:color="auto" w:fill="CCEEFF"/>
          </w:tcPr>
          <w:p>
            <w:pPr>
              <w:ind w:left="180"/>
              <w:spacing w:after="0" w:line="187" w:lineRule="exact"/>
              <w:rPr>
                <w:sz w:val="20"/>
                <w:szCs w:val="20"/>
                <w:color w:val="auto"/>
              </w:rPr>
            </w:pPr>
            <w:r>
              <w:rPr>
                <w:rFonts w:ascii="Arial" w:cs="Arial" w:eastAsia="Arial" w:hAnsi="Arial"/>
                <w:sz w:val="18"/>
                <w:szCs w:val="18"/>
                <w:color w:val="0000FF"/>
              </w:rPr>
              <w:t>Signatures</w:t>
            </w:r>
          </w:p>
        </w:tc>
        <w:tc>
          <w:tcPr>
            <w:tcW w:w="1120" w:type="dxa"/>
            <w:vAlign w:val="bottom"/>
            <w:shd w:val="clear" w:color="auto" w:fill="CCEEFF"/>
          </w:tcPr>
          <w:p>
            <w:pPr>
              <w:jc w:val="right"/>
              <w:spacing w:after="0" w:line="187" w:lineRule="exact"/>
              <w:rPr>
                <w:sz w:val="20"/>
                <w:szCs w:val="20"/>
                <w:color w:val="auto"/>
              </w:rPr>
            </w:pPr>
            <w:r>
              <w:rPr>
                <w:rFonts w:ascii="Arial" w:cs="Arial" w:eastAsia="Arial" w:hAnsi="Arial"/>
                <w:sz w:val="18"/>
                <w:szCs w:val="18"/>
                <w:color w:val="242424"/>
              </w:rPr>
              <w:t>61</w:t>
            </w: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1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Murphy Oil Corporation is a global oil and natural gas exploration and production company, with both onshore and offshore operations and properties. As used in this report, the terms Murphy, Murphy Oil, we, our, its and Company may refer to Murphy Oil Corporation or any one or more of its consolidated subsidiaries.</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was originally incorporated in Louisiana in 1950 as Murphy Corporation. It was reincorporated in Delaware in 1964, at which time it adopted the name Murphy Oil Corporation. In 2013, the United States (U.S.) refining and marketing business was separated from Murphy Oil Corporation’s oil and natural gas exploration and production business. For reporting purposes, Murphy’s exploration and production activities are subdivided into three geographic segments, including the U.S., Canada and all other countries. Additionally, the Corporate segment includes interest income, interest expense, foreign exchange effects, corporate risk management activities and administrative costs not allocated to the exploration and production segments. The Company’s corporate headquarters are located in Houston, Texas.</w:t>
      </w:r>
    </w:p>
    <w:p>
      <w:pPr>
        <w:spacing w:after="0" w:line="82"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As part of the Company’s underlying operations, the Company is continually monitoring its greenhouse gas (GHG) emissions and impact on the environment as well as other social and environmental aspects of its business. See “</w:t>
      </w:r>
      <w:r>
        <w:rPr>
          <w:rFonts w:ascii="Arial" w:cs="Arial" w:eastAsia="Arial" w:hAnsi="Arial"/>
          <w:sz w:val="18"/>
          <w:szCs w:val="18"/>
          <w:u w:val="single" w:color="auto"/>
          <w:color w:val="0000FF"/>
        </w:rPr>
        <w:t>Sustainability</w:t>
      </w:r>
      <w:r>
        <w:rPr>
          <w:rFonts w:ascii="Arial" w:cs="Arial" w:eastAsia="Arial" w:hAnsi="Arial"/>
          <w:sz w:val="18"/>
          <w:szCs w:val="18"/>
          <w:color w:val="auto"/>
        </w:rPr>
        <w:t xml:space="preserve">” on page </w:t>
      </w:r>
      <w:r>
        <w:rPr>
          <w:rFonts w:ascii="Arial" w:cs="Arial" w:eastAsia="Arial" w:hAnsi="Arial"/>
          <w:sz w:val="18"/>
          <w:szCs w:val="18"/>
          <w:u w:val="single" w:color="auto"/>
          <w:color w:val="0000FF"/>
        </w:rPr>
        <w:t>9</w:t>
      </w:r>
      <w:r>
        <w:rPr>
          <w:rFonts w:ascii="Arial" w:cs="Arial" w:eastAsia="Arial" w:hAnsi="Arial"/>
          <w:sz w:val="18"/>
          <w:szCs w:val="18"/>
          <w:color w:val="auto"/>
        </w:rPr>
        <w:t>.</w:t>
      </w:r>
    </w:p>
    <w:p>
      <w:pPr>
        <w:spacing w:after="0" w:line="5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 xml:space="preserve">In addition to the following information about each business activity, data about Murphy’s operations, properties and business segments, including revenues by class of products and financial information by geographic area, are provided on pages </w:t>
      </w:r>
      <w:r>
        <w:rPr>
          <w:rFonts w:ascii="Arial" w:cs="Arial" w:eastAsia="Arial" w:hAnsi="Arial"/>
          <w:sz w:val="18"/>
          <w:szCs w:val="18"/>
          <w:u w:val="single" w:color="auto"/>
          <w:color w:val="0000FF"/>
        </w:rPr>
        <w:t>31</w:t>
      </w:r>
      <w:r>
        <w:rPr>
          <w:rFonts w:ascii="Arial" w:cs="Arial" w:eastAsia="Arial" w:hAnsi="Arial"/>
          <w:sz w:val="18"/>
          <w:szCs w:val="18"/>
          <w:color w:val="auto"/>
        </w:rPr>
        <w:t xml:space="preserve"> through </w:t>
      </w:r>
      <w:r>
        <w:rPr>
          <w:rFonts w:ascii="Arial" w:cs="Arial" w:eastAsia="Arial" w:hAnsi="Arial"/>
          <w:sz w:val="18"/>
          <w:szCs w:val="18"/>
          <w:u w:val="single" w:color="auto"/>
          <w:color w:val="0000FF"/>
        </w:rPr>
        <w:t>43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75</w:t>
      </w:r>
      <w:r>
        <w:rPr>
          <w:rFonts w:ascii="Arial" w:cs="Arial" w:eastAsia="Arial" w:hAnsi="Arial"/>
          <w:sz w:val="18"/>
          <w:szCs w:val="18"/>
          <w:color w:val="auto"/>
        </w:rPr>
        <w:t xml:space="preserve"> through </w:t>
      </w:r>
      <w:r>
        <w:rPr>
          <w:rFonts w:ascii="Arial" w:cs="Arial" w:eastAsia="Arial" w:hAnsi="Arial"/>
          <w:sz w:val="18"/>
          <w:szCs w:val="18"/>
          <w:u w:val="single" w:color="auto"/>
          <w:color w:val="0000FF"/>
        </w:rPr>
        <w:t>79</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100</w:t>
      </w:r>
      <w:r>
        <w:rPr>
          <w:rFonts w:ascii="Arial" w:cs="Arial" w:eastAsia="Arial" w:hAnsi="Arial"/>
          <w:sz w:val="18"/>
          <w:szCs w:val="18"/>
          <w:color w:val="0000FF"/>
        </w:rPr>
        <w:t xml:space="preserve"> </w:t>
      </w:r>
      <w:r>
        <w:rPr>
          <w:rFonts w:ascii="Arial" w:cs="Arial" w:eastAsia="Arial" w:hAnsi="Arial"/>
          <w:sz w:val="18"/>
          <w:szCs w:val="18"/>
          <w:color w:val="000000"/>
        </w:rPr>
        <w:t>through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104</w:t>
      </w:r>
      <w:r>
        <w:rPr>
          <w:rFonts w:ascii="Arial" w:cs="Arial" w:eastAsia="Arial" w:hAnsi="Arial"/>
          <w:sz w:val="18"/>
          <w:szCs w:val="18"/>
          <w:color w:val="000000"/>
        </w:rPr>
        <w:t>,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106</w:t>
      </w:r>
      <w:r>
        <w:rPr>
          <w:rFonts w:ascii="Arial" w:cs="Arial" w:eastAsia="Arial" w:hAnsi="Arial"/>
          <w:sz w:val="18"/>
          <w:szCs w:val="18"/>
          <w:color w:val="0000FF"/>
        </w:rPr>
        <w:t xml:space="preserve"> </w:t>
      </w:r>
      <w:r>
        <w:rPr>
          <w:rFonts w:ascii="Arial" w:cs="Arial" w:eastAsia="Arial" w:hAnsi="Arial"/>
          <w:sz w:val="18"/>
          <w:szCs w:val="18"/>
          <w:color w:val="000000"/>
        </w:rPr>
        <w:t>through</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121</w:t>
      </w:r>
      <w:r>
        <w:rPr>
          <w:rFonts w:ascii="Arial" w:cs="Arial" w:eastAsia="Arial" w:hAnsi="Arial"/>
          <w:sz w:val="18"/>
          <w:szCs w:val="18"/>
          <w:color w:val="0000FF"/>
        </w:rPr>
        <w:t xml:space="preserve"> </w:t>
      </w:r>
      <w:r>
        <w:rPr>
          <w:rFonts w:ascii="Arial" w:cs="Arial" w:eastAsia="Arial" w:hAnsi="Arial"/>
          <w:sz w:val="18"/>
          <w:szCs w:val="18"/>
          <w:color w:val="000000"/>
        </w:rPr>
        <w:t>of this Form 10-K report.</w:t>
      </w:r>
    </w:p>
    <w:p>
      <w:pPr>
        <w:spacing w:after="0" w:line="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Interested parties may obtain the Company’s public disclosures filed with the Securities and Exchange Commission (SEC), including Form 10-K, Form 10-Q, Form 8-K and other documents, by accessing the Investor Relations section of Murphy Oil Corporation’s Website at www.murphyoilcorp.com.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w:t>
      </w:r>
    </w:p>
    <w:p>
      <w:pPr>
        <w:spacing w:after="0" w:line="11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Company produces crude oil and condensate (collectively, crude oil), natural gas and natural gas liquids (NGLs) primarily in the U.S. and Canada and explores for crude oil, natural gas and NGLs in targeted areas worldwide.</w:t>
      </w:r>
    </w:p>
    <w:p>
      <w:pPr>
        <w:spacing w:after="0" w:line="5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2024, Murphy’s principal exploration and production activities were conducted in the U.S. by wholly-owned Murphy Exploration &amp; Production Company – USA and its subsidiaries, in Canada by wholly-owned Murphy Oil Company Ltd. and its subsidiaries, and in Brazil, Brunei, Côte d’Ivoire and Vietnam by wholly-owned Murphy Exploration &amp; Production Company – International and its subsidiaries. Murphy’s operations and production in 2024 were in the U.S., Canada and Brunei.</w:t>
      </w:r>
    </w:p>
    <w:p>
      <w:pPr>
        <w:spacing w:after="0" w:line="7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Unless otherwise indicated, all references to the Company’s U.S. Offshore and total oil, natural gas and NGLs production, sales volumes, and proved reserves include a noncontrolling interest in MP Gulf of Mexico, LLC (MP GOM; see further details below).</w:t>
      </w:r>
    </w:p>
    <w:p>
      <w:pPr>
        <w:spacing w:after="0" w:line="55"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color w:val="auto"/>
        </w:rPr>
        <w:t>Murphy’s worldwide 2024 production on a barrel of oil equivalent basis (six thousand cubic feet of natural gas equals one barrel of oil) was 184,293 barrels of oil equivalent per day (BOEPD), a decrease of 4.3% compared to 2023.</w:t>
      </w:r>
    </w:p>
    <w:p>
      <w:pPr>
        <w:spacing w:after="0" w:line="55"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color w:val="auto"/>
        </w:rPr>
        <w:t xml:space="preserve">For further details on business execution, see </w:t>
      </w:r>
      <w:r>
        <w:rPr>
          <w:rFonts w:ascii="Arial" w:cs="Arial" w:eastAsia="Arial" w:hAnsi="Arial"/>
          <w:sz w:val="18"/>
          <w:szCs w:val="18"/>
          <w:u w:val="single" w:color="auto"/>
          <w:color w:val="0000FF"/>
        </w:rPr>
        <w:t>“Management’s Discussion and Analysis of Financial Condition and Results of Operations”</w:t>
      </w:r>
      <w:r>
        <w:rPr>
          <w:rFonts w:ascii="Arial" w:cs="Arial" w:eastAsia="Arial" w:hAnsi="Arial"/>
          <w:sz w:val="18"/>
          <w:szCs w:val="18"/>
          <w:color w:val="auto"/>
        </w:rPr>
        <w:t xml:space="preserve"> starting on page </w:t>
      </w:r>
      <w:r>
        <w:rPr>
          <w:rFonts w:ascii="Arial" w:cs="Arial" w:eastAsia="Arial" w:hAnsi="Arial"/>
          <w:sz w:val="18"/>
          <w:szCs w:val="18"/>
          <w:u w:val="single" w:color="auto"/>
          <w:color w:val="0000FF"/>
        </w:rPr>
        <w:t>31</w:t>
      </w:r>
      <w:r>
        <w:rPr>
          <w:rFonts w:ascii="Arial" w:cs="Arial" w:eastAsia="Arial" w:hAnsi="Arial"/>
          <w:sz w:val="18"/>
          <w:szCs w:val="18"/>
          <w:color w:val="auto"/>
        </w:rPr>
        <w:t xml:space="preserve">. For further details on 2024 production and sales volume see pages </w:t>
      </w:r>
      <w:r>
        <w:rPr>
          <w:rFonts w:ascii="Arial" w:cs="Arial" w:eastAsia="Arial" w:hAnsi="Arial"/>
          <w:sz w:val="18"/>
          <w:szCs w:val="18"/>
          <w:u w:val="single" w:color="auto"/>
          <w:color w:val="0000FF"/>
        </w:rPr>
        <w:t>35</w:t>
      </w:r>
      <w:r>
        <w:rPr>
          <w:rFonts w:ascii="Arial" w:cs="Arial" w:eastAsia="Arial" w:hAnsi="Arial"/>
          <w:sz w:val="18"/>
          <w:szCs w:val="18"/>
          <w:color w:val="auto"/>
        </w:rPr>
        <w:t xml:space="preserve"> to </w:t>
      </w:r>
      <w:r>
        <w:rPr>
          <w:rFonts w:ascii="Arial" w:cs="Arial" w:eastAsia="Arial" w:hAnsi="Arial"/>
          <w:sz w:val="18"/>
          <w:szCs w:val="18"/>
          <w:u w:val="single" w:color="auto"/>
          <w:color w:val="0000FF"/>
        </w:rPr>
        <w:t>36</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14"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In the U.S., Murphy produces crude oil, natural gas and NGLs primarily from fields in the Gulf of America and in the Eagle Ford Shale area of South Texas. The Company produced 93,184 barrels (BBL) of crude oil and NGLs (collectively, liquids) per day and approximately 82 million cubic feet (MMCF) of natural gas per day in the U.S. in</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40"/>
        <w:spacing w:after="0" w:line="371" w:lineRule="auto"/>
        <w:rPr>
          <w:sz w:val="20"/>
          <w:szCs w:val="20"/>
          <w:color w:val="auto"/>
        </w:rPr>
      </w:pPr>
      <w:r>
        <w:rPr>
          <w:rFonts w:ascii="Arial" w:cs="Arial" w:eastAsia="Arial" w:hAnsi="Arial"/>
          <w:sz w:val="18"/>
          <w:szCs w:val="18"/>
          <w:color w:val="auto"/>
        </w:rPr>
        <w:t xml:space="preserve">2024. These amounts represented 89.5% of the Company’s total worldwide liquids and 17.1% of worldwide natural gas production volumes. </w:t>
      </w:r>
      <w:r>
        <w:rPr>
          <w:rFonts w:ascii="Arial" w:cs="Arial" w:eastAsia="Arial" w:hAnsi="Arial"/>
          <w:sz w:val="18"/>
          <w:szCs w:val="18"/>
          <w:i w:val="1"/>
          <w:iCs w:val="1"/>
          <w:color w:val="auto"/>
        </w:rPr>
        <w:t>Offshore</w:t>
      </w:r>
    </w:p>
    <w:p>
      <w:pPr>
        <w:spacing w:after="0" w:line="1" w:lineRule="exact"/>
        <w:rPr>
          <w:sz w:val="20"/>
          <w:szCs w:val="20"/>
          <w:color w:val="auto"/>
        </w:rPr>
      </w:pPr>
    </w:p>
    <w:p>
      <w:pPr>
        <w:jc w:val="both"/>
        <w:ind w:right="200"/>
        <w:spacing w:after="0" w:line="268" w:lineRule="auto"/>
        <w:rPr>
          <w:sz w:val="20"/>
          <w:szCs w:val="20"/>
          <w:color w:val="auto"/>
        </w:rPr>
      </w:pPr>
      <w:r>
        <w:rPr>
          <w:rFonts w:ascii="Arial" w:cs="Arial" w:eastAsia="Arial" w:hAnsi="Arial"/>
          <w:sz w:val="17"/>
          <w:szCs w:val="17"/>
          <w:color w:val="auto"/>
        </w:rPr>
        <w:t>The Company holds rights to approximately 580 thousand gross acres in the Gulf of America. During 2024, approximately 72% of total U.S. hydrocarbon production was produced at fields in the Gulf of America, of which approximately 90% was derived from ten fields, including the operated Khaleesi, Mormont, Cascade and Chinook, Samurai, Marmalard, Dalmatian and Powerball fields, as well as the non-operated St.</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Malo, Kodiak and Lucius fields. Total average daily production in the Gulf of America in 2024 was 67,591 BBL of liquids and 57 MMCF of natural gas. At December 31, 2024, Murphy had total proved reserves for Gulf of America fields of 123.2 million BBL of liquids and 93.2 billion cubic feet of natural gas.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Onshore</w:t>
      </w:r>
    </w:p>
    <w:p>
      <w:pPr>
        <w:spacing w:after="0" w:line="114"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The Company holds rights to approximately 133 thousand gross acres in South Texas in the Eagle Ford Shale unconventional oil and natural gas play. During 2024, approximately 28% of total U.S. hydrocarbon production was produced in the Eagle Ford Shale. Total 2024 production in the Eagle Ford Shale area was 25,521 BBL of liquids per day and 24.9 MMCF per day of natural gas. At December 31, 2024, the Company’s proved reserves for the U.S. Onshore business totaled 136.1 million BBL of liquids and 195.7 billion cubic feet of natural gas.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14"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In Canada, the Company holds working interests in Tupper Montney (100% working interest), Kaybob Duvernay and two non-operated offshore assets – the Hibernia and Terra Nova fields, located offshore Newfoundland and Labrador in the Jeanne d’Arc Basin. During 2023, the Company sold a portion of its working interest in Kaybob Duvernay and the entire 30% non-operated working interest in Placid Montney.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Onshore</w:t>
      </w:r>
    </w:p>
    <w:p>
      <w:pPr>
        <w:spacing w:after="0" w:line="11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Murphy has approximately 139 thousand gross acres of Tupper Montney mineral rights located in northeast British Columbia. In addition, the Company holds a 70% working interest in Kaybob Duvernay lands in Alberta. The Company has approximately 166 thousand gross acres of Kaybob Duvernay mineral rights. Daily production in 2024 in Canada Onshore averaged 3,465 BBL of liquids and 399 MMCF of natural gas. Total Canada Onshore proved liquids and natural gas reserves at December 31, 2024, were approximately 21.4 million BBL and 2.2 trillion cubic feet,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Offshore</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holds a non-operated interest in approximately 133 thousand gross acres offshore Canada. Murphy has a 6.5% working interest in Hibernia Main, a 4.3% working interest in Hibernia South Extension and an 18.0% working interest in Terra Nova. Oil production in 2024 was 7,251 BBL of oil per day for the two offshore Canadian fields. Terra Nova resumed production during the fourth quarter of 2023, following the completion of the asset life extension project. Total proved reserves for Canada Offshore at December 31, 2024 were approximately 20.8 million BBL of liquids and 14.0 billion cubic feet of natural gas.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w:t>
      </w:r>
    </w:p>
    <w:p>
      <w:pPr>
        <w:spacing w:after="0" w:line="114"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The Company holds a 20% non-operated working interest in nine blocks in the offshore regions of the Sergipe-Alagoas Basin (SEAL) in Brazil (SEAL-M-351, SEAL-M-428, SEAL-M-430, SEAL-M-501, SEAL-M-503, SEAL-M-505, SEAL-M-573, SEAL-M-575 and SEAL-M-637). Murphy has a 100% working interest in three blocks in the Potiguar Basin (POT-M-857, POT-M-863 and POT-M-865).</w:t>
      </w:r>
    </w:p>
    <w:p>
      <w:pPr>
        <w:spacing w:after="0" w:line="70" w:lineRule="exact"/>
        <w:rPr>
          <w:sz w:val="20"/>
          <w:szCs w:val="20"/>
          <w:color w:val="auto"/>
        </w:rPr>
      </w:pPr>
    </w:p>
    <w:p>
      <w:pPr>
        <w:ind w:right="940"/>
        <w:spacing w:after="0" w:line="278" w:lineRule="auto"/>
        <w:rPr>
          <w:sz w:val="20"/>
          <w:szCs w:val="20"/>
          <w:color w:val="auto"/>
        </w:rPr>
      </w:pPr>
      <w:r>
        <w:rPr>
          <w:rFonts w:ascii="Arial" w:cs="Arial" w:eastAsia="Arial" w:hAnsi="Arial"/>
          <w:sz w:val="18"/>
          <w:szCs w:val="18"/>
          <w:color w:val="auto"/>
        </w:rPr>
        <w:t>Murphy’s total acreage position in Brazil as of December 31, 2024 is approximately 2.5 million gross acres, offsetting several major discoveries. There are no well commitments.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Brunei</w:t>
      </w:r>
    </w:p>
    <w:p>
      <w:pPr>
        <w:spacing w:after="0" w:line="11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The Company has a working interest of 8.051% in Block CA-1 as of December 31, 2024. Oil production in 2024 was 219 BBL of oil per day for Brunei.</w:t>
      </w:r>
    </w:p>
    <w:p>
      <w:pPr>
        <w:spacing w:after="0" w:line="5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Total proved reserves for our Jagus East discovery in Block CA-1 at December 31, 2024 were approximately 0.2 million BBL of liquids and 172 MMCF of natural gas. Block CA-1 covers 2 thousand gross acres.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Vietnam</w:t>
      </w:r>
    </w:p>
    <w:p>
      <w:pPr>
        <w:spacing w:after="0" w:line="11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The Company holds an interest in 7.3 million gross acres, consisting of 65% working interest in Blocks 144 &amp; 145, and a 40% interest in Block 15-1/05 and Block 15-2/17. The Company is the operator of each of the three Production Sharing Contracts (PSCs).</w:t>
      </w:r>
    </w:p>
    <w:p>
      <w:pPr>
        <w:spacing w:after="0" w:line="55"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Block 15-1/05 contains the Lac Da Vang (Golden Camel) discovered field in the Cuu Long Basin where, in 2023, the Company received government approval of the field development plan, and the Board of Directors of the Company (the Board) sanctioned the project. Development activity is in progress, with first oil planned in 2026. The Lac Da Trang-1X (White Camel) exploration well was drilled in April 2019 and the Company anticipates drilling the Lac Da Hong-1X (Pink Camel) exploration well in 2025.</w:t>
      </w:r>
    </w:p>
    <w:p>
      <w:pPr>
        <w:spacing w:after="0" w:line="83"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In Block 15-2/17, the Company completed its geological and geophysical commitment work, which included 3D seismic reprocessing. In the fourth quarter 2024, the Company drilled an oil discovery at the Hai Su Vang-1X (Golden Sea Lion) exploration well, which encountered approximately 370 feet of net pay from two reservoirs. Additional evaluation is ongoing and future appraisal drilling will be conducted.</w:t>
      </w:r>
    </w:p>
    <w:p>
      <w:pPr>
        <w:spacing w:after="0" w:line="52"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In Blocks 144 &amp; 145, the Company acquired 2D seismic in 2013 and undertook seabed surveys in 2015 and 2016. The Company has sought an extension to complete the remaining seismic commitment.</w:t>
      </w:r>
    </w:p>
    <w:p>
      <w:pPr>
        <w:spacing w:after="0" w:line="55"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Total proved reserves for Lac Da Vang (Golden Camel) field development in Vietnam at December 31, 2024 were approximately 12.0 million BBL of liquids and 2.8 billion cubic feet of natural gas.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Côte d’Ivoire</w:t>
      </w:r>
    </w:p>
    <w:p>
      <w:pPr>
        <w:spacing w:after="0" w:line="11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During the second quarter of 2023, Murphy signed PSCs as operator for five deepwater blocks in the Tano Basin offshore Côte d’Ivoire, Africa. The five blocks have a total area of 1.5 million gross acres, with Murphy holding a 90% working interest in four blocks and an 85% working interest in the fifth block. Société Nationale d’Opérations Pétrolières de la Côte d’Ivoire holds the remaining working interest for each block.</w:t>
      </w:r>
    </w:p>
    <w:p>
      <w:pPr>
        <w:spacing w:after="0" w:line="5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Commitments for the initial exploration periods across the five blocks consist of seismic reprocessing. Block CI-103 includes the Paon discovery, appraised with multiple wells by a previous operator. The PSC for this block also includes a commitment to submit a field development plan for this discovery by the end of 2025.</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Proved Reserves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proved reserves for crude oil, natural gas and NGLs as of December 31, 2024 are presented in the following table:</w:t>
      </w:r>
    </w:p>
    <w:p>
      <w:pPr>
        <w:spacing w:after="0" w:line="47"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Proved Reserves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0"/>
              <w:spacing w:after="0" w:line="167" w:lineRule="exact"/>
              <w:rPr>
                <w:sz w:val="20"/>
                <w:szCs w:val="20"/>
                <w:color w:val="auto"/>
              </w:rPr>
            </w:pPr>
            <w:r>
              <w:rPr>
                <w:rFonts w:ascii="Arial" w:cs="Arial" w:eastAsia="Arial" w:hAnsi="Arial"/>
                <w:sz w:val="18"/>
                <w:szCs w:val="18"/>
                <w:color w:val="auto"/>
              </w:rPr>
              <w:t>Crude</w:t>
            </w:r>
          </w:p>
        </w:tc>
        <w:tc>
          <w:tcPr>
            <w:tcW w:w="1380" w:type="dxa"/>
            <w:vAlign w:val="bottom"/>
            <w:tcBorders>
              <w:top w:val="single" w:sz="8" w:color="auto"/>
            </w:tcBorders>
            <w:gridSpan w:val="2"/>
          </w:tcPr>
          <w:p>
            <w:pPr>
              <w:ind w:left="140"/>
              <w:spacing w:after="0" w:line="167" w:lineRule="exact"/>
              <w:rPr>
                <w:sz w:val="20"/>
                <w:szCs w:val="20"/>
                <w:color w:val="auto"/>
              </w:rPr>
            </w:pPr>
            <w:r>
              <w:rPr>
                <w:rFonts w:ascii="Arial" w:cs="Arial" w:eastAsia="Arial" w:hAnsi="Arial"/>
                <w:sz w:val="18"/>
                <w:szCs w:val="18"/>
                <w:color w:val="auto"/>
              </w:rPr>
              <w:t>Natural Gas</w:t>
            </w:r>
          </w:p>
        </w:tc>
        <w:tc>
          <w:tcPr>
            <w:tcW w:w="12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 Products</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0"/>
                <w:szCs w:val="20"/>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Liquids</w:t>
            </w:r>
          </w:p>
        </w:tc>
        <w:tc>
          <w:tcPr>
            <w:tcW w:w="12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5820" w:type="dxa"/>
            <w:vAlign w:val="bottom"/>
          </w:tcPr>
          <w:p>
            <w:pPr>
              <w:ind w:left="20"/>
              <w:spacing w:after="0"/>
              <w:rPr>
                <w:sz w:val="20"/>
                <w:szCs w:val="20"/>
                <w:color w:val="auto"/>
              </w:rPr>
            </w:pPr>
            <w:r>
              <w:rPr>
                <w:rFonts w:ascii="Arial" w:cs="Arial" w:eastAsia="Arial" w:hAnsi="Arial"/>
                <w:sz w:val="18"/>
                <w:szCs w:val="18"/>
                <w:color w:val="auto"/>
              </w:rPr>
              <w:t>Proved Developed Reserves: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(MMBOE)</w:t>
            </w:r>
          </w:p>
        </w:tc>
        <w:tc>
          <w:tcPr>
            <w:tcW w:w="2780" w:type="dxa"/>
            <w:vAlign w:val="bottom"/>
            <w:gridSpan w:val="4"/>
          </w:tcPr>
          <w:p>
            <w:pPr>
              <w:ind w:left="960"/>
              <w:spacing w:after="0"/>
              <w:rPr>
                <w:sz w:val="20"/>
                <w:szCs w:val="20"/>
                <w:color w:val="auto"/>
              </w:rPr>
            </w:pPr>
            <w:r>
              <w:rPr>
                <w:rFonts w:ascii="Arial" w:cs="Arial" w:eastAsia="Arial" w:hAnsi="Arial"/>
                <w:sz w:val="18"/>
                <w:szCs w:val="18"/>
                <w:color w:val="auto"/>
              </w:rPr>
              <w:t>(MMBBL)</w:t>
            </w:r>
          </w:p>
        </w:tc>
        <w:tc>
          <w:tcPr>
            <w:tcW w:w="1260" w:type="dxa"/>
            <w:vAlign w:val="bottom"/>
          </w:tcPr>
          <w:p>
            <w:pPr>
              <w:jc w:val="right"/>
              <w:ind w:right="291"/>
              <w:spacing w:after="0"/>
              <w:rPr>
                <w:sz w:val="20"/>
                <w:szCs w:val="20"/>
                <w:color w:val="auto"/>
              </w:rPr>
            </w:pPr>
            <w:r>
              <w:rPr>
                <w:rFonts w:ascii="Arial" w:cs="Arial" w:eastAsia="Arial" w:hAnsi="Arial"/>
                <w:sz w:val="18"/>
                <w:szCs w:val="18"/>
                <w:color w:val="auto"/>
              </w:rPr>
              <w:t>(BCF)</w:t>
            </w:r>
          </w:p>
        </w:tc>
        <w:tc>
          <w:tcPr>
            <w:tcW w:w="0" w:type="dxa"/>
            <w:vAlign w:val="bottom"/>
          </w:tcPr>
          <w:p>
            <w:pPr>
              <w:spacing w:after="0"/>
              <w:rPr>
                <w:sz w:val="1"/>
                <w:szCs w:val="1"/>
                <w:color w:val="auto"/>
              </w:rPr>
            </w:pPr>
          </w:p>
        </w:tc>
      </w:tr>
      <w:tr>
        <w:trPr>
          <w:trHeight w:val="220"/>
        </w:trPr>
        <w:tc>
          <w:tcPr>
            <w:tcW w:w="5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164.1</w:t>
            </w: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w:t>
            </w:r>
          </w:p>
        </w:tc>
        <w:tc>
          <w:tcPr>
            <w:tcW w:w="0" w:type="dxa"/>
            <w:vAlign w:val="bottom"/>
          </w:tcPr>
          <w:p>
            <w:pPr>
              <w:spacing w:after="0"/>
              <w:rPr>
                <w:sz w:val="1"/>
                <w:szCs w:val="1"/>
                <w:color w:val="auto"/>
              </w:rPr>
            </w:pPr>
          </w:p>
        </w:tc>
      </w:tr>
      <w:tr>
        <w:trPr>
          <w:trHeight w:val="227"/>
        </w:trPr>
        <w:tc>
          <w:tcPr>
            <w:tcW w:w="5820" w:type="dxa"/>
            <w:vAlign w:val="bottom"/>
          </w:tcPr>
          <w:p>
            <w:pPr>
              <w:ind w:left="460"/>
              <w:spacing w:after="0"/>
              <w:rPr>
                <w:sz w:val="20"/>
                <w:szCs w:val="20"/>
                <w:color w:val="auto"/>
              </w:rPr>
            </w:pPr>
            <w:r>
              <w:rPr>
                <w:rFonts w:ascii="Arial" w:cs="Arial" w:eastAsia="Arial" w:hAnsi="Arial"/>
                <w:sz w:val="18"/>
                <w:szCs w:val="18"/>
                <w:color w:val="auto"/>
              </w:rPr>
              <w:t>Onshore</w:t>
            </w:r>
          </w:p>
        </w:tc>
        <w:tc>
          <w:tcPr>
            <w:tcW w:w="126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460"/>
              <w:spacing w:after="0" w:line="228" w:lineRule="exact"/>
              <w:rPr>
                <w:sz w:val="20"/>
                <w:szCs w:val="20"/>
                <w:color w:val="auto"/>
              </w:rPr>
            </w:pPr>
            <w:r>
              <w:rPr>
                <w:rFonts w:ascii="Arial" w:cs="Arial" w:eastAsia="Arial" w:hAnsi="Arial"/>
                <w:sz w:val="18"/>
                <w:szCs w:val="18"/>
                <w:color w:val="auto"/>
              </w:rPr>
              <w:t xml:space="preserve">Offshore </w:t>
            </w:r>
            <w:r>
              <w:rPr>
                <w:rFonts w:ascii="Arial" w:cs="Arial" w:eastAsia="Arial" w:hAnsi="Arial"/>
                <w:sz w:val="23"/>
                <w:szCs w:val="23"/>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7"/>
        </w:trPr>
        <w:tc>
          <w:tcPr>
            <w:tcW w:w="5820" w:type="dxa"/>
            <w:vAlign w:val="bottom"/>
          </w:tcPr>
          <w:p>
            <w:pPr>
              <w:ind w:left="220"/>
              <w:spacing w:after="0"/>
              <w:rPr>
                <w:sz w:val="20"/>
                <w:szCs w:val="20"/>
                <w:color w:val="auto"/>
              </w:rPr>
            </w:pPr>
            <w:r>
              <w:rPr>
                <w:rFonts w:ascii="Arial" w:cs="Arial" w:eastAsia="Arial" w:hAnsi="Arial"/>
                <w:sz w:val="18"/>
                <w:szCs w:val="18"/>
                <w:color w:val="auto"/>
              </w:rPr>
              <w:t>Canada</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217.1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1,167.2</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Onshore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27"/>
        </w:trPr>
        <w:tc>
          <w:tcPr>
            <w:tcW w:w="5820" w:type="dxa"/>
            <w:vAlign w:val="bottom"/>
          </w:tcPr>
          <w:p>
            <w:pPr>
              <w:ind w:left="440"/>
              <w:spacing w:after="0"/>
              <w:rPr>
                <w:sz w:val="20"/>
                <w:szCs w:val="20"/>
                <w:color w:val="auto"/>
              </w:rPr>
            </w:pPr>
            <w:r>
              <w:rPr>
                <w:rFonts w:ascii="Arial" w:cs="Arial" w:eastAsia="Arial" w:hAnsi="Arial"/>
                <w:sz w:val="18"/>
                <w:szCs w:val="18"/>
                <w:color w:val="auto"/>
              </w:rPr>
              <w:t>Offshore</w:t>
            </w:r>
          </w:p>
        </w:tc>
        <w:tc>
          <w:tcPr>
            <w:tcW w:w="12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20"/>
        </w:trPr>
        <w:tc>
          <w:tcPr>
            <w:tcW w:w="58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proved developed reserves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184.7</w:t>
            </w:r>
          </w:p>
        </w:tc>
        <w:tc>
          <w:tcPr>
            <w:tcW w:w="1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w:t>
            </w: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1,364.2</w:t>
            </w:r>
          </w:p>
        </w:tc>
        <w:tc>
          <w:tcPr>
            <w:tcW w:w="0" w:type="dxa"/>
            <w:vAlign w:val="bottom"/>
          </w:tcPr>
          <w:p>
            <w:pPr>
              <w:spacing w:after="0"/>
              <w:rPr>
                <w:sz w:val="1"/>
                <w:szCs w:val="1"/>
                <w:color w:val="auto"/>
              </w:rPr>
            </w:pPr>
          </w:p>
        </w:tc>
      </w:tr>
      <w:tr>
        <w:trPr>
          <w:trHeight w:val="20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Undeveloped Reserves: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88.5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Onshore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7"/>
        </w:trPr>
        <w:tc>
          <w:tcPr>
            <w:tcW w:w="5820" w:type="dxa"/>
            <w:vAlign w:val="bottom"/>
          </w:tcPr>
          <w:p>
            <w:pPr>
              <w:ind w:left="460"/>
              <w:spacing w:after="0" w:line="228" w:lineRule="exact"/>
              <w:rPr>
                <w:sz w:val="20"/>
                <w:szCs w:val="20"/>
                <w:color w:val="auto"/>
              </w:rPr>
            </w:pPr>
            <w:r>
              <w:rPr>
                <w:rFonts w:ascii="Arial" w:cs="Arial" w:eastAsia="Arial" w:hAnsi="Arial"/>
                <w:sz w:val="18"/>
                <w:szCs w:val="18"/>
                <w:color w:val="auto"/>
              </w:rPr>
              <w:t xml:space="preserve">Offshore </w:t>
            </w:r>
            <w:r>
              <w:rPr>
                <w:rFonts w:ascii="Arial" w:cs="Arial" w:eastAsia="Arial" w:hAnsi="Arial"/>
                <w:sz w:val="23"/>
                <w:szCs w:val="23"/>
                <w:color w:val="auto"/>
                <w:vertAlign w:val="superscript"/>
              </w:rPr>
              <w:t>2</w:t>
            </w:r>
          </w:p>
        </w:tc>
        <w:tc>
          <w:tcPr>
            <w:tcW w:w="12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1,032.7</w:t>
            </w:r>
          </w:p>
        </w:tc>
        <w:tc>
          <w:tcPr>
            <w:tcW w:w="0" w:type="dxa"/>
            <w:vAlign w:val="bottom"/>
          </w:tcPr>
          <w:p>
            <w:pPr>
              <w:spacing w:after="0"/>
              <w:rPr>
                <w:sz w:val="1"/>
                <w:szCs w:val="1"/>
                <w:color w:val="auto"/>
              </w:rPr>
            </w:pPr>
          </w:p>
        </w:tc>
      </w:tr>
      <w:tr>
        <w:trPr>
          <w:trHeight w:val="227"/>
        </w:trPr>
        <w:tc>
          <w:tcPr>
            <w:tcW w:w="5820" w:type="dxa"/>
            <w:vAlign w:val="bottom"/>
          </w:tcPr>
          <w:p>
            <w:pPr>
              <w:ind w:left="440"/>
              <w:spacing w:after="0"/>
              <w:rPr>
                <w:sz w:val="20"/>
                <w:szCs w:val="20"/>
                <w:color w:val="auto"/>
              </w:rPr>
            </w:pPr>
            <w:r>
              <w:rPr>
                <w:rFonts w:ascii="Arial" w:cs="Arial" w:eastAsia="Arial" w:hAnsi="Arial"/>
                <w:sz w:val="18"/>
                <w:szCs w:val="18"/>
                <w:color w:val="auto"/>
              </w:rPr>
              <w:t>Onshore</w:t>
            </w:r>
          </w:p>
        </w:tc>
        <w:tc>
          <w:tcPr>
            <w:tcW w:w="126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1,032.7</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Offshore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820" w:type="dxa"/>
            <w:vAlign w:val="bottom"/>
          </w:tcPr>
          <w:p>
            <w:pPr>
              <w:ind w:left="220"/>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20"/>
        </w:trPr>
        <w:tc>
          <w:tcPr>
            <w:tcW w:w="58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proved undeveloped reserves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292.8</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1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1,127.6</w:t>
            </w:r>
          </w:p>
        </w:tc>
        <w:tc>
          <w:tcPr>
            <w:tcW w:w="0" w:type="dxa"/>
            <w:vAlign w:val="bottom"/>
          </w:tcPr>
          <w:p>
            <w:pPr>
              <w:spacing w:after="0"/>
              <w:rPr>
                <w:sz w:val="1"/>
                <w:szCs w:val="1"/>
                <w:color w:val="auto"/>
              </w:rPr>
            </w:pPr>
          </w:p>
        </w:tc>
      </w:tr>
      <w:tr>
        <w:trPr>
          <w:trHeight w:val="220"/>
        </w:trPr>
        <w:tc>
          <w:tcPr>
            <w:tcW w:w="5820" w:type="dxa"/>
            <w:vAlign w:val="bottom"/>
          </w:tcPr>
          <w:p>
            <w:pPr>
              <w:ind w:left="660"/>
              <w:spacing w:after="0" w:line="221" w:lineRule="exact"/>
              <w:rPr>
                <w:sz w:val="20"/>
                <w:szCs w:val="20"/>
                <w:color w:val="auto"/>
              </w:rPr>
            </w:pPr>
            <w:r>
              <w:rPr>
                <w:rFonts w:ascii="Arial" w:cs="Arial" w:eastAsia="Arial" w:hAnsi="Arial"/>
                <w:sz w:val="18"/>
                <w:szCs w:val="18"/>
                <w:color w:val="auto"/>
              </w:rPr>
              <w:t xml:space="preserve">Total proved reserves </w:t>
            </w:r>
            <w:r>
              <w:rPr>
                <w:rFonts w:ascii="Arial" w:cs="Arial" w:eastAsia="Arial" w:hAnsi="Arial"/>
                <w:sz w:val="23"/>
                <w:szCs w:val="23"/>
                <w:color w:val="auto"/>
                <w:vertAlign w:val="superscript"/>
              </w:rPr>
              <w:t>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275.1</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2,491.8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60" w:right="40" w:hanging="147"/>
        <w:spacing w:after="0" w:line="224" w:lineRule="auto"/>
        <w:tabs>
          <w:tab w:leader="none" w:pos="108"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Includes proved developed reserves of 14.4 million barrels of oil equivalent (MMBOE), consisting of 13.2 million barrels (MMBBL) of oil, 0.5 MMBBL of NGLs and 4.2 billion cubic feet (BCF) of natural gas, attributable to the noncontrolling interest in MP GOM.</w:t>
      </w:r>
    </w:p>
    <w:p>
      <w:pPr>
        <w:spacing w:after="0" w:line="17" w:lineRule="exact"/>
        <w:rPr>
          <w:sz w:val="20"/>
          <w:szCs w:val="20"/>
          <w:color w:val="auto"/>
        </w:rPr>
      </w:pPr>
    </w:p>
    <w:p>
      <w:pPr>
        <w:ind w:left="160" w:right="180" w:hanging="147"/>
        <w:spacing w:after="0" w:line="224" w:lineRule="auto"/>
        <w:tabs>
          <w:tab w:leader="none" w:pos="108"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Includes proved undeveloped reserves of 1.5 MMBOE, consisting of 1.3 MMBBL of oil, 0.1 MMBBL of NGLs and 0.8 BCF of natural gas, attributable to the noncontrolling interest in MP GOM.</w:t>
      </w:r>
    </w:p>
    <w:p>
      <w:pPr>
        <w:spacing w:after="0" w:line="30" w:lineRule="exact"/>
        <w:rPr>
          <w:sz w:val="20"/>
          <w:szCs w:val="20"/>
          <w:color w:val="auto"/>
        </w:rPr>
      </w:pPr>
    </w:p>
    <w:p>
      <w:pPr>
        <w:ind w:left="160" w:right="20" w:hanging="147"/>
        <w:spacing w:after="0" w:line="224" w:lineRule="auto"/>
        <w:tabs>
          <w:tab w:leader="none" w:pos="13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Includes proved reserves of 15.9 MMBOE, consisting of 14.5 MMBBL of oil, 0.6 MMBBL of NGLs and 5 BCF of natural gas, attributable to the noncontrolling interest in MP GOM.</w:t>
      </w:r>
    </w:p>
    <w:p>
      <w:pPr>
        <w:spacing w:after="0" w:line="17" w:lineRule="exact"/>
        <w:rPr>
          <w:sz w:val="20"/>
          <w:szCs w:val="20"/>
          <w:color w:val="auto"/>
        </w:rPr>
      </w:pPr>
    </w:p>
    <w:p>
      <w:pPr>
        <w:ind w:left="160" w:right="20" w:hanging="147"/>
        <w:spacing w:after="0" w:line="224" w:lineRule="auto"/>
        <w:tabs>
          <w:tab w:leader="none" w:pos="10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Includes proved natural gas reserves to be consumed in operations as fuel of 67.9 BCF, 36.0 BCF and 2.8 BCF for the U.S., Canada and Other, respectively, with 1.1 BCF of this attributable to the noncontrolling interest in MP GOM.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Murphy Oil’s 2024 total proved reserves and proved undeveloped reserves are reconciled from 2023 as presented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Total</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Total Proved</w:t>
            </w:r>
          </w:p>
        </w:tc>
        <w:tc>
          <w:tcPr>
            <w:tcW w:w="0" w:type="dxa"/>
            <w:vAlign w:val="bottom"/>
          </w:tcPr>
          <w:p>
            <w:pPr>
              <w:spacing w:after="0"/>
              <w:rPr>
                <w:sz w:val="1"/>
                <w:szCs w:val="1"/>
                <w:color w:val="auto"/>
              </w:rPr>
            </w:pPr>
          </w:p>
        </w:tc>
      </w:tr>
      <w:tr>
        <w:trPr>
          <w:trHeight w:val="184"/>
        </w:trPr>
        <w:tc>
          <w:tcPr>
            <w:tcW w:w="814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 xml:space="preserve">(Millions of oil equivalent barrels) </w:t>
            </w:r>
            <w:r>
              <w:rPr>
                <w:rFonts w:ascii="Arial" w:cs="Arial" w:eastAsia="Arial" w:hAnsi="Arial"/>
                <w:sz w:val="23"/>
                <w:szCs w:val="23"/>
                <w:color w:val="auto"/>
                <w:vertAlign w:val="superscript"/>
              </w:rPr>
              <w:t>1</w:t>
            </w:r>
          </w:p>
        </w:tc>
        <w:tc>
          <w:tcPr>
            <w:tcW w:w="1600" w:type="dxa"/>
            <w:vAlign w:val="bottom"/>
            <w:gridSpan w:val="2"/>
          </w:tcPr>
          <w:p>
            <w:pPr>
              <w:ind w:left="440"/>
              <w:spacing w:after="0" w:line="183" w:lineRule="exact"/>
              <w:rPr>
                <w:sz w:val="20"/>
                <w:szCs w:val="20"/>
                <w:color w:val="auto"/>
              </w:rPr>
            </w:pPr>
            <w:r>
              <w:rPr>
                <w:rFonts w:ascii="Arial" w:cs="Arial" w:eastAsia="Arial" w:hAnsi="Arial"/>
                <w:sz w:val="18"/>
                <w:szCs w:val="18"/>
                <w:color w:val="auto"/>
              </w:rPr>
              <w:t>Proved</w:t>
            </w:r>
          </w:p>
        </w:tc>
        <w:tc>
          <w:tcPr>
            <w:tcW w:w="1500" w:type="dxa"/>
            <w:vAlign w:val="bottom"/>
          </w:tcPr>
          <w:p>
            <w:pPr>
              <w:jc w:val="center"/>
              <w:spacing w:after="0" w:line="183" w:lineRule="exact"/>
              <w:rPr>
                <w:sz w:val="20"/>
                <w:szCs w:val="20"/>
                <w:color w:val="auto"/>
              </w:rPr>
            </w:pPr>
            <w:r>
              <w:rPr>
                <w:rFonts w:ascii="Arial" w:cs="Arial" w:eastAsia="Arial" w:hAnsi="Arial"/>
                <w:sz w:val="18"/>
                <w:szCs w:val="18"/>
                <w:color w:val="auto"/>
                <w:w w:val="99"/>
              </w:rPr>
              <w:t>Undeveloped</w:t>
            </w:r>
          </w:p>
        </w:tc>
        <w:tc>
          <w:tcPr>
            <w:tcW w:w="0" w:type="dxa"/>
            <w:vAlign w:val="bottom"/>
          </w:tcPr>
          <w:p>
            <w:pPr>
              <w:spacing w:after="0"/>
              <w:rPr>
                <w:sz w:val="1"/>
                <w:szCs w:val="1"/>
                <w:color w:val="auto"/>
              </w:rPr>
            </w:pPr>
          </w:p>
        </w:tc>
      </w:tr>
      <w:tr>
        <w:trPr>
          <w:trHeight w:val="191"/>
        </w:trPr>
        <w:tc>
          <w:tcPr>
            <w:tcW w:w="8140" w:type="dxa"/>
            <w:vAlign w:val="bottom"/>
            <w:gridSpan w:val="3"/>
            <w:vMerge w:val="continue"/>
          </w:tcPr>
          <w:p>
            <w:pPr>
              <w:spacing w:after="0"/>
              <w:rPr>
                <w:sz w:val="16"/>
                <w:szCs w:val="16"/>
                <w:color w:val="auto"/>
              </w:rPr>
            </w:pPr>
          </w:p>
        </w:tc>
        <w:tc>
          <w:tcPr>
            <w:tcW w:w="160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7"/>
              </w:rPr>
              <w:t>Reserves</w:t>
            </w:r>
          </w:p>
        </w:tc>
        <w:tc>
          <w:tcPr>
            <w:tcW w:w="1500" w:type="dxa"/>
            <w:vAlign w:val="bottom"/>
          </w:tcPr>
          <w:p>
            <w:pPr>
              <w:jc w:val="center"/>
              <w:spacing w:after="0" w:line="190" w:lineRule="exact"/>
              <w:rPr>
                <w:sz w:val="20"/>
                <w:szCs w:val="20"/>
                <w:color w:val="auto"/>
              </w:rPr>
            </w:pPr>
            <w:r>
              <w:rPr>
                <w:rFonts w:ascii="Arial" w:cs="Arial" w:eastAsia="Arial" w:hAnsi="Arial"/>
                <w:sz w:val="18"/>
                <w:szCs w:val="18"/>
                <w:color w:val="auto"/>
                <w:w w:val="97"/>
              </w:rPr>
              <w:t>Reserves</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48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Beginning of year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Extensions and discoveries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Improved recovery</w:t>
            </w:r>
          </w:p>
        </w:tc>
        <w:tc>
          <w:tcPr>
            <w:tcW w:w="15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Conversions to proved developed reserves</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7"/>
        </w:trPr>
        <w:tc>
          <w:tcPr>
            <w:tcW w:w="8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8060" w:type="dxa"/>
            <w:vAlign w:val="bottom"/>
            <w:tcBorders>
              <w:bottom w:val="single" w:sz="8" w:color="CCEEFF"/>
            </w:tcBorders>
            <w:gridSpan w:val="2"/>
            <w:shd w:val="clear" w:color="auto" w:fill="CCEEFF"/>
          </w:tcPr>
          <w:p>
            <w:pPr>
              <w:ind w:left="140"/>
              <w:spacing w:after="0" w:line="221" w:lineRule="exact"/>
              <w:rPr>
                <w:sz w:val="20"/>
                <w:szCs w:val="20"/>
                <w:color w:val="auto"/>
              </w:rPr>
            </w:pPr>
            <w:r>
              <w:rPr>
                <w:rFonts w:ascii="Arial" w:cs="Arial" w:eastAsia="Arial" w:hAnsi="Arial"/>
                <w:sz w:val="18"/>
                <w:szCs w:val="18"/>
                <w:color w:val="auto"/>
              </w:rPr>
              <w:t xml:space="preserve">End of year </w:t>
            </w:r>
            <w:r>
              <w:rPr>
                <w:rFonts w:ascii="Arial" w:cs="Arial" w:eastAsia="Arial" w:hAnsi="Arial"/>
                <w:sz w:val="23"/>
                <w:szCs w:val="23"/>
                <w:color w:val="auto"/>
                <w:vertAlign w:val="superscript"/>
              </w:rPr>
              <w:t>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292.8</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60" w:right="280" w:hanging="147"/>
        <w:spacing w:after="0" w:line="224" w:lineRule="auto"/>
        <w:tabs>
          <w:tab w:leader="none" w:pos="10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For purposes of these computations, natural gas sales volumes are converted to equivalent barrels of oil using a ratio of six thousand cubic feet (MCF) of natural gas to one barrel of oil.</w:t>
      </w:r>
    </w:p>
    <w:p>
      <w:pPr>
        <w:spacing w:after="0" w:line="17" w:lineRule="exact"/>
        <w:rPr>
          <w:sz w:val="20"/>
          <w:szCs w:val="20"/>
          <w:color w:val="auto"/>
        </w:rPr>
      </w:pPr>
    </w:p>
    <w:p>
      <w:pPr>
        <w:ind w:left="160" w:right="400" w:hanging="147"/>
        <w:spacing w:after="0" w:line="224" w:lineRule="auto"/>
        <w:tabs>
          <w:tab w:leader="none" w:pos="10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15.9 MMBOE and 1.5 MMBOE for total proved and proved undeveloped reserves, respectively, attributable to the noncontrolling interest in MP GOM.</w:t>
      </w:r>
    </w:p>
    <w:p>
      <w:pPr>
        <w:spacing w:after="0" w:line="3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Production of 67.5 MMBOE was not fully offset by extensions of 10.5 MMBOE in the Eagle Ford Shale, 12.1 MMBOE in Canada Onshore, 5.5 MMBOE in the Gulf of America, and 3.3 MMBOE in Canada Offshore as well as performance and price related increases of 6.3 MMBOE in Canada, 7.0 MMBOE in the Eagle Ford Shale and 12.5 MMBOE in the Gulf of America.</w:t>
      </w:r>
    </w:p>
    <w:p>
      <w:pPr>
        <w:spacing w:after="0" w:line="70"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Murphy’s total proved undeveloped reserves at December 31, 2024 decreased 21.2 MMBOE from a year earlier. The proved undeveloped reserves reported in the table as extensions and discoveries during 2024 were predominantly attributable to four areas: the Gulf of America, the Eagle Ford Shale in South Texas, Tupper Montney in Onshore Canada and Offshore Canada. The U.S. and Canadian assets had active development work ongoing during the year and new drilling locations were sanctioned in the Gulf of America. The majority of proved undeveloped reserves associated with revisions of previous estimates was the result of performance adjustments in Tupper Montney and the Eagle Ford Shale and positive price revisions in Tupper Montney from decreased royalty rates and decelerated royalty incentive payouts arising from lower commodity prices. The majority of the proved undeveloped reserves migration to the proved developed category are attributable to drilling in Tupper Montney, the Gulf of America, and the Eagle Ford Shale. Other proved undeveloped increases resulted from sanctioned development plans for the non-operated Zephyrus field.</w:t>
      </w:r>
    </w:p>
    <w:p>
      <w:pPr>
        <w:spacing w:after="0" w:line="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spent approximately $670 million in 2024 to convert proved undeveloped reserves to proved developed reserves. In the next three years, the Company expects to spend a range of approximately $650 million to $800 million per year to move current undeveloped proved reserves to the developed category. The anticipated level of spending in 2025 primarily includes drilling and development in the Gulf of America, Eagle Ford Shale, Tupper Montney, Kaybob and Vietnam areas.</w:t>
      </w:r>
    </w:p>
    <w:p>
      <w:pPr>
        <w:spacing w:after="0" w:line="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At December 31, 2024, proved reserves are included for several development projects, including oil developments in the Eagle Ford Shale in South Texas, Gulf of America, Kaybob Duvernay in Canada Onshore and Lac Da Vang (Golden Camel) in Vietnam; as well as natural gas developments in Tupper Montney in Canada Onshore. Total proved undeveloped reserves associated with various development projects at December 31, 2024 were approximately 292.8 MMBOE, which represents 40% of the Company’s total proved reserves.</w:t>
      </w:r>
    </w:p>
    <w:p>
      <w:pPr>
        <w:spacing w:after="0" w:line="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development projects have proved undeveloped reserves that will take more than five years to bring to production. Projects in deepwater fields in the Gulf of America and Canada Offshore include five undeveloped locations that exceed this five-year window. Total reserves associated with the five locations amount to less than 1% of the Company’s total proved reserves at year-end 2024. The development of certain reserves extends beyond five years due to limited well slot availability, thus making it necessary to wait for depletion of other wells prior to initiating further development of these locations or behind-pipe completions with significant capital costs that categorize them as undeveloped.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Murphy Oil’s Reserves Processes and Policies</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estimates of reserves are made in compliance with SEC Rule 4-10 of Regulation S-X, which states that “proved oil and natural gas reserves are those quantities of oil and natural gas which, by analysis of geoscience and engineering data, can be estimated with reasonable certainty to be economically producible —from a given date forward, from known reservoirs, and under existing economic conditions, operating methods, and government regulations.” Proved reserves estimates will generally be revised only as additional geologic or engineering data become available or as economic conditions change.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could be more or less than the estimated amounts.</w:t>
      </w:r>
    </w:p>
    <w:p>
      <w:pPr>
        <w:spacing w:after="0" w:line="6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Murphy has established both internal and external controls for estimating proved reserves that follow the guidelines set forth by the SEC for oil and gas reporting. Crude oil, natural gas and NGLs reserve estimates are developed or reviewed by Qualified Reserves Estimators (QREs). QREs are technical professionals embedded within the asset teams. QRE qualification generally requires a minimum of five years of practical experience in petroleum engineering or petroleum production geology, with at least three years of such experience being in the estimation and evaluation of reserves, and either a bachelors or advanced degree in petroleum engineering, geology or other discipline of engineering or physical science from a college or university of recognized stature, or the equivalent thereof from an appropriate government authority or professional organization. Larger business units of the Company also employ Regional Reserves Coordinators who coordinate and provide oversight of the reserve submissions to senior management and the Corporate Reserves group. Murphy provides annual training to all Company reserves estimators to ensure SEC requirements associated with reserves estimation and Form 10-K reporting are fulfilled.</w:t>
      </w:r>
    </w:p>
    <w:p>
      <w:pPr>
        <w:spacing w:after="0" w:line="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Proved reserves are consolidated and reported through the Corporate Reserves group. Murphy’s General Manager Corporate Reserves (Reserves General Manager) leads the Corporate Reserves group that also includes Corporate Reserve engineers and support staff, all of which are independent of the Company’s oil and natural gas operational management and technical personnel. The Reserves General Manager joined Murphy in 2020 and has more than 32 years of industry experience. He has a Bachelor of Science in Mechanical Engineering and is also a licensed Professional Engineer in the State of Texas. The Reserves General Manager reports to the Executive Vice President and Chief Financial Officer and makes annual presentations to the Board about the Company’s reserves. The Reserves Manager and the Corporate Reserve engineers review and discuss reserves estimates directly with the Company’s technical staff in order to make every effort to comply with the rules and regulations of the SEC.</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Reserves General Manager coordinates and oversees the third-party audits which are performed annually. In 2024, third party audits were conducted for proved reserves covering 71.6% of total proved reserves. All audits conducted during this period were within the established +/-10.0% tolerance.</w:t>
      </w:r>
    </w:p>
    <w:p>
      <w:pPr>
        <w:spacing w:after="0" w:line="7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Ryder Scott Company (“Ryder Scott”) performed audits for certain reserve estimates of Murphy’s U.S. fields as of December 31, 2024. The Ryder Scott summary report is filed as an exhibit to this Annual Report on Form 10-K. The team lead for Ryder Scott has over 22 years of industry experience, joining Ryder Scott over 19 years ago. He is a registered Professional Engineer in the State of Texas.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McDaniel &amp; Associates (“McDaniel”) performed audits for certain reserve estimates of our Canadian fields as of December 31, 2024. The McDaniel summary report is filed as an exhibit to this Annual Report on Form 10-K. The two technical advisors for McDaniel both have over 18 years of experience in the estimation and evaluation of reserves with McDaniel. Both are registered Professional Engineers with the Association of Professional Engineers and Geoscientists of Alberta.</w:t>
      </w:r>
    </w:p>
    <w:p>
      <w:pPr>
        <w:spacing w:after="0" w:line="7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Netherland, Sewell &amp; Associates, Inc. (“NSAI”) performed audits for certain reserve estimates of our Gulf of America fields as of December 31, 2024. The NSAI summary report is filed as an exhibit to this Annual Report on Form 10-K. The team lead for NSAI has over 20 years of industry experience, joining NSAI over 15 years ago.</w:t>
      </w:r>
    </w:p>
    <w:p>
      <w:pPr>
        <w:spacing w:after="0" w:line="7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 ensure accuracy and security of reported reserves, the proved reserves estimates are coordinated in industry-standard software with access controls for approved users. In addition, Murphy complies with internal controls concerning the various business processes related to reserves.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More information regarding Murphy’s estimated quantities of proved reserves of crude oil, natural gas and NGLs for the last three years are presented by geographic area on pages </w:t>
      </w:r>
      <w:r>
        <w:rPr>
          <w:rFonts w:ascii="Arial" w:cs="Arial" w:eastAsia="Arial" w:hAnsi="Arial"/>
          <w:sz w:val="18"/>
          <w:szCs w:val="18"/>
          <w:u w:val="single" w:color="auto"/>
          <w:color w:val="0000FF"/>
        </w:rPr>
        <w:t>108</w:t>
      </w:r>
      <w:r>
        <w:rPr>
          <w:rFonts w:ascii="Arial" w:cs="Arial" w:eastAsia="Arial" w:hAnsi="Arial"/>
          <w:sz w:val="18"/>
          <w:szCs w:val="18"/>
          <w:color w:val="auto"/>
        </w:rPr>
        <w:t xml:space="preserve"> through </w:t>
      </w:r>
      <w:r>
        <w:rPr>
          <w:rFonts w:ascii="Arial" w:cs="Arial" w:eastAsia="Arial" w:hAnsi="Arial"/>
          <w:sz w:val="18"/>
          <w:szCs w:val="18"/>
          <w:u w:val="single" w:color="auto"/>
          <w:color w:val="0000FF"/>
        </w:rPr>
        <w:t>115</w:t>
      </w:r>
      <w:r>
        <w:rPr>
          <w:rFonts w:ascii="Arial" w:cs="Arial" w:eastAsia="Arial" w:hAnsi="Arial"/>
          <w:sz w:val="18"/>
          <w:szCs w:val="18"/>
          <w:color w:val="auto"/>
        </w:rPr>
        <w:t xml:space="preserve"> of this Form 10-K report. Murphy currently has no oil and natural gas reserves from non-traditional sources. Murphy has not filed and is not required to file any estimates of its total proved oil or natural gas reserves on a recurring basis with any federal or foreign governmental regulatory authority or agency other than the SEC. Annually, Murphy reports gross reserves of properties operated in the U.S. to the U.S. Department of Energy; such reserves are derived from the same data from which estimated proved reserves of such properties are determined.</w:t>
      </w:r>
    </w:p>
    <w:p>
      <w:pPr>
        <w:spacing w:after="0" w:line="80"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 xml:space="preserve">Crude oil and NGLs production and sales, and natural gas sales by geographic area with weighted average sales prices for each of the three years ended December 31, 2024 are shown on page </w:t>
      </w:r>
      <w:r>
        <w:rPr>
          <w:rFonts w:ascii="Arial" w:cs="Arial" w:eastAsia="Arial" w:hAnsi="Arial"/>
          <w:sz w:val="18"/>
          <w:szCs w:val="18"/>
          <w:u w:val="single" w:color="auto"/>
          <w:color w:val="0000FF"/>
        </w:rPr>
        <w:t>34</w:t>
      </w:r>
      <w:r>
        <w:rPr>
          <w:rFonts w:ascii="Arial" w:cs="Arial" w:eastAsia="Arial" w:hAnsi="Arial"/>
          <w:sz w:val="18"/>
          <w:szCs w:val="18"/>
          <w:color w:val="auto"/>
        </w:rPr>
        <w:t xml:space="preserve"> of this Form 10-K report.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Production expenses for the last three years in U.S. dollars per equivalent barrel are discussed beginning on page </w:t>
      </w:r>
      <w:r>
        <w:rPr>
          <w:rFonts w:ascii="Arial" w:cs="Arial" w:eastAsia="Arial" w:hAnsi="Arial"/>
          <w:sz w:val="17"/>
          <w:szCs w:val="17"/>
          <w:u w:val="single" w:color="auto"/>
          <w:color w:val="0000FF"/>
        </w:rPr>
        <w:t>37</w:t>
      </w:r>
      <w:r>
        <w:rPr>
          <w:rFonts w:ascii="Arial" w:cs="Arial" w:eastAsia="Arial" w:hAnsi="Arial"/>
          <w:sz w:val="17"/>
          <w:szCs w:val="17"/>
          <w:color w:val="auto"/>
        </w:rPr>
        <w:t xml:space="preserve"> of this Form 10-K report.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Supplemental disclosures relating to oil and natural gas producing activities are reported on pages </w:t>
      </w:r>
      <w:r>
        <w:rPr>
          <w:rFonts w:ascii="Arial" w:cs="Arial" w:eastAsia="Arial" w:hAnsi="Arial"/>
          <w:sz w:val="18"/>
          <w:szCs w:val="18"/>
          <w:u w:val="single" w:color="auto"/>
          <w:color w:val="0000FF"/>
        </w:rPr>
        <w:t>106</w:t>
      </w:r>
      <w:r>
        <w:rPr>
          <w:rFonts w:ascii="Arial" w:cs="Arial" w:eastAsia="Arial" w:hAnsi="Arial"/>
          <w:sz w:val="18"/>
          <w:szCs w:val="18"/>
          <w:color w:val="auto"/>
        </w:rPr>
        <w:t xml:space="preserve"> through </w:t>
      </w:r>
      <w:r>
        <w:rPr>
          <w:rFonts w:ascii="Arial" w:cs="Arial" w:eastAsia="Arial" w:hAnsi="Arial"/>
          <w:sz w:val="18"/>
          <w:szCs w:val="18"/>
          <w:u w:val="single" w:color="auto"/>
          <w:color w:val="0000FF"/>
        </w:rPr>
        <w:t>121</w:t>
      </w:r>
      <w:r>
        <w:rPr>
          <w:rFonts w:ascii="Arial" w:cs="Arial" w:eastAsia="Arial" w:hAnsi="Arial"/>
          <w:sz w:val="18"/>
          <w:szCs w:val="18"/>
          <w:color w:val="auto"/>
        </w:rPr>
        <w:t xml:space="preserve"> of this Form 10-K report.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Acreage and Well Count</w:t>
      </w:r>
    </w:p>
    <w:p>
      <w:pPr>
        <w:spacing w:after="0" w:line="11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At December 31, 2024, Murphy held leases, concessions, contracts or permits on developed and undeveloped acreage as shown by geographic area in the following table. “Gross” acres are those in which all or part of the working interest is owned by Murphy. “Net” acres are the portions of the gross acres attributable to Murphy’s interest.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Developed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color w:val="auto"/>
                <w:w w:val="98"/>
              </w:rPr>
              <w:t>Undeveloped</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20"/>
                <w:szCs w:val="20"/>
                <w:color w:val="auto"/>
              </w:rPr>
            </w:pPr>
          </w:p>
        </w:tc>
      </w:tr>
      <w:tr>
        <w:trPr>
          <w:trHeight w:val="180"/>
        </w:trPr>
        <w:tc>
          <w:tcPr>
            <w:tcW w:w="318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 xml:space="preserve">Area </w:t>
            </w:r>
            <w:r>
              <w:rPr>
                <w:rFonts w:ascii="Arial" w:cs="Arial" w:eastAsia="Arial" w:hAnsi="Arial"/>
                <w:sz w:val="18"/>
                <w:szCs w:val="18"/>
                <w:i w:val="1"/>
                <w:iCs w:val="1"/>
                <w:color w:val="auto"/>
              </w:rPr>
              <w:t>(Thousands of acres)</w:t>
            </w:r>
          </w:p>
        </w:tc>
        <w:tc>
          <w:tcPr>
            <w:tcW w:w="860" w:type="dxa"/>
            <w:vAlign w:val="bottom"/>
          </w:tcPr>
          <w:p>
            <w:pPr>
              <w:ind w:left="380"/>
              <w:spacing w:after="0" w:line="181" w:lineRule="exact"/>
              <w:rPr>
                <w:sz w:val="20"/>
                <w:szCs w:val="20"/>
                <w:color w:val="auto"/>
              </w:rPr>
            </w:pPr>
            <w:r>
              <w:rPr>
                <w:rFonts w:ascii="Arial" w:cs="Arial" w:eastAsia="Arial" w:hAnsi="Arial"/>
                <w:sz w:val="18"/>
                <w:szCs w:val="18"/>
                <w:color w:val="auto"/>
                <w:w w:val="95"/>
              </w:rPr>
              <w:t>Gross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480"/>
              <w:spacing w:after="0" w:line="181" w:lineRule="exact"/>
              <w:rPr>
                <w:sz w:val="20"/>
                <w:szCs w:val="20"/>
                <w:color w:val="auto"/>
              </w:rPr>
            </w:pPr>
            <w:r>
              <w:rPr>
                <w:rFonts w:ascii="Arial" w:cs="Arial" w:eastAsia="Arial" w:hAnsi="Arial"/>
                <w:sz w:val="18"/>
                <w:szCs w:val="18"/>
                <w:color w:val="auto"/>
              </w:rPr>
              <w:t>Net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ind w:left="380"/>
              <w:spacing w:after="0" w:line="181" w:lineRule="exact"/>
              <w:rPr>
                <w:sz w:val="20"/>
                <w:szCs w:val="20"/>
                <w:color w:val="auto"/>
              </w:rPr>
            </w:pPr>
            <w:r>
              <w:rPr>
                <w:rFonts w:ascii="Arial" w:cs="Arial" w:eastAsia="Arial" w:hAnsi="Arial"/>
                <w:sz w:val="18"/>
                <w:szCs w:val="18"/>
                <w:color w:val="auto"/>
              </w:rPr>
              <w:t>Gross</w:t>
            </w:r>
          </w:p>
        </w:tc>
        <w:tc>
          <w:tcPr>
            <w:tcW w:w="780" w:type="dxa"/>
            <w:vAlign w:val="bottom"/>
          </w:tcPr>
          <w:p>
            <w:pPr>
              <w:jc w:val="right"/>
              <w:ind w:right="411"/>
              <w:spacing w:after="0" w:line="181" w:lineRule="exact"/>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5"/>
                <w:szCs w:val="15"/>
                <w:color w:val="auto"/>
              </w:rPr>
            </w:pPr>
          </w:p>
        </w:tc>
        <w:tc>
          <w:tcPr>
            <w:tcW w:w="1680" w:type="dxa"/>
            <w:vAlign w:val="bottom"/>
            <w:gridSpan w:val="3"/>
          </w:tcPr>
          <w:p>
            <w:pPr>
              <w:ind w:left="400"/>
              <w:spacing w:after="0" w:line="181" w:lineRule="exact"/>
              <w:rPr>
                <w:sz w:val="20"/>
                <w:szCs w:val="20"/>
                <w:color w:val="auto"/>
              </w:rPr>
            </w:pPr>
            <w:r>
              <w:rPr>
                <w:rFonts w:ascii="Arial" w:cs="Arial" w:eastAsia="Arial" w:hAnsi="Arial"/>
                <w:sz w:val="18"/>
                <w:szCs w:val="18"/>
                <w:color w:val="auto"/>
              </w:rPr>
              <w:t>Gross</w:t>
            </w:r>
          </w:p>
        </w:tc>
        <w:tc>
          <w:tcPr>
            <w:tcW w:w="940" w:type="dxa"/>
            <w:vAlign w:val="bottom"/>
          </w:tcPr>
          <w:p>
            <w:pPr>
              <w:jc w:val="right"/>
              <w:ind w:right="391"/>
              <w:spacing w:after="0" w:line="181" w:lineRule="exact"/>
              <w:rPr>
                <w:sz w:val="20"/>
                <w:szCs w:val="20"/>
                <w:color w:val="auto"/>
              </w:rPr>
            </w:pPr>
            <w:r>
              <w:rPr>
                <w:rFonts w:ascii="Arial" w:cs="Arial" w:eastAsia="Arial" w:hAnsi="Arial"/>
                <w:sz w:val="18"/>
                <w:szCs w:val="18"/>
                <w:color w:val="auto"/>
              </w:rPr>
              <w:t>Net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0"/>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Onshore</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7"/>
        </w:trPr>
        <w:tc>
          <w:tcPr>
            <w:tcW w:w="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Offshore</w:t>
            </w: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20"/>
        </w:trPr>
        <w:tc>
          <w:tcPr>
            <w:tcW w:w="20" w:type="dxa"/>
            <w:vAlign w:val="bottom"/>
            <w:shd w:val="clear" w:color="auto" w:fill="CCEEFF"/>
          </w:tcPr>
          <w:p>
            <w:pPr>
              <w:spacing w:after="0"/>
              <w:rPr>
                <w:sz w:val="19"/>
                <w:szCs w:val="19"/>
                <w:color w:val="auto"/>
              </w:rPr>
            </w:pPr>
          </w:p>
        </w:tc>
        <w:tc>
          <w:tcPr>
            <w:tcW w:w="31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Total United States</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7"/>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7"/>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Onshore</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7"/>
        </w:trPr>
        <w:tc>
          <w:tcPr>
            <w:tcW w:w="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Offshore</w:t>
            </w: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20" w:type="dxa"/>
            <w:vAlign w:val="bottom"/>
            <w:shd w:val="clear" w:color="auto" w:fill="CCEEFF"/>
          </w:tcPr>
          <w:p>
            <w:pPr>
              <w:spacing w:after="0"/>
              <w:rPr>
                <w:sz w:val="19"/>
                <w:szCs w:val="19"/>
                <w:color w:val="auto"/>
              </w:rPr>
            </w:pPr>
          </w:p>
        </w:tc>
        <w:tc>
          <w:tcPr>
            <w:tcW w:w="31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Total Canada</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7"/>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7"/>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Brunei</w:t>
            </w: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Brazil</w:t>
            </w: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3"/>
          </w:tcPr>
          <w:p>
            <w:pPr>
              <w:jc w:val="right"/>
              <w:ind w:right="911"/>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27"/>
        </w:trPr>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Côte d’Ivoire</w:t>
            </w: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27"/>
        </w:trPr>
        <w:tc>
          <w:tcPr>
            <w:tcW w:w="1320" w:type="dxa"/>
            <w:vAlign w:val="bottom"/>
            <w:gridSpan w:val="2"/>
          </w:tcPr>
          <w:p>
            <w:pPr>
              <w:ind w:left="20"/>
              <w:spacing w:after="0"/>
              <w:rPr>
                <w:sz w:val="20"/>
                <w:szCs w:val="20"/>
                <w:color w:val="auto"/>
              </w:rPr>
            </w:pPr>
            <w:r>
              <w:rPr>
                <w:rFonts w:ascii="Arial" w:cs="Arial" w:eastAsia="Arial" w:hAnsi="Arial"/>
                <w:sz w:val="18"/>
                <w:szCs w:val="18"/>
                <w:color w:val="auto"/>
              </w:rPr>
              <w:t>Vietnam</w:t>
            </w: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3"/>
          </w:tcPr>
          <w:p>
            <w:pPr>
              <w:jc w:val="right"/>
              <w:ind w:right="911"/>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4,571</w:t>
            </w:r>
          </w:p>
        </w:tc>
      </w:tr>
      <w:tr>
        <w:trPr>
          <w:trHeight w:val="24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Totals</w:t>
            </w: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Certain acreage held by the Company will expire in the next three years.</w:t>
      </w:r>
    </w:p>
    <w:p>
      <w:pPr>
        <w:spacing w:after="0" w:line="10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Scheduled expirations in 2025 includes 1,090 thousand net acres in Côte d’Ivoire, 304 thousand net acres in Vietnam, 75 thousand net acres in Brazil, 5 thousand net acres in U.S. Offshore and 1 thousand net acres in Canada Onshore.</w:t>
      </w:r>
    </w:p>
    <w:p>
      <w:pPr>
        <w:spacing w:after="0" w:line="69"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color w:val="auto"/>
        </w:rPr>
        <w:t>Acreage currently scheduled to expire in 2026 includes 4,267 thousand net acres in Vietnam, 241 thousand net acres in Côte d’Ivoire, 25 thousand net acres in U.S. Offshore, 6 thousand net acres in Canada Offshore and 1 thousand net acres in Canada Onshore.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Scheduled expirations in 2027 includes 75 thousand net acres in Brazil and 7 thousand net acres in U.S. Offshore.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used in the three tables that follow, “gross” wells are the total wells in which all or part of the working interest is owned by Murphy, and “net” wells are the total of the Company’s fractional working interests in gross wells expressed as the equivalent number of wholly-owned wells. An “exploratory” well is drilled to find and produce crude oil or natural gas in an unproved area and includes delineation wells which target a new reservoir in a field known to be productive or to extend a known reservoir beyond the proved area. A “development” well is drilled within the proved area of an oil or natural gas reservoir to the depth of a stratigraphic horizon known to be productive.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number of oil and natural gas wells producing or capable of producing at 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color w:val="auto"/>
              </w:rPr>
              <w:t>Oil Wells</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8"/>
                <w:szCs w:val="18"/>
                <w:color w:val="auto"/>
              </w:rPr>
              <w:t>Natural Gas Wells</w:t>
            </w:r>
          </w:p>
        </w:tc>
      </w:tr>
      <w:tr>
        <w:trPr>
          <w:trHeight w:val="220"/>
        </w:trPr>
        <w:tc>
          <w:tcPr>
            <w:tcW w:w="24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880" w:type="dxa"/>
            <w:vAlign w:val="bottom"/>
            <w:gridSpan w:val="3"/>
          </w:tcPr>
          <w:p>
            <w:pPr>
              <w:ind w:left="420"/>
              <w:spacing w:after="0"/>
              <w:rPr>
                <w:sz w:val="20"/>
                <w:szCs w:val="20"/>
                <w:color w:val="auto"/>
              </w:rPr>
            </w:pPr>
            <w:r>
              <w:rPr>
                <w:rFonts w:ascii="Arial" w:cs="Arial" w:eastAsia="Arial" w:hAnsi="Arial"/>
                <w:sz w:val="18"/>
                <w:szCs w:val="18"/>
                <w:color w:val="auto"/>
              </w:rPr>
              <w:t>Gross</w:t>
            </w:r>
          </w:p>
        </w:tc>
        <w:tc>
          <w:tcPr>
            <w:tcW w:w="920" w:type="dxa"/>
            <w:vAlign w:val="bottom"/>
          </w:tcPr>
          <w:p>
            <w:pPr>
              <w:jc w:val="right"/>
              <w:ind w:right="431"/>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9"/>
                <w:szCs w:val="19"/>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color w:val="auto"/>
              </w:rPr>
              <w:t>Gross</w:t>
            </w:r>
          </w:p>
        </w:tc>
        <w:tc>
          <w:tcPr>
            <w:tcW w:w="1340" w:type="dxa"/>
            <w:vAlign w:val="bottom"/>
          </w:tcPr>
          <w:p>
            <w:pPr>
              <w:jc w:val="right"/>
              <w:ind w:right="431"/>
              <w:spacing w:after="0"/>
              <w:rPr>
                <w:sz w:val="20"/>
                <w:szCs w:val="20"/>
                <w:color w:val="auto"/>
              </w:rPr>
            </w:pPr>
            <w:r>
              <w:rPr>
                <w:rFonts w:ascii="Arial" w:cs="Arial" w:eastAsia="Arial" w:hAnsi="Arial"/>
                <w:sz w:val="18"/>
                <w:szCs w:val="18"/>
                <w:color w:val="auto"/>
              </w:rPr>
              <w:t>Net</w:t>
            </w:r>
          </w:p>
        </w:tc>
      </w:tr>
      <w:tr>
        <w:trPr>
          <w:trHeight w:val="220"/>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Onshore</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246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Offshore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0"/>
        </w:trPr>
        <w:tc>
          <w:tcPr>
            <w:tcW w:w="2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United States</w:t>
            </w:r>
          </w:p>
        </w:tc>
        <w:tc>
          <w:tcPr>
            <w:tcW w:w="30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2460" w:type="dxa"/>
            <w:vAlign w:val="bottom"/>
          </w:tcPr>
          <w:p>
            <w:pPr>
              <w:ind w:left="20"/>
              <w:spacing w:after="0"/>
              <w:rPr>
                <w:sz w:val="20"/>
                <w:szCs w:val="20"/>
                <w:color w:val="auto"/>
              </w:rPr>
            </w:pPr>
            <w:r>
              <w:rPr>
                <w:rFonts w:ascii="Arial" w:cs="Arial" w:eastAsia="Arial" w:hAnsi="Arial"/>
                <w:sz w:val="18"/>
                <w:szCs w:val="18"/>
                <w:color w:val="auto"/>
              </w:rPr>
              <w:t>Canada</w:t>
            </w:r>
          </w:p>
        </w:tc>
        <w:tc>
          <w:tcPr>
            <w:tcW w:w="3040" w:type="dxa"/>
            <w:vAlign w:val="bottom"/>
          </w:tcPr>
          <w:p>
            <w:pPr>
              <w:ind w:left="320"/>
              <w:spacing w:after="0"/>
              <w:rPr>
                <w:sz w:val="20"/>
                <w:szCs w:val="20"/>
                <w:color w:val="auto"/>
              </w:rPr>
            </w:pPr>
            <w:r>
              <w:rPr>
                <w:rFonts w:ascii="Arial" w:cs="Arial" w:eastAsia="Arial" w:hAnsi="Arial"/>
                <w:sz w:val="18"/>
                <w:szCs w:val="18"/>
                <w:color w:val="auto"/>
              </w:rPr>
              <w:t>Onshore</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7"/>
        </w:trPr>
        <w:tc>
          <w:tcPr>
            <w:tcW w:w="2460" w:type="dxa"/>
            <w:vAlign w:val="bottom"/>
            <w:shd w:val="clear" w:color="auto" w:fill="CCEEFF"/>
          </w:tcPr>
          <w:p>
            <w:pPr>
              <w:spacing w:after="0"/>
              <w:rPr>
                <w:sz w:val="19"/>
                <w:szCs w:val="19"/>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Offshore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4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Canada</w:t>
            </w:r>
          </w:p>
        </w:tc>
        <w:tc>
          <w:tcPr>
            <w:tcW w:w="304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45"/>
        </w:trPr>
        <w:tc>
          <w:tcPr>
            <w:tcW w:w="2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Totals</w:t>
            </w:r>
          </w:p>
        </w:tc>
        <w:tc>
          <w:tcPr>
            <w:tcW w:w="30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0" w:type="dxa"/>
            <w:vAlign w:val="bottom"/>
            <w:gridSpan w:val="13"/>
          </w:tcPr>
          <w:p>
            <w:pPr>
              <w:spacing w:after="0"/>
              <w:rPr>
                <w:sz w:val="20"/>
                <w:szCs w:val="20"/>
                <w:color w:val="auto"/>
              </w:rPr>
            </w:pPr>
            <w:r>
              <w:rPr>
                <w:rFonts w:ascii="Arial" w:cs="Arial" w:eastAsia="Arial" w:hAnsi="Arial"/>
                <w:sz w:val="18"/>
                <w:szCs w:val="18"/>
                <w:color w:val="auto"/>
              </w:rPr>
              <w:t>Murphy’s net wells drilled and completed in the last three years are shown in the following table: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1600" w:type="dxa"/>
            <w:vAlign w:val="bottom"/>
          </w:tcPr>
          <w:p>
            <w:pPr>
              <w:spacing w:after="0"/>
              <w:rPr>
                <w:sz w:val="24"/>
                <w:szCs w:val="24"/>
                <w:color w:val="auto"/>
              </w:rPr>
            </w:pPr>
          </w:p>
        </w:tc>
        <w:tc>
          <w:tcPr>
            <w:tcW w:w="2440" w:type="dxa"/>
            <w:vAlign w:val="bottom"/>
            <w:gridSpan w:val="4"/>
          </w:tcPr>
          <w:p>
            <w:pPr>
              <w:ind w:left="640"/>
              <w:spacing w:after="0"/>
              <w:rPr>
                <w:sz w:val="20"/>
                <w:szCs w:val="20"/>
                <w:color w:val="auto"/>
              </w:rPr>
            </w:pPr>
            <w:r>
              <w:rPr>
                <w:rFonts w:ascii="Arial" w:cs="Arial" w:eastAsia="Arial" w:hAnsi="Arial"/>
                <w:sz w:val="18"/>
                <w:szCs w:val="18"/>
                <w:color w:val="auto"/>
              </w:rPr>
              <w:t>United States</w:t>
            </w:r>
          </w:p>
        </w:tc>
        <w:tc>
          <w:tcPr>
            <w:tcW w:w="1580" w:type="dxa"/>
            <w:vAlign w:val="bottom"/>
            <w:gridSpan w:val="3"/>
          </w:tcPr>
          <w:p>
            <w:pPr>
              <w:ind w:left="860"/>
              <w:spacing w:after="0"/>
              <w:rPr>
                <w:sz w:val="20"/>
                <w:szCs w:val="20"/>
                <w:color w:val="auto"/>
              </w:rPr>
            </w:pPr>
            <w:r>
              <w:rPr>
                <w:rFonts w:ascii="Arial" w:cs="Arial" w:eastAsia="Arial" w:hAnsi="Arial"/>
                <w:sz w:val="18"/>
                <w:szCs w:val="18"/>
                <w:color w:val="auto"/>
              </w:rPr>
              <w:t>Canada</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94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ind w:left="940"/>
              <w:spacing w:after="0"/>
              <w:rPr>
                <w:sz w:val="20"/>
                <w:szCs w:val="20"/>
                <w:color w:val="auto"/>
              </w:rPr>
            </w:pPr>
            <w:r>
              <w:rPr>
                <w:rFonts w:ascii="Arial" w:cs="Arial" w:eastAsia="Arial" w:hAnsi="Arial"/>
                <w:sz w:val="18"/>
                <w:szCs w:val="18"/>
                <w:color w:val="auto"/>
              </w:rPr>
              <w:t>Totals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2024</w:t>
            </w: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Productive</w:t>
            </w:r>
          </w:p>
        </w:tc>
        <w:tc>
          <w:tcPr>
            <w:tcW w:w="104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Dry</w:t>
            </w:r>
          </w:p>
        </w:tc>
        <w:tc>
          <w:tcPr>
            <w:tcW w:w="100" w:type="dxa"/>
            <w:vAlign w:val="bottom"/>
          </w:tcPr>
          <w:p>
            <w:pPr>
              <w:spacing w:after="0"/>
              <w:rPr>
                <w:sz w:val="19"/>
                <w:szCs w:val="19"/>
                <w:color w:val="auto"/>
              </w:rPr>
            </w:pPr>
          </w:p>
        </w:tc>
        <w:tc>
          <w:tcPr>
            <w:tcW w:w="158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Productive</w:t>
            </w:r>
          </w:p>
        </w:tc>
        <w:tc>
          <w:tcPr>
            <w:tcW w:w="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Dry</w:t>
            </w:r>
          </w:p>
        </w:tc>
        <w:tc>
          <w:tcPr>
            <w:tcW w:w="120" w:type="dxa"/>
            <w:vAlign w:val="bottom"/>
          </w:tcPr>
          <w:p>
            <w:pPr>
              <w:spacing w:after="0"/>
              <w:rPr>
                <w:sz w:val="19"/>
                <w:szCs w:val="19"/>
                <w:color w:val="auto"/>
              </w:rPr>
            </w:pPr>
          </w:p>
        </w:tc>
        <w:tc>
          <w:tcPr>
            <w:tcW w:w="152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Productive</w:t>
            </w:r>
          </w:p>
        </w:tc>
        <w:tc>
          <w:tcPr>
            <w:tcW w:w="8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Dry</w:t>
            </w:r>
          </w:p>
        </w:tc>
        <w:tc>
          <w:tcPr>
            <w:tcW w:w="100" w:type="dxa"/>
            <w:vAlign w:val="bottom"/>
          </w:tcPr>
          <w:p>
            <w:pPr>
              <w:spacing w:after="0"/>
              <w:rPr>
                <w:sz w:val="19"/>
                <w:szCs w:val="19"/>
                <w:color w:val="auto"/>
              </w:rPr>
            </w:pPr>
          </w:p>
        </w:tc>
        <w:tc>
          <w:tcPr>
            <w:tcW w:w="154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Productive</w:t>
            </w:r>
          </w:p>
        </w:tc>
        <w:tc>
          <w:tcPr>
            <w:tcW w:w="8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rPr>
              <w:t>Dry</w:t>
            </w:r>
          </w:p>
        </w:tc>
        <w:tc>
          <w:tcPr>
            <w:tcW w:w="0" w:type="dxa"/>
            <w:vAlign w:val="bottom"/>
          </w:tcPr>
          <w:p>
            <w:pPr>
              <w:spacing w:after="0"/>
              <w:rPr>
                <w:sz w:val="1"/>
                <w:szCs w:val="1"/>
                <w:color w:val="auto"/>
              </w:rPr>
            </w:pPr>
          </w:p>
        </w:tc>
      </w:tr>
      <w:tr>
        <w:trPr>
          <w:trHeight w:val="207"/>
        </w:trPr>
        <w:tc>
          <w:tcPr>
            <w:tcW w:w="1600" w:type="dxa"/>
            <w:vAlign w:val="bottom"/>
            <w:vMerge w:val="continue"/>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Exploration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3"/>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27"/>
        </w:trPr>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Development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3"/>
          </w:tcPr>
          <w:p>
            <w:pPr>
              <w:ind w:left="9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tcPr>
          <w:p>
            <w:pPr>
              <w:ind w:left="20"/>
              <w:spacing w:after="0"/>
              <w:rPr>
                <w:sz w:val="20"/>
                <w:szCs w:val="20"/>
                <w:color w:val="auto"/>
              </w:rPr>
            </w:pPr>
            <w:r>
              <w:rPr>
                <w:rFonts w:ascii="Arial" w:cs="Arial" w:eastAsia="Arial" w:hAnsi="Arial"/>
                <w:sz w:val="18"/>
                <w:szCs w:val="18"/>
                <w:color w:val="auto"/>
              </w:rPr>
              <w:t>Exploration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1600" w:type="dxa"/>
            <w:vAlign w:val="bottom"/>
          </w:tcPr>
          <w:p>
            <w:pPr>
              <w:ind w:left="20"/>
              <w:spacing w:after="0"/>
              <w:rPr>
                <w:sz w:val="20"/>
                <w:szCs w:val="20"/>
                <w:color w:val="auto"/>
              </w:rPr>
            </w:pPr>
            <w:r>
              <w:rPr>
                <w:rFonts w:ascii="Arial" w:cs="Arial" w:eastAsia="Arial" w:hAnsi="Arial"/>
                <w:sz w:val="18"/>
                <w:szCs w:val="18"/>
                <w:color w:val="auto"/>
              </w:rPr>
              <w:t>2022</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3"/>
        </w:trPr>
        <w:tc>
          <w:tcPr>
            <w:tcW w:w="160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color w:val="auto"/>
        </w:rPr>
        <w:t>Murphy’s drilling wells in progress at December 31, 2024 are shown in the following table. The year-end well count includes wells awaiting various completion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2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color w:val="auto"/>
              </w:rPr>
              <w:t>Exploration</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color w:val="auto"/>
              </w:rPr>
              <w:t>Development</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0"/>
                <w:szCs w:val="20"/>
                <w:color w:val="auto"/>
              </w:rPr>
            </w:pPr>
          </w:p>
        </w:tc>
      </w:tr>
      <w:tr>
        <w:trPr>
          <w:trHeight w:val="220"/>
        </w:trPr>
        <w:tc>
          <w:tcPr>
            <w:tcW w:w="1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rPr>
              <w:t>Gross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ind w:left="500"/>
              <w:spacing w:after="0"/>
              <w:rPr>
                <w:sz w:val="20"/>
                <w:szCs w:val="20"/>
                <w:color w:val="auto"/>
              </w:rPr>
            </w:pPr>
            <w:r>
              <w:rPr>
                <w:rFonts w:ascii="Arial" w:cs="Arial" w:eastAsia="Arial" w:hAnsi="Arial"/>
                <w:sz w:val="18"/>
                <w:szCs w:val="18"/>
                <w:color w:val="auto"/>
              </w:rPr>
              <w:t>Net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ind w:left="560"/>
              <w:spacing w:after="0"/>
              <w:rPr>
                <w:sz w:val="20"/>
                <w:szCs w:val="20"/>
                <w:color w:val="auto"/>
              </w:rPr>
            </w:pPr>
            <w:r>
              <w:rPr>
                <w:rFonts w:ascii="Arial" w:cs="Arial" w:eastAsia="Arial" w:hAnsi="Arial"/>
                <w:sz w:val="18"/>
                <w:szCs w:val="18"/>
                <w:color w:val="auto"/>
              </w:rPr>
              <w:t>Gross</w:t>
            </w:r>
          </w:p>
        </w:tc>
        <w:tc>
          <w:tcPr>
            <w:tcW w:w="700" w:type="dxa"/>
            <w:vAlign w:val="bottom"/>
          </w:tcPr>
          <w:p>
            <w:pPr>
              <w:jc w:val="right"/>
              <w:ind w:right="251"/>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1760" w:type="dxa"/>
            <w:vAlign w:val="bottom"/>
            <w:gridSpan w:val="3"/>
          </w:tcPr>
          <w:p>
            <w:pPr>
              <w:ind w:left="560"/>
              <w:spacing w:after="0"/>
              <w:rPr>
                <w:sz w:val="20"/>
                <w:szCs w:val="20"/>
                <w:color w:val="auto"/>
              </w:rPr>
            </w:pPr>
            <w:r>
              <w:rPr>
                <w:rFonts w:ascii="Arial" w:cs="Arial" w:eastAsia="Arial" w:hAnsi="Arial"/>
                <w:sz w:val="18"/>
                <w:szCs w:val="18"/>
                <w:color w:val="auto"/>
              </w:rPr>
              <w:t>Gross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Net</w:t>
            </w:r>
          </w:p>
        </w:tc>
      </w:tr>
      <w:tr>
        <w:trPr>
          <w:trHeight w:val="220"/>
        </w:trPr>
        <w:tc>
          <w:tcPr>
            <w:tcW w:w="1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Onshore</w:t>
            </w:r>
          </w:p>
        </w:tc>
        <w:tc>
          <w:tcPr>
            <w:tcW w:w="9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7"/>
        </w:trPr>
        <w:tc>
          <w:tcPr>
            <w:tcW w:w="1320" w:type="dxa"/>
            <w:vAlign w:val="bottom"/>
          </w:tcPr>
          <w:p>
            <w:pPr>
              <w:spacing w:after="0"/>
              <w:rPr>
                <w:sz w:val="19"/>
                <w:szCs w:val="19"/>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Offshore</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7"/>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Onshore</w:t>
            </w: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7"/>
        </w:trPr>
        <w:tc>
          <w:tcPr>
            <w:tcW w:w="1320" w:type="dxa"/>
            <w:vAlign w:val="bottom"/>
          </w:tcPr>
          <w:p>
            <w:pPr>
              <w:spacing w:after="0"/>
              <w:rPr>
                <w:sz w:val="19"/>
                <w:szCs w:val="19"/>
                <w:color w:val="auto"/>
              </w:rPr>
            </w:pP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Offshore</w:t>
            </w:r>
          </w:p>
        </w:tc>
        <w:tc>
          <w:tcPr>
            <w:tcW w:w="13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0"/>
        </w:trPr>
        <w:tc>
          <w:tcPr>
            <w:tcW w:w="1320" w:type="dxa"/>
            <w:vAlign w:val="bottom"/>
          </w:tcPr>
          <w:p>
            <w:pPr>
              <w:ind w:left="340"/>
              <w:spacing w:after="0"/>
              <w:rPr>
                <w:sz w:val="20"/>
                <w:szCs w:val="20"/>
                <w:color w:val="auto"/>
              </w:rPr>
            </w:pPr>
            <w:r>
              <w:rPr>
                <w:rFonts w:ascii="Arial" w:cs="Arial" w:eastAsia="Arial" w:hAnsi="Arial"/>
                <w:sz w:val="18"/>
                <w:szCs w:val="18"/>
                <w:color w:val="auto"/>
              </w:rPr>
              <w:t>Totals</w:t>
            </w:r>
          </w:p>
        </w:tc>
        <w:tc>
          <w:tcPr>
            <w:tcW w:w="18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1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 and Climate Change</w:t>
      </w:r>
    </w:p>
    <w:p>
      <w:pPr>
        <w:spacing w:after="0" w:line="114" w:lineRule="exact"/>
        <w:rPr>
          <w:sz w:val="20"/>
          <w:szCs w:val="20"/>
          <w:color w:val="auto"/>
        </w:rPr>
      </w:pPr>
    </w:p>
    <w:p>
      <w:pPr>
        <w:jc w:val="both"/>
        <w:ind w:right="420"/>
        <w:spacing w:after="0" w:line="285" w:lineRule="auto"/>
        <w:rPr>
          <w:sz w:val="20"/>
          <w:szCs w:val="20"/>
          <w:color w:val="auto"/>
        </w:rPr>
      </w:pPr>
      <w:r>
        <w:rPr>
          <w:rFonts w:ascii="Arial" w:cs="Arial" w:eastAsia="Arial" w:hAnsi="Arial"/>
          <w:sz w:val="17"/>
          <w:szCs w:val="17"/>
          <w:color w:val="auto"/>
        </w:rPr>
        <w:t>We understand that our industry, and the use of our products, create emissions – which raise climate change concerns. At the same time, access to affordable and reliable energy is essential to improving the world’s quality of life and the functioning of the global economy. We believe that as the energy economy transitions, oil and natural gas will continue to play a vital role in the long-term energy mix.</w:t>
      </w:r>
    </w:p>
    <w:p>
      <w:pPr>
        <w:spacing w:after="0" w:line="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committed to reducing our Scope 1 and 2 GHG emissions and are focused on understanding and mitigating our climate change risks. To guide our climate change strategy, Murphy has adopted a climate change position, and we are setting meaningful emissions reduction goals for our operated assets. The Company has established a Scope 1 and 2 GHG emissions intensity reduction target of 15% to 20% by 2030 from our 2019 level, excluding our discontinued and divested Malaysia operations. In addition, we have endorsed the goal of eliminating routine flaring by 2030, under the current World Bank definition of routine flaring.</w:t>
      </w:r>
    </w:p>
    <w:p>
      <w:pPr>
        <w:spacing w:after="0" w:line="7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Murphy recognizes that emissions are only one element of our total environmental footprint. Protecting natural resources is also an important factor in our overall sustainability efforts. See our 2024 Sustainability Report, located on the Company’s website, for details, which is not incorporated by reference hereto.</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Further, we are subject to various international, foreign, national, state, provincial and local environmental, health and safety laws and regulations, including related to the generation, storage, handling, use, disposal and remediation of petroleum products, wastewater and hazardous materials; the emission and discharge of such materials to the environment, including GHG emissions; wildlife, habitat and water protection; the placement, operation and decommissioning of production equipment; and the health and safety of our employees, contractors and communities where our operations are located.</w:t>
      </w:r>
    </w:p>
    <w:p>
      <w:pPr>
        <w:spacing w:after="0" w:line="7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U.S. Comprehensive Environmental Response, Compensation and Liability Act (CERCLA). </w:t>
      </w:r>
      <w:r>
        <w:rPr>
          <w:rFonts w:ascii="Arial" w:cs="Arial" w:eastAsia="Arial" w:hAnsi="Arial"/>
          <w:sz w:val="18"/>
          <w:szCs w:val="18"/>
          <w:color w:val="auto"/>
        </w:rPr>
        <w:t>CERCLA and similar state statutes impose joint</w:t>
      </w:r>
      <w:r>
        <w:rPr>
          <w:rFonts w:ascii="Arial" w:cs="Arial" w:eastAsia="Arial" w:hAnsi="Arial"/>
          <w:sz w:val="18"/>
          <w:szCs w:val="18"/>
          <w:i w:val="1"/>
          <w:iCs w:val="1"/>
          <w:color w:val="auto"/>
        </w:rPr>
        <w:t xml:space="preserve"> </w:t>
      </w:r>
      <w:r>
        <w:rPr>
          <w:rFonts w:ascii="Arial" w:cs="Arial" w:eastAsia="Arial" w:hAnsi="Arial"/>
          <w:sz w:val="18"/>
          <w:szCs w:val="18"/>
          <w:color w:val="auto"/>
        </w:rPr>
        <w:t>and several liabilities, without regard to fault or legality of the conduct, on current and past owners or operators of a site where a release occurred and anyone who disposed or arranged for the disposal of a hazardous substance released at the site. Although CERCLA generally exempts “petroleum” from regulation, in the course of our operations, we may and could generate wastes that may fall within CERCLA’s definition of hazardous substances and may have disposed of these wastes at disposal sites owned and operated by others.</w:t>
      </w:r>
    </w:p>
    <w:p>
      <w:pPr>
        <w:spacing w:after="0" w:line="7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 xml:space="preserve">Water discharges. </w:t>
      </w:r>
      <w:r>
        <w:rPr>
          <w:rFonts w:ascii="Arial" w:cs="Arial" w:eastAsia="Arial" w:hAnsi="Arial"/>
          <w:sz w:val="18"/>
          <w:szCs w:val="18"/>
          <w:color w:val="auto"/>
        </w:rPr>
        <w:t>The U.S. Clean Water Act and analogous state laws impose restrictions and strict controls with respect to the discharge of</w:t>
      </w:r>
      <w:r>
        <w:rPr>
          <w:rFonts w:ascii="Arial" w:cs="Arial" w:eastAsia="Arial" w:hAnsi="Arial"/>
          <w:sz w:val="18"/>
          <w:szCs w:val="18"/>
          <w:i w:val="1"/>
          <w:iCs w:val="1"/>
          <w:color w:val="auto"/>
        </w:rPr>
        <w:t xml:space="preserve"> </w:t>
      </w:r>
      <w:r>
        <w:rPr>
          <w:rFonts w:ascii="Arial" w:cs="Arial" w:eastAsia="Arial" w:hAnsi="Arial"/>
          <w:sz w:val="18"/>
          <w:szCs w:val="18"/>
          <w:color w:val="auto"/>
        </w:rPr>
        <w:t>pollutants, including spills and leaks of produced water and other oil and natural gas wastes, into regulated waters. The U.S. Oil Pollution Act (OPA) imposes certain duties and liabilities on the owner or operator of a facility, vessel or pipeline that is a source of or that poses the substantial threat of an oil discharge, or the lessee or permittee of the area in which a discharging offshore facility is located. OPA assigns joint and several liability, without regard to fault, to each liable party for oil removal costs and a variety of public and private damages. OPA also requires owners and operators of offshore oil production facilities to establish and maintain evidence of financial responsibility to cover costs that could be incurred in responding to an oil spill.</w:t>
      </w:r>
    </w:p>
    <w:p>
      <w:pPr>
        <w:spacing w:after="0" w:line="82"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U.S. Bureau of Ocean Energy Management (BOEM) and the U.S. Bureau of Safety and Environmental Enforcement (BSEE) requirements. </w:t>
      </w:r>
      <w:r>
        <w:rPr>
          <w:rFonts w:ascii="Arial" w:cs="Arial" w:eastAsia="Arial" w:hAnsi="Arial"/>
          <w:sz w:val="18"/>
          <w:szCs w:val="18"/>
          <w:color w:val="auto"/>
        </w:rPr>
        <w:t>BOEM and BSEE have regulations applicable to lessees in federal waters that impose various safety, permitting and certification requirements applicable to exploration, development and production activities in the Gulf of America and also require lessees to have substantial U.S. assets and net worth or post bonds or other acceptable financial assurance that the regulatory obligations will be met. These include, in the Gulf of America, well design, well control, casing, cementing, real-time monitoring and subsea containment, among other items. Under applicable requirements, BOEM evaluates the financial strength and reliability of lessees and operators active on the U.S. Outer Continental Shelf, including the Gulf of America. If the BOEM determines that a company does not have the financial ability to meet its decommissioning and other obligations, that company will be required to post additional financial security as assurance.</w:t>
      </w:r>
    </w:p>
    <w:p>
      <w:pPr>
        <w:spacing w:after="0" w:line="7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Air emissions and climate change. </w:t>
      </w:r>
      <w:r>
        <w:rPr>
          <w:rFonts w:ascii="Arial" w:cs="Arial" w:eastAsia="Arial" w:hAnsi="Arial"/>
          <w:sz w:val="18"/>
          <w:szCs w:val="18"/>
          <w:color w:val="auto"/>
        </w:rPr>
        <w:t>The U.S. Clean Air Act and comparable state laws and regulations govern emissions of various air</w:t>
      </w:r>
      <w:r>
        <w:rPr>
          <w:rFonts w:ascii="Arial" w:cs="Arial" w:eastAsia="Arial" w:hAnsi="Arial"/>
          <w:sz w:val="18"/>
          <w:szCs w:val="18"/>
          <w:i w:val="1"/>
          <w:iCs w:val="1"/>
          <w:color w:val="auto"/>
        </w:rPr>
        <w:t xml:space="preserve"> </w:t>
      </w:r>
      <w:r>
        <w:rPr>
          <w:rFonts w:ascii="Arial" w:cs="Arial" w:eastAsia="Arial" w:hAnsi="Arial"/>
          <w:sz w:val="18"/>
          <w:szCs w:val="18"/>
          <w:color w:val="auto"/>
        </w:rPr>
        <w:t>pollutants through the issuance of permits and other authorization requirements. Since 2009, the U.S. Environmental Protection Agency (EPA) has been monitoring and regulating GHG emissions,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including carbon dioxide and methane, from certain sources in the oil and natural gas sector due to their association with climate change. In addition, international climate efforts have resulted in commitments from many countries to reduce GHG emissions and have called for parties to eliminate certain fossil fuel subsidies and pursue further action on non-carbon dioxide GHGs.</w:t>
      </w:r>
    </w:p>
    <w:p>
      <w:pPr>
        <w:spacing w:after="0" w:line="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Murphy is currently required to report GHG emissions from its U.S. operations in the Gulf of America and onshore in South Texas and from its Canadian onshore business in British Columbia and Alberta. In Canada, Murphy is subject to GHG regulations and resultant carbon pricing programs specific to the jurisdiction of operation. Any limitations or further regulation of GHG, such as a cap and trade system, technology mandate, emissions tax, or expanded reporting requirements, could cause the Company to restrict operations, curtail demand for hydrocarbons generally, and/or cause costs to increase. Examples of cost increases include costs to operate and maintain facilities, install pollution emission controls and administer and manage emissions trading programs.</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March 8, 2024, the EPA published its final rules imposing new and stricter requirements for methane monitoring, reporting, and emissions control at certain oil and natural gas facilities. Further, the EPA amended its GHG Reporting Rule on May 14, 2024 to modify certain calculation methodologies, changes to the general reporting structure, and EPA’s treatment of advanced measurement technologies. Ultimately, both new rules will impact how much reporters owe under the new methane waste emissions charge (WEC) established under the Inflation Reduction Act (IRA) in 2022 and finalized in November 2024.</w:t>
      </w:r>
    </w:p>
    <w:p>
      <w:pPr>
        <w:spacing w:after="0" w:line="7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January 2025, however, President Trump signed a series of executive orders that call upon the EPA to submit a report on the continuing applicability of its endangerment finding for GHGs under the Clean Air Act, direct federal executive departments and agencies to initiate a regulatory freeze for certain rules that have not taken effect, pending review by the newly appointed agency head, direct federal agencies to identify and exercise emergency authorities to facilitate conventional energy production, transportation, and refining, and mandate a review of existing regulations that may burden domestic energy development. The methane WEC’s relationship to the IRA also means that the methane WEC’s implementation may be subject to further acts of the U.S. Congress. Thus, the future of the new methane and waste emission charge rules, as well as the regulation of GHGs by the U.S. federal government, may be subject to change in the near-term.</w:t>
      </w:r>
    </w:p>
    <w:p>
      <w:pPr>
        <w:spacing w:after="0" w:line="82" w:lineRule="exact"/>
        <w:rPr>
          <w:sz w:val="20"/>
          <w:szCs w:val="20"/>
          <w:color w:val="auto"/>
        </w:rPr>
      </w:pPr>
    </w:p>
    <w:p>
      <w:pPr>
        <w:spacing w:after="0" w:line="285" w:lineRule="auto"/>
        <w:rPr>
          <w:sz w:val="20"/>
          <w:szCs w:val="20"/>
          <w:color w:val="auto"/>
        </w:rPr>
      </w:pPr>
      <w:r>
        <w:rPr>
          <w:rFonts w:ascii="Arial" w:cs="Arial" w:eastAsia="Arial" w:hAnsi="Arial"/>
          <w:sz w:val="17"/>
          <w:szCs w:val="17"/>
          <w:i w:val="1"/>
          <w:iCs w:val="1"/>
          <w:color w:val="auto"/>
        </w:rPr>
        <w:t xml:space="preserve">Endangered and threatened species. </w:t>
      </w:r>
      <w:r>
        <w:rPr>
          <w:rFonts w:ascii="Arial" w:cs="Arial" w:eastAsia="Arial" w:hAnsi="Arial"/>
          <w:sz w:val="17"/>
          <w:szCs w:val="17"/>
          <w:color w:val="auto"/>
        </w:rPr>
        <w:t>The U.S. Endangered Species Act was established to protect endangered and threatened species. If a</w:t>
      </w:r>
      <w:r>
        <w:rPr>
          <w:rFonts w:ascii="Arial" w:cs="Arial" w:eastAsia="Arial" w:hAnsi="Arial"/>
          <w:sz w:val="17"/>
          <w:szCs w:val="17"/>
          <w:i w:val="1"/>
          <w:iCs w:val="1"/>
          <w:color w:val="auto"/>
        </w:rPr>
        <w:t xml:space="preserve"> </w:t>
      </w:r>
      <w:r>
        <w:rPr>
          <w:rFonts w:ascii="Arial" w:cs="Arial" w:eastAsia="Arial" w:hAnsi="Arial"/>
          <w:sz w:val="17"/>
          <w:szCs w:val="17"/>
          <w:color w:val="auto"/>
        </w:rPr>
        <w:t>species is listed as threatened or endangered, restrictions may be imposed on activities adversely affecting that species’ habitat. Similar protections are offered to migratory birds, under the Migratory Bird Treaty Act, and marine mammals under the Marine Mammal Protection Act.</w:t>
      </w:r>
    </w:p>
    <w:p>
      <w:pPr>
        <w:spacing w:after="0" w:line="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noted above, Murphy is subject to various laws and regulatory regimes governing similar matters in other jurisdictions in which it operates. More specifically, Murphy’s operations in Canada are subject to and conducted under Canadian laws and regulations that address many of the same environmental, health and safety issues as those in the U.S., including, without limitation, pollution and contamination, air quality and emissions, water discharges and other health and safety concerns.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w:t>
      </w:r>
    </w:p>
    <w:p>
      <w:pPr>
        <w:spacing w:after="0" w:line="11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Murphy’s commitment to safety is strong, and so are our actions to protect our workforce and communities. Our employees are our most valuable asset. Murphy strives to achieve incident-free operations through continuous improvement processes managed by the Company’s Health, Safety, Environment (HSE) Management System, which engages all personnel, contractors and partners associated with Murphy operations and facilities and provides a consistent method for integrating HSE concepts into our procedures and programs. We work hard to build a culture of safety across our organization, with regular training, exercise drills and key targeted safety initiatives.</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The Company is subject to the requirements of the U.S. Occupational Safety and Health Act (OSHA) and comparable foreign and state</w:t>
      </w:r>
      <w:r>
        <w:rPr>
          <w:rFonts w:ascii="Arial" w:cs="Arial" w:eastAsia="Arial" w:hAnsi="Arial"/>
          <w:sz w:val="18"/>
          <w:szCs w:val="18"/>
          <w:i w:val="1"/>
          <w:iCs w:val="1"/>
          <w:color w:val="auto"/>
        </w:rPr>
        <w:t xml:space="preserve"> </w:t>
      </w:r>
      <w:r>
        <w:rPr>
          <w:rFonts w:ascii="Arial" w:cs="Arial" w:eastAsia="Arial" w:hAnsi="Arial"/>
          <w:sz w:val="18"/>
          <w:szCs w:val="18"/>
          <w:color w:val="auto"/>
        </w:rPr>
        <w:t>laws that regulate the protection of the health and safety of workers. In addition, the OSHA hazard communication standard requires that certain information regarding hazardous materials used or produced in Murphy’s operations be maintained and provided to employees, state and local government authorities and citizens. In Canada, the Company is subject to Federal Occupational Health and Safety Legislation, the provincially-administered Occupational Health and Safety Act (Alberta), the Workers Compensation Act (British Columbia) and the Workplace Hazardous Materials Information System.</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Social and Governance (ESG) Disclosure</w:t>
      </w:r>
    </w:p>
    <w:p>
      <w:pPr>
        <w:spacing w:after="0" w:line="114"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Our annual sustainability report is informed by internationally recognized ESG reporting frameworks and standards, including Sustainability Accounting Standards Board, Task Force on Climate-related Financial Disclosures (TCFD), Global Reporting Initiative, Ipieca and American Petroleum Institute.</w:t>
      </w:r>
    </w:p>
    <w:p>
      <w:pPr>
        <w:spacing w:after="0" w:line="70"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As this is an area of continual improvement across our industry, we strive to update our disclosures in line with operating developments and with emerging best practice ESG reporting standards. In 2024, we published our sixth annual sustainability report, located on the Company’s website, which is not incorporated by reference hereto.</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Murphy, we believe in providing energy that empowers people, and that is what our 750 employees do every day. As of December 31, 2024, we had 482 office-based employees and 268 field employees, all of whom are guided by our mission, vision, values and behaviors. Together with the Executive Leadership Team, the Vice President, Human Resources and Administration, who reports directly to our President and Chief Executive Officer (CEO), is responsible for developing and executing our human capital management strategy. This includes the attraction, recruitment, development and engagement of talent to deliver on our strategy, the design of employee compensation, health and welfare benefits, and talent programs. We focus on the following factors in order to implement and develop our human capital strategy:</w:t>
      </w:r>
    </w:p>
    <w:p>
      <w:pPr>
        <w:spacing w:after="0" w:line="65" w:lineRule="exact"/>
        <w:rPr>
          <w:sz w:val="20"/>
          <w:szCs w:val="20"/>
          <w:color w:val="auto"/>
        </w:rPr>
      </w:pPr>
    </w:p>
    <w:p>
      <w:pPr>
        <w:ind w:left="300" w:hanging="293"/>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Compensation Programs</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Performance and Feedback</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Talent Development and Training</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 and Welfare Benefits</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Engagement</w:t>
      </w:r>
    </w:p>
    <w:p>
      <w:pPr>
        <w:spacing w:after="0" w:line="114"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Board receives related updates from the Vice President, Human Resources and Administration on a regular basis including the review of compensation, benefits, succession and talent development.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Compensation Programs</w:t>
      </w:r>
    </w:p>
    <w:p>
      <w:pPr>
        <w:spacing w:after="0" w:line="11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purpose, to provide energy that empowers people, includes tying a portion of our employees’ pay to performance in a variety of ways, including incentive compensation and performance-based bonus programs, while maintaining the best interest of stockholders. We benchmark for market practices and regularly review our compensation and hiring acceptance rates against the market to ensure competitiveness to attract and retain the best talent. We believe our current practices align our employees’ compensation with the interests of our stockholders and support our focus on cash flow generation, capital return and environmental stewardship. To enhance employee understanding of their total remuneration package extended by Murphy, we introduced Total Reward Statements for employees in the U.S., Canada and Vietnam. For further details on the Company’s compensation framework, please see the Compensation Discussion and Analysis section of the forthcoming Proxy Statement relating to the Annual Meeting of Stockholders on May 14, 2025.</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Performance and Feedback</w:t>
      </w:r>
    </w:p>
    <w:p>
      <w:pPr>
        <w:spacing w:after="0" w:line="1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committed to efforts to enhance our employees’ professional growth and development through feedback that utilizes our internal performance management system (Murphy Performance Management - MPM). The purpose of the MPM process is to show our commitment to the development of all employees and to better align rewards with Company and individual performance. The goals of the MPM process are the following:</w:t>
      </w:r>
    </w:p>
    <w:p>
      <w:pPr>
        <w:spacing w:after="0" w:line="75" w:lineRule="exact"/>
        <w:rPr>
          <w:sz w:val="20"/>
          <w:szCs w:val="20"/>
          <w:color w:val="auto"/>
        </w:rPr>
      </w:pPr>
    </w:p>
    <w:p>
      <w:pPr>
        <w:ind w:left="300" w:hanging="293"/>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Drive behavior to align with the Company’s mission, vision, values and behaviors;</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employee capabilities through effective feedback and coaching; and</w:t>
      </w:r>
    </w:p>
    <w:p>
      <w:pPr>
        <w:spacing w:after="0" w:line="113" w:lineRule="exact"/>
        <w:rPr>
          <w:rFonts w:ascii="Arial" w:cs="Arial" w:eastAsia="Arial" w:hAnsi="Arial"/>
          <w:sz w:val="18"/>
          <w:szCs w:val="18"/>
          <w:color w:val="auto"/>
        </w:rPr>
      </w:pPr>
    </w:p>
    <w:p>
      <w:pPr>
        <w:ind w:left="320" w:right="400" w:hanging="313"/>
        <w:spacing w:after="0" w:line="278" w:lineRule="auto"/>
        <w:tabs>
          <w:tab w:leader="none" w:pos="289"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process that is consistent throughout the organization to measure employee performance that is tied to the Company’s and stockholders’ interests.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All employees’ performance is evaluated at least annually through self-assessments that are reviewed in discussions with supervisors. Employees’ performance is evaluated on various key performance indicators set annually, including behaviors that support our mission, vision, values and contributions toward executing our Company’s goals and business strategy.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Talent Development and Training</w:t>
      </w:r>
    </w:p>
    <w:p>
      <w:pPr>
        <w:spacing w:after="0" w:line="11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Employees are able to participate in continuous training and development, with the goal of equipping them for success and providing increased opportunities for growth. Through our digital platform, My Murphy Learning, employees have access to LinkedIn Learning with more than 10,600 courses, Continuing Education Unit credit and certification opportunities, and access to expert instructors. We also administer mandatory compliance training for our employees through My Murphy Learning with 100% utilization. Finally, we provide a tuition reimbursement program for those who choose to acquire additional knowledge to increase their effectiveness in their present position or to prepare for career advancement.</w:t>
      </w:r>
    </w:p>
    <w:p>
      <w:pPr>
        <w:spacing w:after="0" w:line="8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 xml:space="preserve">To enhance employees’ commitment to and understanding of the Company’s Scorecard, we introduced a training course entitled, </w:t>
      </w:r>
      <w:r>
        <w:rPr>
          <w:rFonts w:ascii="Arial" w:cs="Arial" w:eastAsia="Arial" w:hAnsi="Arial"/>
          <w:sz w:val="18"/>
          <w:szCs w:val="18"/>
          <w:i w:val="1"/>
          <w:iCs w:val="1"/>
          <w:color w:val="auto"/>
        </w:rPr>
        <w:t>Understanding Your Annual Incentive Plan</w:t>
      </w:r>
      <w:r>
        <w:rPr>
          <w:rFonts w:ascii="Arial" w:cs="Arial" w:eastAsia="Arial" w:hAnsi="Arial"/>
          <w:sz w:val="18"/>
          <w:szCs w:val="18"/>
          <w:color w:val="auto"/>
        </w:rPr>
        <w:t>, which covers all metrics in our scorecard. This training opportunity, in particular, enhanced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acumen of our employee base, as well as brought renewed focus to how we measure success.</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strive to empower our leadership with programs that offer career advancement for experienced and emerging leaders. In 2024, over 50 managers participated in a leadership program, from a top-rated institution, addressing focus areas such as strategic agility, decision making, building high-performing teams and enhancing trust. Furthermore, we implemented a refreshed and expanded Technical Career Map to enhance the development of 125 engineering and geoscience employees.</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encourage employee engagement and solicit feedback through internal surveys, focus groups and our employee-led Ambassador program to gain insights into workplace experiences. Employees are provided opportunities to raise suggestions and collaborate with leadership to improve programs and increase their alignment with Murphy’s mission, vision, values and behaviors.</w:t>
      </w:r>
    </w:p>
    <w:p>
      <w:pPr>
        <w:spacing w:after="0" w:line="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 monitor the effectiveness of our human capital investment and development programs, we track voluntary turnover. This data is shared on a regular basis with our Executive Leadership Team, who use it, in addition to other pertinent data, to develop our human capital strategy. In 2024, our voluntary employee turnover rate, including retirements, was 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Welfare Benefits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doing our part to aid in maintaining the health and welfare of our employees is a critical element of Murphy’s success. As such, we provide our employees and their families with a comprehensive set of subsidized benefits that are competitive and aligned with Murphy’s mission, vision, values and behaviors. We also believe that the well-being of our employees is enhanced when they can give back to their local communities or charities through programs like the Company Matching Gift Program, the “Impact – Murphy Makes a Difference” Program, or on their own with a Company match for donations.</w:t>
      </w:r>
    </w:p>
    <w:p>
      <w:pPr>
        <w:spacing w:after="0" w:line="76"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Finally, we offer an Employee Assistance Program that provides confidential assistance to employees and their immediate family members for mental and physical well-being, as well as legal and financial issues. We also maintain an Ethics Hotline that is available to all our employees to report, anonymously if desired, any matter of concern. Communications to the hotline, which is facilitated by an independent third party, are routed to appropriate functions, Human Resources, Law or Compliance, for investigation and resolution.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Engagement</w:t>
      </w:r>
    </w:p>
    <w:p>
      <w:pPr>
        <w:spacing w:after="0" w:line="11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At Murphy, we strive for excellence in our people and our work. We believe that having employees who reflect a broad range of backgrounds, experiences and perspectives contributes to a more productive, engaged workforce and a more enriching environment for everyone. This belief underlies Murphy’s commitment to fostering an inclusive workplace where the most talented want to work and where our employees understand our culture of belonging. In furtherance of that commitment, Murphy, through its policies and its actions, requires strict compliance with all anti-harassment and anti-discrimination laws and does not tolerate harassment or discrimination of any kind based on any protected characteristic.</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receives updates on employee composition and recruiting, hiring, promotion, and retention of employees from the Vice President, Human Resources and Administration on a regular cadence. As of December 31, 2024, our U.S. and international workforce was comprised of approximately 24% females, and our U.S. workforce was comprised of approximately 33% of minority groups (as defined by the U.S. Equal Employment Opportunity Commission).</w:t>
      </w:r>
    </w:p>
    <w:p>
      <w:pPr>
        <w:spacing w:after="0" w:line="75"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We also support interest-based groups such as sports, hobbies, and charity volunteering in our communities. In 2024, we increased the number of employee-led, self-directed Employee Resource Groups with the introduction of ASPIRE (Asian and Pacific Islander Women) and VIPER (Veteran Integration and Purpose). Participation is voluntary, with membership and programming open to all Murphy employees.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Reports</w:t>
      </w:r>
    </w:p>
    <w:p>
      <w:pPr>
        <w:spacing w:after="0" w:line="116"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color w:val="auto"/>
        </w:rPr>
        <w:t>Murphy Oil’s internet address is http://www.murphyoilcorp.com. The information contained on the Company’s Website is not part of, or incorporated into, this report on Form 10-K.</w:t>
      </w:r>
    </w:p>
    <w:p>
      <w:pPr>
        <w:spacing w:after="0" w:line="5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Company’s Annual Reports on Form 10-K, Quarterly Reports on Form 10-Q, Current Reports on Form 8-K and any amendments to these reports filed or furnished pursuant to Section 13(a) or 15(d) of the Securities Exchange Act of 1934 are available on Murphy’s Website, free of charge, as soon as reasonably practicable after such reports are filed with, or furnished to, the SEC. You may also access these reports at the SEC’s Website at http://www.sec.gov.</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faces risks in the normal course of business and through global, regional and local events that could have an adverse impact on its reputation, operations, and financial performance. The Board exercises oversight of the Company’s enterprise risk management program, which includes strategic, operational and financial matters, as well as compliance and legal risks. The Board receives updates annually on the risk management processes.</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are some important factors that could cause the Company’s actual results to differ materially from those projected in any forward-looking statements. If any of the events or circumstances described in any of the following risk factors occurs, our business, results of operations and/or financial condition could be materially and adversely affected, and our actual results may differ materially from those contemplated in any forward-looking statements we make in any public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Risk Factors</w:t>
      </w:r>
    </w:p>
    <w:p>
      <w:pPr>
        <w:spacing w:after="0" w:line="114"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b w:val="1"/>
          <w:bCs w:val="1"/>
          <w:color w:val="auto"/>
        </w:rPr>
        <w:t>Volatility in the global prices of crude oil, natural gas and NGLs can significantly affect the Company’s operating results, cash flows and financial condition.</w:t>
      </w:r>
    </w:p>
    <w:p>
      <w:pPr>
        <w:spacing w:after="0" w:line="33"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color w:val="auto"/>
        </w:rPr>
        <w:t>Among the most significant variable factors impacting the Company’s results of operations are the sales prices for crude oil and natural gas that it produces. Many of the factors influencing prices of crude oil and natural gas are beyond our control. These factors include:</w:t>
      </w:r>
    </w:p>
    <w:p>
      <w:pPr>
        <w:spacing w:after="0" w:line="55" w:lineRule="exact"/>
        <w:rPr>
          <w:sz w:val="20"/>
          <w:szCs w:val="20"/>
          <w:color w:val="auto"/>
        </w:rPr>
      </w:pPr>
    </w:p>
    <w:p>
      <w:pPr>
        <w:ind w:left="300" w:hanging="293"/>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and domestic supplies of, and demand for, crude oil, natural gas and NGLs;</w:t>
      </w:r>
    </w:p>
    <w:p>
      <w:pPr>
        <w:spacing w:after="0" w:line="113" w:lineRule="exact"/>
        <w:rPr>
          <w:rFonts w:ascii="Arial" w:cs="Arial" w:eastAsia="Arial" w:hAnsi="Arial"/>
          <w:sz w:val="18"/>
          <w:szCs w:val="18"/>
          <w:color w:val="auto"/>
        </w:rPr>
      </w:pPr>
    </w:p>
    <w:p>
      <w:pPr>
        <w:ind w:left="320" w:right="780" w:hanging="313"/>
        <w:spacing w:after="0" w:line="278" w:lineRule="auto"/>
        <w:tabs>
          <w:tab w:leader="none" w:pos="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members of the Organization of the Petroleum Exporting Countries (OPEC) and certain non-OPEC members, for example, Russia, to agree to maintain or adjust production levels;</w:t>
      </w:r>
    </w:p>
    <w:p>
      <w:pPr>
        <w:spacing w:after="0" w:line="54" w:lineRule="exact"/>
        <w:rPr>
          <w:rFonts w:ascii="Arial" w:cs="Arial" w:eastAsia="Arial" w:hAnsi="Arial"/>
          <w:sz w:val="18"/>
          <w:szCs w:val="18"/>
          <w:color w:val="auto"/>
        </w:rPr>
      </w:pPr>
    </w:p>
    <w:p>
      <w:pPr>
        <w:ind w:left="300" w:hanging="293"/>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production levels of non-OPEC countries, including, amongst others, production levels in the shale plays in the U.S.;</w:t>
      </w:r>
    </w:p>
    <w:p>
      <w:pPr>
        <w:spacing w:after="0" w:line="113" w:lineRule="exact"/>
        <w:rPr>
          <w:rFonts w:ascii="Arial" w:cs="Arial" w:eastAsia="Arial" w:hAnsi="Arial"/>
          <w:sz w:val="18"/>
          <w:szCs w:val="18"/>
          <w:color w:val="auto"/>
        </w:rPr>
      </w:pPr>
    </w:p>
    <w:p>
      <w:pPr>
        <w:ind w:left="320" w:right="360" w:hanging="313"/>
        <w:spacing w:after="0" w:line="278" w:lineRule="auto"/>
        <w:tabs>
          <w:tab w:leader="none" w:pos="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or armed conflict in oil and natural gas producing regions, such as the Russia-Ukraine conflict and Israeli-Palestinian conflict;</w:t>
      </w:r>
    </w:p>
    <w:p>
      <w:pPr>
        <w:spacing w:after="0" w:line="54" w:lineRule="exact"/>
        <w:rPr>
          <w:rFonts w:ascii="Arial" w:cs="Arial" w:eastAsia="Arial" w:hAnsi="Arial"/>
          <w:sz w:val="18"/>
          <w:szCs w:val="18"/>
          <w:color w:val="auto"/>
        </w:rPr>
      </w:pPr>
    </w:p>
    <w:p>
      <w:pPr>
        <w:ind w:left="320" w:right="40" w:hanging="313"/>
        <w:spacing w:after="0" w:line="278" w:lineRule="auto"/>
        <w:tabs>
          <w:tab w:leader="none" w:pos="2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drilling, completion and production activities by other exploration and production companies, and variability therein, in response to market conditions;</w:t>
      </w:r>
    </w:p>
    <w:p>
      <w:pPr>
        <w:spacing w:after="0" w:line="54" w:lineRule="exact"/>
        <w:rPr>
          <w:rFonts w:ascii="Arial" w:cs="Arial" w:eastAsia="Arial" w:hAnsi="Arial"/>
          <w:sz w:val="18"/>
          <w:szCs w:val="18"/>
          <w:color w:val="auto"/>
        </w:rPr>
      </w:pPr>
    </w:p>
    <w:p>
      <w:pPr>
        <w:ind w:left="300" w:hanging="293"/>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weather patterns and climate, including those that may result from climate change;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 w:hanging="293"/>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such as hurricanes and tornadoes, including those that may result from climate change;</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availability and the demand for and of alternative and competing forms of energy, such as nuclear, hydroelectric, wind or solar;</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conservation efforts and focus on climate-change;</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 energy supply;</w:t>
      </w:r>
    </w:p>
    <w:p>
      <w:pPr>
        <w:spacing w:after="0" w:line="113" w:lineRule="exact"/>
        <w:rPr>
          <w:rFonts w:ascii="Arial" w:cs="Arial" w:eastAsia="Arial" w:hAnsi="Arial"/>
          <w:sz w:val="18"/>
          <w:szCs w:val="18"/>
          <w:color w:val="auto"/>
        </w:rPr>
      </w:pPr>
    </w:p>
    <w:p>
      <w:pPr>
        <w:ind w:left="320" w:right="240" w:hanging="313"/>
        <w:spacing w:after="0" w:line="278" w:lineRule="auto"/>
        <w:tabs>
          <w:tab w:leader="none" w:pos="2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activism against, or change in public sentiment for, oil and natural gas exploration, development, and production activities and considerations including climate change and the transition to a lower carbon economy;</w:t>
      </w:r>
    </w:p>
    <w:p>
      <w:pPr>
        <w:spacing w:after="0" w:line="54" w:lineRule="exact"/>
        <w:rPr>
          <w:rFonts w:ascii="Arial" w:cs="Arial" w:eastAsia="Arial" w:hAnsi="Arial"/>
          <w:sz w:val="18"/>
          <w:szCs w:val="18"/>
          <w:color w:val="auto"/>
        </w:rPr>
      </w:pPr>
    </w:p>
    <w:p>
      <w:pPr>
        <w:ind w:left="320" w:right="140" w:hanging="313"/>
        <w:spacing w:after="0" w:line="278" w:lineRule="auto"/>
        <w:tabs>
          <w:tab w:leader="none" w:pos="2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occurrence or threat of epidemics or pandemics, such as the outbreak of COVID-19, or any government response to such occurrence or threat which may lower the demand for hydrocarbon fuels;</w:t>
      </w:r>
    </w:p>
    <w:p>
      <w:pPr>
        <w:spacing w:after="0" w:line="54" w:lineRule="exact"/>
        <w:rPr>
          <w:rFonts w:ascii="Arial" w:cs="Arial" w:eastAsia="Arial" w:hAnsi="Arial"/>
          <w:sz w:val="18"/>
          <w:szCs w:val="18"/>
          <w:color w:val="auto"/>
        </w:rPr>
      </w:pPr>
    </w:p>
    <w:p>
      <w:pPr>
        <w:ind w:left="320" w:right="600" w:hanging="313"/>
        <w:spacing w:after="0" w:line="278" w:lineRule="auto"/>
        <w:tabs>
          <w:tab w:leader="none" w:pos="2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foreign governmental regulations, taxes and other actions, including tariffs, economic sanctions and further legislation requiring, subsidizing or providing tax benefits for the use or generation of alternative energy sources and fuels; and</w:t>
      </w:r>
    </w:p>
    <w:p>
      <w:pPr>
        <w:spacing w:after="0" w:line="54" w:lineRule="exact"/>
        <w:rPr>
          <w:rFonts w:ascii="Arial" w:cs="Arial" w:eastAsia="Arial" w:hAnsi="Arial"/>
          <w:sz w:val="18"/>
          <w:szCs w:val="18"/>
          <w:color w:val="auto"/>
        </w:rPr>
      </w:pPr>
    </w:p>
    <w:p>
      <w:pPr>
        <w:ind w:left="300" w:hanging="293"/>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worldwide, including inflationary conditions and related governmental policies and interventions.</w:t>
      </w:r>
    </w:p>
    <w:p>
      <w:pPr>
        <w:spacing w:after="0" w:line="11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West Texas Intermediate (WTI) crude oil prices averaged $75.72 per BBL in 2024, compared to $77.62 in 2023 and $ 94.23 in 2022. Certain U.S. and Canadian crude oils are priced from oil indices other than WTI, and these indices are influenced by different supply and demand forces than those that affect WTI prices. The most common crude oil indices used to price the Company’s crude include Mars, WTI Houston (MEH), Heavy Louisiana Sweet (HLS) and Brent.</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average New York Mercantile Exchange (NYMEX) natural gas sales price was $2.24 per million British Thermal Units (MMBTU) in 2024, compared to $2.53 in 2023 and $6.38 in 2022. The Company also has exposure to the Canadian benchmark natural gas price, Alberta Energy Company (AECO), which averaged C$1.46 per MCF in 2024, compared to C$2.64 in 2023 and C$5.31 in 2022. The Company has entered into certain forward fixed price contracts as detailed in the “</w:t>
      </w:r>
      <w:r>
        <w:rPr>
          <w:rFonts w:ascii="Arial" w:cs="Arial" w:eastAsia="Arial" w:hAnsi="Arial"/>
          <w:sz w:val="18"/>
          <w:szCs w:val="18"/>
          <w:u w:val="single" w:color="auto"/>
          <w:color w:val="0000FF"/>
        </w:rPr>
        <w:t>Outlook</w:t>
      </w:r>
      <w:r>
        <w:rPr>
          <w:rFonts w:ascii="Arial" w:cs="Arial" w:eastAsia="Arial" w:hAnsi="Arial"/>
          <w:sz w:val="18"/>
          <w:szCs w:val="18"/>
          <w:color w:val="auto"/>
        </w:rPr>
        <w:t xml:space="preserve">” section beginning on page </w:t>
      </w:r>
      <w:r>
        <w:rPr>
          <w:rFonts w:ascii="Arial" w:cs="Arial" w:eastAsia="Arial" w:hAnsi="Arial"/>
          <w:sz w:val="18"/>
          <w:szCs w:val="18"/>
          <w:u w:val="single" w:color="auto"/>
          <w:color w:val="0000FF"/>
        </w:rPr>
        <w:t>51</w:t>
      </w:r>
      <w:r>
        <w:rPr>
          <w:rFonts w:ascii="Arial" w:cs="Arial" w:eastAsia="Arial" w:hAnsi="Arial"/>
          <w:sz w:val="18"/>
          <w:szCs w:val="18"/>
          <w:color w:val="auto"/>
        </w:rPr>
        <w:t xml:space="preserve"> and spot contracts providing exposure to other market prices at specific sales points such as Malin (Oregon, U.S.) and Dawn (Ontario, Canada).</w:t>
      </w:r>
    </w:p>
    <w:p>
      <w:pPr>
        <w:spacing w:after="0" w:line="76"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Lower prices, should they occur, will materially and adversely affect our results of operations, cash flows and financial condition. Lower oil and natural gas prices could reduce the amount of oil and natural gas that the Company can economically produce, resulting in a reduction in the proved oil and natural gas reserves we could recognize, which could impact the recoverability and carrying value of our assets. The Company cannot predict how changes in the sales prices of oil and natural gas will affect the results of operations in future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Lower oil and natural gas prices adversely affect the Company in several ways:</w:t>
      </w:r>
    </w:p>
    <w:p>
      <w:pPr>
        <w:spacing w:after="0" w:line="145" w:lineRule="exact"/>
        <w:rPr>
          <w:sz w:val="20"/>
          <w:szCs w:val="20"/>
          <w:color w:val="auto"/>
        </w:rPr>
      </w:pPr>
    </w:p>
    <w:p>
      <w:pPr>
        <w:ind w:left="300" w:hanging="293"/>
        <w:spacing w:after="0"/>
        <w:tabs>
          <w:tab w:leader="none" w:pos="300" w:val="left"/>
        </w:tabs>
        <w:numPr>
          <w:ilvl w:val="0"/>
          <w:numId w:val="11"/>
        </w:numPr>
        <w:rPr>
          <w:rFonts w:ascii="Arial" w:cs="Arial" w:eastAsia="Arial" w:hAnsi="Arial"/>
          <w:sz w:val="21"/>
          <w:szCs w:val="21"/>
          <w:color w:val="auto"/>
        </w:rPr>
      </w:pPr>
      <w:r>
        <w:rPr>
          <w:rFonts w:ascii="Arial" w:cs="Arial" w:eastAsia="Arial" w:hAnsi="Arial"/>
          <w:sz w:val="18"/>
          <w:szCs w:val="18"/>
          <w:color w:val="auto"/>
        </w:rPr>
        <w:t>Lower sales value for the Company’s oil and natural gas production reduces cash flows and net income.</w:t>
      </w:r>
    </w:p>
    <w:p>
      <w:pPr>
        <w:spacing w:after="0" w:line="127" w:lineRule="exact"/>
        <w:rPr>
          <w:rFonts w:ascii="Arial" w:cs="Arial" w:eastAsia="Arial" w:hAnsi="Arial"/>
          <w:sz w:val="21"/>
          <w:szCs w:val="21"/>
          <w:color w:val="auto"/>
        </w:rPr>
      </w:pPr>
    </w:p>
    <w:p>
      <w:pPr>
        <w:ind w:left="320" w:right="560" w:hanging="313"/>
        <w:spacing w:after="0" w:line="239" w:lineRule="auto"/>
        <w:tabs>
          <w:tab w:leader="none" w:pos="288" w:val="left"/>
        </w:tabs>
        <w:numPr>
          <w:ilvl w:val="0"/>
          <w:numId w:val="11"/>
        </w:numPr>
        <w:rPr>
          <w:rFonts w:ascii="Arial" w:cs="Arial" w:eastAsia="Arial" w:hAnsi="Arial"/>
          <w:sz w:val="21"/>
          <w:szCs w:val="21"/>
          <w:color w:val="auto"/>
        </w:rPr>
      </w:pPr>
      <w:r>
        <w:rPr>
          <w:rFonts w:ascii="Arial" w:cs="Arial" w:eastAsia="Arial" w:hAnsi="Arial"/>
          <w:sz w:val="18"/>
          <w:szCs w:val="18"/>
          <w:color w:val="auto"/>
        </w:rPr>
        <w:t>Lower cash flows may cause the Company to reduce its capital expenditure program, thereby potentially restricting its ability to grow production and add proved reserves.</w:t>
      </w:r>
    </w:p>
    <w:p>
      <w:pPr>
        <w:spacing w:after="0" w:line="119" w:lineRule="exact"/>
        <w:rPr>
          <w:rFonts w:ascii="Arial" w:cs="Arial" w:eastAsia="Arial" w:hAnsi="Arial"/>
          <w:sz w:val="21"/>
          <w:szCs w:val="21"/>
          <w:color w:val="auto"/>
        </w:rPr>
      </w:pPr>
    </w:p>
    <w:p>
      <w:pPr>
        <w:ind w:left="300" w:hanging="293"/>
        <w:spacing w:after="0"/>
        <w:tabs>
          <w:tab w:leader="none" w:pos="300" w:val="left"/>
        </w:tabs>
        <w:numPr>
          <w:ilvl w:val="0"/>
          <w:numId w:val="11"/>
        </w:numPr>
        <w:rPr>
          <w:rFonts w:ascii="Arial" w:cs="Arial" w:eastAsia="Arial" w:hAnsi="Arial"/>
          <w:sz w:val="21"/>
          <w:szCs w:val="21"/>
          <w:color w:val="auto"/>
        </w:rPr>
      </w:pPr>
      <w:r>
        <w:rPr>
          <w:rFonts w:ascii="Arial" w:cs="Arial" w:eastAsia="Arial" w:hAnsi="Arial"/>
          <w:sz w:val="18"/>
          <w:szCs w:val="18"/>
          <w:color w:val="auto"/>
        </w:rPr>
        <w:t>Lower oil and natural gas prices could lead to impairment charges in future periods, therefore reducing net income.</w:t>
      </w:r>
    </w:p>
    <w:p>
      <w:pPr>
        <w:spacing w:after="0" w:line="140" w:lineRule="exact"/>
        <w:rPr>
          <w:rFonts w:ascii="Arial" w:cs="Arial" w:eastAsia="Arial" w:hAnsi="Arial"/>
          <w:sz w:val="21"/>
          <w:szCs w:val="21"/>
          <w:color w:val="auto"/>
        </w:rPr>
      </w:pPr>
    </w:p>
    <w:p>
      <w:pPr>
        <w:ind w:left="320" w:right="80" w:hanging="313"/>
        <w:spacing w:after="0" w:line="242" w:lineRule="auto"/>
        <w:tabs>
          <w:tab w:leader="none" w:pos="288" w:val="left"/>
        </w:tabs>
        <w:numPr>
          <w:ilvl w:val="0"/>
          <w:numId w:val="11"/>
        </w:numPr>
        <w:rPr>
          <w:rFonts w:ascii="Arial" w:cs="Arial" w:eastAsia="Arial" w:hAnsi="Arial"/>
          <w:sz w:val="21"/>
          <w:szCs w:val="21"/>
          <w:color w:val="auto"/>
        </w:rPr>
      </w:pPr>
      <w:r>
        <w:rPr>
          <w:rFonts w:ascii="Arial" w:cs="Arial" w:eastAsia="Arial" w:hAnsi="Arial"/>
          <w:sz w:val="18"/>
          <w:szCs w:val="18"/>
          <w:color w:val="auto"/>
        </w:rPr>
        <w:t>Reductions in oil and natural gas prices could lead to reductions in the Company’s proved reserves in future years. Low prices could make a portion of the Company’s proved reserves uneconomic, which in turn could lead to the removal of certain of the Company’s year-end reported proved oil reserves in future periods. These reserve reductions could be significant.</w:t>
      </w:r>
    </w:p>
    <w:p>
      <w:pPr>
        <w:spacing w:after="0" w:line="87" w:lineRule="exact"/>
        <w:rPr>
          <w:rFonts w:ascii="Arial" w:cs="Arial" w:eastAsia="Arial" w:hAnsi="Arial"/>
          <w:sz w:val="21"/>
          <w:szCs w:val="21"/>
          <w:color w:val="auto"/>
        </w:rPr>
      </w:pPr>
    </w:p>
    <w:p>
      <w:pPr>
        <w:ind w:left="320" w:hanging="313"/>
        <w:spacing w:after="0" w:line="278" w:lineRule="auto"/>
        <w:tabs>
          <w:tab w:leader="none" w:pos="2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oil and natural gas prices could lead to an inability to access, renew, or replace credit facilities, and could also impair access to other sources of funding as these mature, potentially negatively impacting our liquidity.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 w:hanging="293"/>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prices for oil and natural gas could cause the Company to lower its dividend because of lower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for additional information on the derivative instruments used to manage certain risks related to commodity prices.</w:t>
      </w:r>
    </w:p>
    <w:p>
      <w:pPr>
        <w:spacing w:after="0" w:line="112"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b w:val="1"/>
          <w:bCs w:val="1"/>
          <w:color w:val="auto"/>
        </w:rPr>
        <w:t>Murphy’s commodity price risk management may limit the Company’s ability to fully benefit from potential future price increases for oil and natural gas.</w:t>
      </w:r>
    </w:p>
    <w:p>
      <w:pPr>
        <w:spacing w:after="0" w:line="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Company, from time to time, enters into various contracts to protect its cash flows against lower oil and natural gas prices. To the extent that the Company enters into these contracts and in the event that prices for oil and natural gas increase in future periods, the Company will not fully benefit from the price improvement on all production. 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for additional information on the derivative instruments used to manage certain risks related to commodity prices.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 Factors</w:t>
      </w:r>
    </w:p>
    <w:p>
      <w:pPr>
        <w:spacing w:after="0" w:line="11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b w:val="1"/>
          <w:bCs w:val="1"/>
          <w:color w:val="auto"/>
        </w:rPr>
        <w:t>Murphy operates in highly competitive environments which could adversely affect it in many ways, including its profitability, cash flows and its ability to grow.</w:t>
      </w:r>
    </w:p>
    <w:p>
      <w:pPr>
        <w:spacing w:after="0" w:line="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Murphy operates in the oil and natural gas industry and experiences competition from other oil and natural gas companies, which include major integrated oil companies, independent producers of oil and natural gas, and state-owned foreign oil companies. Many of the major integrated and state-owned oil companies and some of the independent producers that compete with the Company have substantially greater resources than Murphy.</w:t>
      </w:r>
    </w:p>
    <w:p>
      <w:pPr>
        <w:spacing w:after="0" w:line="7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In addition, the oil industry as a whole competes with other industries in supplying energy requirements around the world. Within the industry, Murphy competes for, among other things, valuable acreage positions, exploration licenses, drilling equipment and talent.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drilling results can significantly affect the Company’s operating results.</w:t>
      </w:r>
    </w:p>
    <w:p>
      <w:pPr>
        <w:spacing w:after="0" w:line="1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drills exploratory wells which subject its exploration and production operating results to exposure to dry hole expense, which has in the past, and may in the future, adversely affect our results of operations. The Company plans to continue assessing exploration activities as part of its overall strategy. In 2024, the Company participated in four exploration wells. The Hai Su Vang-1X (Golden Sea Lion), Block 15/2-17 exploration well, located in offshore Vietnam, and the non-operated Ocotillo #1 (Mississippi Canyon 40) exploration well, located in the Gulf of America, resulted in commercial discoveries while the Sebastian #1 (Mississippi Canyon 387) and non-operated Orange #1 (Mississippi Canyon 216) wells, located in the Gulf of America, did not encounter commercial hydrocarbons. Additionally, the Company expensed previously suspended costs associated with the Hoffe Park #1 (Mississippi Canyon 166) well which was determined to be non-commercial. The Company has budgeted $145 million for its 2025 exploration program, which includes drilling two wells in Vietnam, two wells in the Gulf of America, and one well in Côte d’Ivoire.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Murphy cannot replace its oil and natural gas reserves, it may not be able to sustain or grow its business.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Murphy continually depletes its oil and natural gas reserves as production occurs. To sustain and grow its business, the Company must successfully replace the oil and natural gas it produces with additional reserves. Therefore, it must create and maintain a portfolio of good prospects for future reserves additions and production. The Company must find, acquire or develop, and produce reserves at a competitive cost to be successful in the long-term. Murphy’s ability to operate profitably in the exploration and production business, therefore, is dependent on its ability to find (and/or acquire), develop and produce oil and natural gas reserves at costs that are less than the realized sales price for these products.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Murphy’s proved reserves are based on the professional judgment of its engineers and may be subject to revision.</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Proved reserves of crude oil, natural gas and NGLs included in this report on pages </w:t>
      </w:r>
      <w:r>
        <w:rPr>
          <w:rFonts w:ascii="Arial" w:cs="Arial" w:eastAsia="Arial" w:hAnsi="Arial"/>
          <w:sz w:val="18"/>
          <w:szCs w:val="18"/>
          <w:u w:val="single" w:color="auto"/>
          <w:color w:val="0000FF"/>
        </w:rPr>
        <w:t>106</w:t>
      </w:r>
      <w:r>
        <w:rPr>
          <w:rFonts w:ascii="Arial" w:cs="Arial" w:eastAsia="Arial" w:hAnsi="Arial"/>
          <w:sz w:val="18"/>
          <w:szCs w:val="18"/>
          <w:color w:val="auto"/>
        </w:rPr>
        <w:t xml:space="preserve"> through </w:t>
      </w:r>
      <w:r>
        <w:rPr>
          <w:rFonts w:ascii="Arial" w:cs="Arial" w:eastAsia="Arial" w:hAnsi="Arial"/>
          <w:sz w:val="18"/>
          <w:szCs w:val="18"/>
          <w:u w:val="single" w:color="auto"/>
          <w:color w:val="0000FF"/>
        </w:rPr>
        <w:t>115</w:t>
      </w:r>
      <w:r>
        <w:rPr>
          <w:rFonts w:ascii="Arial" w:cs="Arial" w:eastAsia="Arial" w:hAnsi="Arial"/>
          <w:sz w:val="18"/>
          <w:szCs w:val="18"/>
          <w:color w:val="auto"/>
        </w:rPr>
        <w:t xml:space="preserve"> have been prepared according to the SEC guidelines by qualified company personnel or qualified independent engineers based on an unweighted average of crude oil, natural gas and NGL prices in effect at the beginning of each month of the respective year as well as other conditions and information available at the time the estimates were prepared. Estimation of reserves is a subjective process that involves professional judgment by engineers about volumes to be recovered in future periods from underground oil and natural gas reservoirs. Estimates of economically</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recoverable crude oil, natural gas and NGL reserves and future net cash flows depend upon a number of variable factors and assumptions, and consequently, different engineers could arrive at different estimates of reserves and future net cash flows based on the same available data and using industry accepted engineering practices and scientific methods. In 2024, 71.6% of the proved reserves were audited by third-party auditors.</w:t>
      </w:r>
    </w:p>
    <w:p>
      <w:pPr>
        <w:spacing w:after="0" w:line="75"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Murphy’s actual future oil and natural gas production may vary substantially from its reported quantity of proved reserves due to a number of factors, including:</w:t>
      </w:r>
    </w:p>
    <w:p>
      <w:pPr>
        <w:spacing w:after="0" w:line="87" w:lineRule="exact"/>
        <w:rPr>
          <w:sz w:val="20"/>
          <w:szCs w:val="20"/>
          <w:color w:val="auto"/>
        </w:rPr>
      </w:pPr>
    </w:p>
    <w:p>
      <w:pPr>
        <w:ind w:left="300" w:hanging="293"/>
        <w:spacing w:after="0"/>
        <w:tabs>
          <w:tab w:leader="none" w:pos="300" w:val="left"/>
        </w:tabs>
        <w:numPr>
          <w:ilvl w:val="0"/>
          <w:numId w:val="13"/>
        </w:numPr>
        <w:rPr>
          <w:rFonts w:ascii="Arial" w:cs="Arial" w:eastAsia="Arial" w:hAnsi="Arial"/>
          <w:sz w:val="21"/>
          <w:szCs w:val="21"/>
          <w:color w:val="auto"/>
        </w:rPr>
      </w:pPr>
      <w:r>
        <w:rPr>
          <w:rFonts w:ascii="Arial" w:cs="Arial" w:eastAsia="Arial" w:hAnsi="Arial"/>
          <w:sz w:val="18"/>
          <w:szCs w:val="18"/>
          <w:color w:val="auto"/>
        </w:rPr>
        <w:t>Oil and natural gas prices which are materially different from prices used to compute proved reserves;</w:t>
      </w:r>
    </w:p>
    <w:p>
      <w:pPr>
        <w:spacing w:after="0" w:line="119" w:lineRule="exact"/>
        <w:rPr>
          <w:rFonts w:ascii="Arial" w:cs="Arial" w:eastAsia="Arial" w:hAnsi="Arial"/>
          <w:sz w:val="21"/>
          <w:szCs w:val="21"/>
          <w:color w:val="auto"/>
        </w:rPr>
      </w:pPr>
    </w:p>
    <w:p>
      <w:pPr>
        <w:ind w:left="300" w:hanging="293"/>
        <w:spacing w:after="0"/>
        <w:tabs>
          <w:tab w:leader="none" w:pos="300" w:val="left"/>
        </w:tabs>
        <w:numPr>
          <w:ilvl w:val="0"/>
          <w:numId w:val="13"/>
        </w:numPr>
        <w:rPr>
          <w:rFonts w:ascii="Arial" w:cs="Arial" w:eastAsia="Arial" w:hAnsi="Arial"/>
          <w:sz w:val="21"/>
          <w:szCs w:val="21"/>
          <w:color w:val="auto"/>
        </w:rPr>
      </w:pPr>
      <w:r>
        <w:rPr>
          <w:rFonts w:ascii="Arial" w:cs="Arial" w:eastAsia="Arial" w:hAnsi="Arial"/>
          <w:sz w:val="18"/>
          <w:szCs w:val="18"/>
          <w:color w:val="auto"/>
        </w:rPr>
        <w:t>Operating and/or capital costs which are materially different from those assumed to compute proved reserves;</w:t>
      </w:r>
    </w:p>
    <w:p>
      <w:pPr>
        <w:spacing w:after="0" w:line="119" w:lineRule="exact"/>
        <w:rPr>
          <w:rFonts w:ascii="Arial" w:cs="Arial" w:eastAsia="Arial" w:hAnsi="Arial"/>
          <w:sz w:val="21"/>
          <w:szCs w:val="21"/>
          <w:color w:val="auto"/>
        </w:rPr>
      </w:pPr>
    </w:p>
    <w:p>
      <w:pPr>
        <w:ind w:left="300" w:hanging="293"/>
        <w:spacing w:after="0"/>
        <w:tabs>
          <w:tab w:leader="none" w:pos="300" w:val="left"/>
        </w:tabs>
        <w:numPr>
          <w:ilvl w:val="0"/>
          <w:numId w:val="13"/>
        </w:numPr>
        <w:rPr>
          <w:rFonts w:ascii="Arial" w:cs="Arial" w:eastAsia="Arial" w:hAnsi="Arial"/>
          <w:sz w:val="21"/>
          <w:szCs w:val="21"/>
          <w:color w:val="auto"/>
        </w:rPr>
      </w:pPr>
      <w:r>
        <w:rPr>
          <w:rFonts w:ascii="Arial" w:cs="Arial" w:eastAsia="Arial" w:hAnsi="Arial"/>
          <w:sz w:val="18"/>
          <w:szCs w:val="18"/>
          <w:color w:val="auto"/>
        </w:rPr>
        <w:t>Future reservoir performance which is materially different from models used to compute proved reserves; and</w:t>
      </w:r>
    </w:p>
    <w:p>
      <w:pPr>
        <w:spacing w:after="0" w:line="132" w:lineRule="exact"/>
        <w:rPr>
          <w:rFonts w:ascii="Arial" w:cs="Arial" w:eastAsia="Arial" w:hAnsi="Arial"/>
          <w:sz w:val="21"/>
          <w:szCs w:val="21"/>
          <w:color w:val="auto"/>
        </w:rPr>
      </w:pPr>
    </w:p>
    <w:p>
      <w:pPr>
        <w:ind w:left="300" w:hanging="293"/>
        <w:spacing w:after="0"/>
        <w:tabs>
          <w:tab w:leader="none" w:pos="300" w:val="left"/>
        </w:tabs>
        <w:numPr>
          <w:ilvl w:val="0"/>
          <w:numId w:val="13"/>
        </w:numPr>
        <w:rPr>
          <w:rFonts w:ascii="Arial" w:cs="Arial" w:eastAsia="Arial" w:hAnsi="Arial"/>
          <w:sz w:val="21"/>
          <w:szCs w:val="21"/>
          <w:color w:val="auto"/>
        </w:rPr>
      </w:pPr>
      <w:r>
        <w:rPr>
          <w:rFonts w:ascii="Arial" w:cs="Arial" w:eastAsia="Arial" w:hAnsi="Arial"/>
          <w:sz w:val="18"/>
          <w:szCs w:val="18"/>
          <w:color w:val="auto"/>
        </w:rPr>
        <w:t>Governmental regulations or actions which materially impact operations of a field.</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proved undeveloped reserves represent significant portions of total proved reserves. As of December 31, 2024, and including noncontrolling interests, approximately 33% of the Company’s crude oil proved reserves, 38% of NGL proved reserves and 45% of natural gas proved reserves are undeveloped. The ability of the Company to reclassify these undeveloped proved reserves to the proved developed classification is generally dependent on the successful completion of one or more operations, which might include further development drilling, construction of facilities or pipelines and well workovers.</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discounted future net revenues from our proved reserves as reported on pages </w:t>
      </w:r>
      <w:r>
        <w:rPr>
          <w:rFonts w:ascii="Arial" w:cs="Arial" w:eastAsia="Arial" w:hAnsi="Arial"/>
          <w:sz w:val="18"/>
          <w:szCs w:val="18"/>
          <w:u w:val="single" w:color="auto"/>
          <w:color w:val="0000FF"/>
        </w:rPr>
        <w:t>119</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120</w:t>
      </w:r>
      <w:r>
        <w:rPr>
          <w:rFonts w:ascii="Arial" w:cs="Arial" w:eastAsia="Arial" w:hAnsi="Arial"/>
          <w:sz w:val="18"/>
          <w:szCs w:val="18"/>
          <w:color w:val="auto"/>
        </w:rPr>
        <w:t xml:space="preserve"> should not be considered as the market value of the reserves attributable to our properties. As required by U.S. generally accepted accounting principles (GAAP), the estimated discounted future net revenues from our proved reserves are based on an unweighted average of the oil and natural gas prices in effect at the beginning of each month during the year. Actual future prices and costs may be materially higher or lower than those used in the reserves computations.</w:t>
      </w:r>
    </w:p>
    <w:p>
      <w:pPr>
        <w:spacing w:after="0" w:line="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addition, the 10% discount factor that is required to be used to calculate discounted future net revenues for reporting purposes under GAAP is not necessarily the most appropriate discount factor based on our cost of capital, the risks associated with our business and the risk associated with the industry in general.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is reliant on certain third party infrastructure to develop projects and operations.</w:t>
      </w:r>
    </w:p>
    <w:p>
      <w:pPr>
        <w:spacing w:after="0" w:line="11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Company relies on the availability and capacity of infrastructure, such as transportation and processing facilities, and equipment that are often owned and operated by others. These third-party systems, facilities, and equipment may not always be available to the Company and, if available, may not be available at a price that is acceptable to the Company. The unavailability or high cost of such equipment or infrastructure could adversely affect our ability to establish and execute exploration and development plans within budget and on a timely basis, which could have a material adverse effect on our business, financial condition, results of operations and cash flows.</w:t>
      </w:r>
    </w:p>
    <w:p>
      <w:pPr>
        <w:spacing w:after="0" w:line="7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Our inability to access appropriate equipment and infrastructure in a timely manner and on acceptable terms may hinder our access to oil and natural gas markets or delay our oil and natural gas production.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is sometimes reliant on joint venture partners for operating assets, and/or funding development projects and operations.</w:t>
      </w:r>
    </w:p>
    <w:p>
      <w:pPr>
        <w:spacing w:after="0" w:line="11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Certain of the Company’s major oil and natural gas producing properties are operated by others. Therefore, Murphy does not fully control all activities at certain of its revenue generating properties. During 2024, approximately 21% of the Company’s total production was at fields operated by others, while at December 31, 2024, approximately 14% of the Company’s total proved reserves were at fields operated by others.</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Some of Murphy’s development projects entail significant capital expenditures and have long development cycle times. As a result, the Company’s partners must be able to fund their share of investment costs through the development cycle, through cash flow from operations, external credit facilities, or other sources, including financing arrangements. Murphy’s partners are also susceptible to certain of the risk factors noted herein,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including, but not limited to, commodity prices, fiscal regime changes, government project approval delays, regulatory changes, credit downgrades and regional conflict. If one or more of these factors negatively impacts a project operator’s or partners’ cash flows or ability to obtain adequate financing, or if an operator of our projects fails to adequately perform operations or fulfill its obligations under the applicable agreements, it could result in a delay or cancellation of a project, resulting in a reduction of the Company’s reserves and production, which negatively impacts the timing and receipt of planned cash flows and expected profitability.</w:t>
      </w:r>
    </w:p>
    <w:p>
      <w:pPr>
        <w:spacing w:after="0" w:line="74" w:lineRule="exact"/>
        <w:rPr>
          <w:sz w:val="20"/>
          <w:szCs w:val="20"/>
          <w:color w:val="auto"/>
        </w:rPr>
      </w:pPr>
    </w:p>
    <w:p>
      <w:pPr>
        <w:ind w:right="180"/>
        <w:spacing w:after="0" w:line="323" w:lineRule="auto"/>
        <w:rPr>
          <w:sz w:val="20"/>
          <w:szCs w:val="20"/>
          <w:color w:val="auto"/>
        </w:rPr>
      </w:pPr>
      <w:r>
        <w:rPr>
          <w:rFonts w:ascii="Arial" w:cs="Arial" w:eastAsia="Arial" w:hAnsi="Arial"/>
          <w:sz w:val="17"/>
          <w:szCs w:val="17"/>
          <w:b w:val="1"/>
          <w:bCs w:val="1"/>
          <w:color w:val="auto"/>
        </w:rPr>
        <w:t>Murphy’s business is subject to operational hazards, severe weather events, physical security risks and risks normally associated with the exploration and production of oil and natural gas, which could become more significant as a result of climate change.</w:t>
      </w:r>
    </w:p>
    <w:p>
      <w:pPr>
        <w:spacing w:after="0" w:line="1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operates in a variety of locales, including urban, remote, and sometimes inhospitable, areas around the world. The occurrence of an event, including but not limited to acts of nature such as hurricanes, floods, earthquakes (and other forms of severe weather), mechanical equipment failures, industrial accidents, fires, explosions, acts of war, civil unrest, piracy and acts of terrorism could result in the loss of hydrocarbons and associated revenues, environmental pollution or contamination, personal injury (including death), and property damages for which the Company could be deemed to be liable and which could subject the Company to substantial fines and/or claims for punitive damages. This risk extends to actions and operational hazards of other operators in the industry, which may also impact the Company.</w:t>
      </w:r>
    </w:p>
    <w:p>
      <w:pPr>
        <w:spacing w:after="0" w:line="8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location of many of Murphy’s key assets causes the Company to be vulnerable to severe weather, including hurricanes, tropical storms and extreme temperatures. Many of the Company’s offshore fields are in the Gulf of America, where hurricanes and tropical storms can lead to shutdowns and damages. The U.S. hurricane season runs from June through November. Moreover, scientists have predicted that increasing concentrations of GHG in the earth’s atmosphere may produce climate changes that increase significant weather events, such as increased frequency and severity of storms, droughts, floods and other climatic events. If such effects were to occur, our operations could be adversely affected. Although the Company maintains insurance for such risks, due to policy deductibles and possible coverage limits, weather-related risks to our operations are not fully insured. In addition, the physical effects of climate change may generally result in reduced availability of relevant insurance coverage on the market. For additional details on insurance, see “Risk Factors - General Risk Factors – Murphy’s insurance may not be adequate to offset costs associated with certain events, and there can be no assurance that insurance coverage will continue to be available in the future on terms that justify its purchase.”</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certain customer and supplier assets, such as storage terminals, processing facilities, refineries and pipelines, are located in areas that may be prone to severe weather events, including hurricanes, winter storms, floods and major tropical storms, all of which may be exacerbated by climate change. Severe weather events that significantly affect facilities belonging to such customers or suppliers may reduce demand for our products and interrupt our ability to bring products to market and may therefore materially and adversely affect our results of operations, cash flows and financial condition, even if our own facilities escape significant damage.</w:t>
      </w:r>
    </w:p>
    <w:p>
      <w:pPr>
        <w:spacing w:after="0" w:line="74"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b w:val="1"/>
          <w:bCs w:val="1"/>
          <w:color w:val="auto"/>
        </w:rPr>
        <w:t>Hydraulic fracturing operations subject the Company to operational risks inherent in the drilling and production of oil and natural gas.</w:t>
      </w:r>
    </w:p>
    <w:p>
      <w:pPr>
        <w:spacing w:after="0" w:line="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onshore North America oil and natural gas production is dependent on a technique known as hydraulic fracturing whereby water, sand and certain chemicals are injected into deep oil and natural gas bearing reservoirs in North America. This process occurs thousands of feet below the surface and creates fractures in the rock formation within the reservoir which enhances migration of oil and natural gas to the wellbore.</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risks associated with hydraulic fracturing operations include, but are not limited to, underground migration or surface spillage due to releases of oil, natural gas, formation water or well fluids, as well as any related surface or groundwater contamination, including from petroleum constituents or hydraulic fracturing chemical additives. Ineffective containment of surface spillage and surface or groundwater contamination resulting from hydraulic fracturing operations, including from petroleum constituents or hydraulic fracturing chemical additives, could result in environmental pollution, remediation expenses, and third-party claims alleging damages, which could adversely affect the Company’s financial condition and results of operations. In addition, hydraulic fracturing requires significant quantities of water; the wastewater from oil and natural gas operations is often disposed of through underground injection. Certain increased seismic activities have been linked to underground water injection. Any diminished access to water for use in the hydraulic fracturing process, any inability to properly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dispose of wastewater, or any further restrictions placed on wastewater, could curtail the Company’s operations due to regulatory initiatives or natural constraints such as drought or otherwise result in operational delays or increased costs.</w:t>
      </w:r>
    </w:p>
    <w:p>
      <w:pPr>
        <w:spacing w:after="0" w:line="5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b w:val="1"/>
          <w:bCs w:val="1"/>
          <w:color w:val="auto"/>
        </w:rPr>
        <w:t>Murphy is subject to numerous environmental, health and safety laws and regulations, and such existing and any potential future laws and regulations may result in material liabilities and costs.</w:t>
      </w:r>
    </w:p>
    <w:p>
      <w:pPr>
        <w:spacing w:after="0" w:line="3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The Company’s operations are subject to various international, foreign, national, state, provincial and local environmental, health and safety laws, regulations, governmental actions and permit requirements, including related to the generation, storage, handling, use, disposal and remediation of petroleum products, wastewater and hazardous materials; the emission and discharge of such materials to the environment, including methane and other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 laws, regulations, governmental actions and permit requirements are subject to frequent change and have tended to become stricter over time and at times may be motivated by political considerations. They can impose permitting and financial assurance obligations, as well as operational controls and/or siting constraints on our business, and can result in additional capital and operating expenditures. For example, in March 2024, the U.S. EPA published its final rule regulating methane and volatile organic compounds emissions in the oil and gas industry which, among other things, requires periodic inspections to detect leaks (and subsequent repairs), places stringent restrictions on venting and flaring of methane, and establishes a program whereby third parties can monitor and report large methane emissions to the U.S. EPA. In November 2024, the U.S. EPA published its final rule implementing a charge on large emitters of waste methane from the oil and gas sector. The charge, referred to as the WEC, is a component of the Biden Administration’s Methane Emissions Reduction Program to limit methane emissions from the oil and gas industry under the IRA of 2022. In addition, it is possible in the future that certain regulatory bodies such as the Railroad Commission of Texas may enact regulation that bans or reduces flaring for U.S. Onshore operations, and certain regulatory bodies in Canada may decide to revoke permits or pause the issuance of permits as a result of non-compliance with, or litigation related to, environmental, health and safety laws and regulations. Compliance with such regulations could result in capital investment or operating costs which would reduce the Company’s net cash flows and profitability.</w:t>
      </w:r>
    </w:p>
    <w:p>
      <w:pPr>
        <w:spacing w:after="0" w:line="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Murphy also could be subject to strict liability for environmental contamination in various jurisdictions where it operates, including with respect to its current or former properties, operations and waste disposal sites, or those of its predecessors. Contamination has been identified at some locations, and the Company has been required, and in the future may be required, to investigate, remove or remediate previously disposed wastes; or otherwise clean up contaminated soil, surface water or groundwater, address spills and leaks from pipelines and production equipment, and perform remedial plugging operations. In addition to significant investigation and remediation costs, such matters can result in fines and also give rise to third-party claims for personal injury and property or other environmental damage.</w:t>
      </w:r>
    </w:p>
    <w:p>
      <w:pPr>
        <w:spacing w:after="0" w:line="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primarily uses hydraulic fracturing in the Eagle Ford Shale in South Texas and in Kaybob Duvernay and Tupper Montney in Western Canada. Texas law imposes permitting, disclosure, disposal and well construction requirements on hydraulic fracturing operations, as well as public disclosure of certain information regarding the components used in the hydraulic fracturing process. Regulations in the provinces of British Columbia and Alberta also govern various aspects of hydraulic fracturing activities under their jurisdictions. It is possible that Texas, other states in which we may conduct fracturing in the future, the U.S., Canadian provinces and certain municipalities may adopt further laws or regulations which could render the process unlawful, less effective or drive up its costs. If any such action is taken in the future, the Company’s production levels could be adversely affected, or its costs of drilling and completion could be increased. Once new laws and/or regulations have been enacted and adopted, the costs of compliance are appraised.</w:t>
      </w:r>
    </w:p>
    <w:p>
      <w:pPr>
        <w:spacing w:after="0" w:line="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BOEM and the BSEE have regulations applicable to lessees in federal waters that impose various safety, permitting and certification requirements applicable to exploration, development and production activities in the Gulf of America, and also require lessees to have substantial U.S. assets and net worth or post bonds or other acceptable financial assurance that the regulatory obligations will be met. These include, in the Gulf of America, well design, well control, casing, cementing, real-time monitoring, and subsea containment, among other items. Under applicable requirements, BOEM evaluates the financial strength and reliability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lessees and operators active on the U.S. Outer Continental Shelf. If the BOEM determines that a company does not have the financial ability to meet its decommissioning and other obligations, that company will be required to post additional financial security as assurance.</w:t>
      </w:r>
    </w:p>
    <w:p>
      <w:pPr>
        <w:spacing w:after="0" w:line="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various executive orders by the Biden Administration and the Department of Interior over the course of 2021 regarding a temporary suspension of normal-course issuance of permits for fossil fuel development on federal lands and a pause on new oil and natural gas leases on public lands and offshore waters, and the Secretary of the Interior’s overhaul of permitting and leasing regulations and rates, finalized in April 2024, could adversely impact Murphy’s operations. These developments demonstrate the uncertainty regarding the regulation of oil and natural gas related to shifts in political power in the U.S. For further details, see “Risk Factors – General Risk Factors – Murphy’s operations and earnings have been and will continue to be affected by domestic and worldwide political developments.”</w:t>
      </w:r>
    </w:p>
    <w:p>
      <w:pPr>
        <w:spacing w:after="0" w:line="78"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We face various risks associated with increased activism against, or change in public sentiment for, oil and natural gas exploration, development, and production activities and sustainability considerations, including climate change and the transition to a lower carbon economy.</w:t>
      </w:r>
    </w:p>
    <w:p>
      <w:pPr>
        <w:spacing w:after="0" w:line="54"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Opposition toward oil and natural gas drilling, development, and production activity has been growing globally. Companies in the oil and natural gas industry are often the target of activist efforts from both individuals and nongovernmental organizations and other stakeholders regarding safety, human rights, climate change, environmental matters, sustainability, and business practices. Anti</w:t>
      </w:r>
      <w:r>
        <w:rPr>
          <w:rFonts w:ascii="MS PGothic" w:cs="MS PGothic" w:eastAsia="MS PGothic" w:hAnsi="MS PGothic"/>
          <w:sz w:val="17"/>
          <w:szCs w:val="17"/>
          <w:color w:val="auto"/>
        </w:rPr>
        <w:t>‑</w:t>
      </w:r>
      <w:r>
        <w:rPr>
          <w:rFonts w:ascii="Arial" w:cs="Arial" w:eastAsia="Arial" w:hAnsi="Arial"/>
          <w:sz w:val="17"/>
          <w:szCs w:val="17"/>
          <w:color w:val="auto"/>
        </w:rPr>
        <w:t>development activists are working to, among other things, delay or cancel certain operations such as offshore drilling and development or onshore hydraulic fracking.</w:t>
      </w:r>
    </w:p>
    <w:p>
      <w:pPr>
        <w:spacing w:after="0" w:line="8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Activism may continue to increase regardless of the U.S. Administration’s environmental and climate change executive orders described earlier in this Form 10-K report. Our need to incur costs associated with responding to these initiatives or complying with any new legal requirements resulting from these activities that are substantial and not adequately provided for could have a material adverse effect on our business, financial condition and results of operations. In addition, a change in public sentiment regarding the oil and natural gas industry could result in a reduction in the demand for our products or otherwise affect our results of operations or financial condition.</w:t>
      </w:r>
    </w:p>
    <w:p>
      <w:pPr>
        <w:spacing w:after="0" w:line="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face increased scrutiny from investors and other stakeholders related to our sustainability activities, including the goals, targets and objectives we announce, our methodologies and timelines for pursuing them and related disclosures.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While the Company has been named a co-defendant with other oil and natural gas companies in lawsuits related to climate change, these lawsuits have not resulted in, and are not currently expected to result in, material liability for the Company. Depending on the evolution of laws, regulations and litigation outcomes relating to climate change, there can be no guarantee that climate change litigation will not in the future materially adversely affect our results of operations, cash flows and financial condition. For further details on risks related to legal proceedings more generally, see “Risk Factors - General Risk Factors - Lawsuits against Murphy and its subsidiaries could adversely affect its operating results.”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Factors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financing may not always be available to fund Murphy’s activities; and interest rates could impact cash flows.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Murphy usually must spend and risk a significant amount of capital to find and develop reserves before revenue is generated from production. Although most capital needs are funded from operating cash flow, the timing of cash flows from operations and capital funding requirements may not always coincide, and the levels of cash flow generated by operations may not fully cover capital funding requirements, especially in periods of low commodity prices. Therefore, the Company maintains financing arrangements with lending institutions to meet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certain funding needs. The Company periodically renews these financing arrangements based on foreseeable financing needs or as they expire. During the fourth quarter of 2024, the Company entered into a credit agreement governing a $1.35 billion revolving credit facility (RCF). The RCF is a senior unsecured guaranteed facility and will expire in October 2029. As of December 31, 2024, the Company had no outstanding borrowings under the RCF. See </w:t>
      </w:r>
      <w:r>
        <w:rPr>
          <w:rFonts w:ascii="Arial" w:cs="Arial" w:eastAsia="Arial" w:hAnsi="Arial"/>
          <w:sz w:val="18"/>
          <w:szCs w:val="18"/>
          <w:u w:val="single" w:color="auto"/>
          <w:color w:val="0000FF"/>
        </w:rPr>
        <w:t>Note F</w:t>
      </w:r>
      <w:r>
        <w:rPr>
          <w:rFonts w:ascii="Arial" w:cs="Arial" w:eastAsia="Arial" w:hAnsi="Arial"/>
          <w:sz w:val="18"/>
          <w:szCs w:val="18"/>
          <w:color w:val="auto"/>
        </w:rPr>
        <w:t xml:space="preserve"> for further details on the RCF.</w:t>
      </w:r>
    </w:p>
    <w:p>
      <w:pPr>
        <w:spacing w:after="0" w:line="7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Company’s ability to obtain additional financing is affected by a number of factors, including the market environment, our operating and financial performance, investor sentiment, our ability to incur additional debt in compliance with agreements governing our outstanding debt, and the Company’s credit ratings. A ratings downgrade could materially and adversely impact the Company’s ability to access debt markets, increase the borrowing cost under the Company’s credit facility and the cost of any additional indebtedness we incur, and potentially require the Company to post additional letters of credit or other forms of collateral for certain obligations. Murphy partially manages this risk through borrowing at fixed rates wherever possible; however, rates when refinancing or raising new capital are determined by factors outside of the Company’s control.</w:t>
      </w:r>
    </w:p>
    <w:p>
      <w:pPr>
        <w:spacing w:after="0" w:line="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Further, changes in investors’ sentiment or view of risk of the exploration and production industry, including as a result of concerns over climate change, could adversely impact the availability of future financing. Specifically, certain financial institutions (including certain investment advisors and sovereign wealth, pension and endowment funds), in response to concerns related to climate change and the requests and other influence of environmental groups and similar stakeholders, have elected to shift some or all of their investments away from fossil fuel-related sectors, and additional financial institutions and other investors may elect to do likewise in the future. As a result, fewer financial institutions and other investors may be willing to invest in, and provide capital to, companies in the oil and natural gas sector, which, in turn, could adversely impact our cost of capital.</w:t>
      </w:r>
    </w:p>
    <w:p>
      <w:pPr>
        <w:spacing w:after="0" w:line="8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 xml:space="preserve">Since 2022, the Company undertook several actions to reduce overall debt. Murphy plans to continue with the Company’s deleveraging initiatives, but there can be no assurance that these efforts will be successful and, if not, the Company’s financial conditions and prospects could be adversely affected. See </w:t>
      </w:r>
      <w:r>
        <w:rPr>
          <w:rFonts w:ascii="Arial" w:cs="Arial" w:eastAsia="Arial" w:hAnsi="Arial"/>
          <w:sz w:val="18"/>
          <w:szCs w:val="18"/>
          <w:u w:val="single" w:color="auto"/>
          <w:color w:val="0000FF"/>
        </w:rPr>
        <w:t>Note F</w:t>
      </w:r>
      <w:r>
        <w:rPr>
          <w:rFonts w:ascii="Arial" w:cs="Arial" w:eastAsia="Arial" w:hAnsi="Arial"/>
          <w:sz w:val="18"/>
          <w:szCs w:val="18"/>
          <w:color w:val="auto"/>
        </w:rPr>
        <w:t xml:space="preserve"> for information regarding the Company’s outstanding debt as of December 31, 2024.</w:t>
      </w:r>
    </w:p>
    <w:p>
      <w:pPr>
        <w:spacing w:after="0" w:line="68"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b w:val="1"/>
          <w:bCs w:val="1"/>
          <w:color w:val="auto"/>
        </w:rPr>
        <w:t>We may be unable to meet our capital allocation framework of returning a percentage of adjusted free cash flow to shareholders through share repurchases and potential dividend increases, which could decrease expected returns on an investment in our common stock.</w:t>
      </w:r>
    </w:p>
    <w:p>
      <w:pPr>
        <w:spacing w:after="0" w:line="5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capital allocation framework includes returning a percentage of adjusted free cash flow to shareholders through share repurchases and potential dividend increases. We may, from time to time, redeem, repurchase, retire or otherwise acquire our outstanding debt through privately negotiated transactions, open market purchases, redemptions, tender offers or otherwise, but we are under no obligation to do so. There can be no assurance that we will seek to do any of the foregoing or that we will be able to do any of the foregoing on terms acceptable to us or at all.</w:t>
      </w:r>
    </w:p>
    <w:p>
      <w:pPr>
        <w:spacing w:after="0" w:line="7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connection with our capital allocation framework, the Board authorized a share repurchase program, as described in this Form 10-K report. Share repurchases and dividends are authorized and determined by the Board at its sole discretion and depend upon a number of factors, including available liquidity, market conditions, applicable legal requirements and other factors. We can provide no assurance that we will make share repurchases or pay dividends in accordance with our capital allocation framework, or at all. Any elimination of, or downward revision in, our share repurchase program, dividend payment plans, or capital allocation framework could have an adverse effect on the market price of our common stock.</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Meeting our capital allocation framework strategy requires us to generate consistent adjusted free cash flow and have available capital in the years ahead in an amount sufficient to enable us to maintain a conservative capital structure and liquidity position and invest in organic and inorganic growth, as well as to return a significant portion of the cash generated to shareholders through share repurchases and potential dividend increases. The amount of adjusted free cash flow returned in any quarter during the year may vary and may be more or less than our capital allocation framework. We may not meet this goal if we use our available cash to satisfy other priorities, if we have insufficient funds available to repurchase shares or pay dividends, or if the Board determines to change or discontinue share repurchases or dividend payments.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Murphy’s operations could be adversely affected by changes in foreign exchange rates.</w:t>
      </w:r>
    </w:p>
    <w:p>
      <w:pPr>
        <w:spacing w:after="0" w:line="11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 xml:space="preserve">The Company’s worldwide operational scope exposes it to risks associated with foreign currencies. Most of the Company’s business is transacted in U.S. dollars, and therefore the Company and most of its subsidiaries are U.S. dollar functional entities for accounting purposes. However, the Canadian dollar is the functional currency for all Canadian operations. This exposure to currencies other than the U.S. dollar functional currency can lead to impacts on consolidated financial results from foreign currency translation. On occasions, the Canadian business may hold assets or incur liabilities denominated in a currency which is not Canadian dollars which could lead to exposure to foreign exchange rate fluctuations. The Company operates in various regions around the world which inherently introduces exposure to changes in foreign exchange rates when transacting in local currencies. See also </w:t>
      </w:r>
      <w:r>
        <w:rPr>
          <w:rFonts w:ascii="Arial" w:cs="Arial" w:eastAsia="Arial" w:hAnsi="Arial"/>
          <w:sz w:val="17"/>
          <w:szCs w:val="17"/>
          <w:u w:val="single" w:color="auto"/>
          <w:color w:val="0000FF"/>
        </w:rPr>
        <w:t>Note K</w:t>
      </w:r>
      <w:r>
        <w:rPr>
          <w:rFonts w:ascii="Arial" w:cs="Arial" w:eastAsia="Arial" w:hAnsi="Arial"/>
          <w:sz w:val="17"/>
          <w:szCs w:val="17"/>
          <w:color w:val="auto"/>
        </w:rPr>
        <w:t xml:space="preserve"> for additional information on derivative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costs and funding requirements related to the Company’s retirement plans are affected by several factors.</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number of actuarial assumptions impact funding requirements for the Company’s retirement plans. The most significant of these assumptions include return on assets, long-term interest rates and mortality. If the actual results for the plans vary significantly from the actuarial assumptions used, or if laws regulating such retirement plans are changed, Murphy could be required to make more significant funding payments to one or more of its retirement plans in the future and/or it could be required to record a larger liability for future obligations in its Consolidated Balance Sheet.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has limited control over supply chain costs.</w:t>
      </w:r>
    </w:p>
    <w:p>
      <w:pPr>
        <w:spacing w:after="0" w:line="11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often experiences pressure on its operating and capital expenditures in periods of strong crude oil and natural gas prices because an increase in exploration and production activities due to high oil and natural gas sales prices generally leads to higher demand for, and consequently higher costs for, goods and services in the oil and natural gas industry. In addition, periods of inflationary pressure in the wider economy, as seen during 2022, can also lead to a similar increase in the cost of goods and services for the Company. Murphy has a dedicated department focused on managing supply chain and input costs. Murphy also has certain transportation, processing and production handling services costs fixed through long-term contracts and commitments and therefore is partly protected from the increasing price of services. However, from time to time, Murphy will seek to enter new commitments, exercise options to extend contracts and retender contracts for rigs and other industry services which could expose Murphy to the impact of higher prices.</w:t>
      </w:r>
    </w:p>
    <w:p>
      <w:pPr>
        <w:spacing w:after="0" w:line="7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b w:val="1"/>
          <w:bCs w:val="1"/>
          <w:color w:val="auto"/>
        </w:rPr>
        <w:t>The Company is exposed to credit risks associated with (i) sales of certain of its products to customers, (ii) joint venture partners and (iii) other counterparties.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Murphy is exposed to credit risk in three principal areas:</w:t>
      </w:r>
    </w:p>
    <w:p>
      <w:pPr>
        <w:spacing w:after="0" w:line="114" w:lineRule="exact"/>
        <w:rPr>
          <w:sz w:val="20"/>
          <w:szCs w:val="20"/>
          <w:color w:val="auto"/>
        </w:rPr>
      </w:pPr>
    </w:p>
    <w:p>
      <w:pPr>
        <w:ind w:left="300" w:hanging="293"/>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receivable credit risk from selling its produced commodity to customers;</w:t>
      </w:r>
    </w:p>
    <w:p>
      <w:pPr>
        <w:spacing w:after="0" w:line="113" w:lineRule="exact"/>
        <w:rPr>
          <w:rFonts w:ascii="Arial" w:cs="Arial" w:eastAsia="Arial" w:hAnsi="Arial"/>
          <w:sz w:val="18"/>
          <w:szCs w:val="18"/>
          <w:color w:val="auto"/>
        </w:rPr>
      </w:pPr>
    </w:p>
    <w:p>
      <w:pPr>
        <w:ind w:left="320" w:right="700" w:hanging="313"/>
        <w:spacing w:after="0" w:line="278" w:lineRule="auto"/>
        <w:tabs>
          <w:tab w:leader="none" w:pos="2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venture partners related to certain oil and natural gas properties operated by the Company that may not be able to meet their financial obligation to pay for their share of capital and operating costs as they become due; and</w:t>
      </w:r>
    </w:p>
    <w:p>
      <w:pPr>
        <w:spacing w:after="0" w:line="54" w:lineRule="exact"/>
        <w:rPr>
          <w:rFonts w:ascii="Arial" w:cs="Arial" w:eastAsia="Arial" w:hAnsi="Arial"/>
          <w:sz w:val="18"/>
          <w:szCs w:val="18"/>
          <w:color w:val="auto"/>
        </w:rPr>
      </w:pPr>
    </w:p>
    <w:p>
      <w:pPr>
        <w:ind w:left="320" w:right="420" w:hanging="313"/>
        <w:spacing w:after="0" w:line="278" w:lineRule="auto"/>
        <w:tabs>
          <w:tab w:leader="none" w:pos="2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Counterparty credit risk related to forward price commodity hedge contracts to protect the Company’s cash flows against lower oil and natural gas prices.</w:t>
      </w:r>
    </w:p>
    <w:p>
      <w:pPr>
        <w:spacing w:after="0" w:line="5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inability of a purchaser of the Company’s produced commodity, a joint venture partner of the Company, or counterparty in a forward price commodity hedge to meet their respective payment obligations to the Company could have an adverse effect on Murphy’s future earnings and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4"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color w:val="auto"/>
        </w:rPr>
        <w:t>We face various risks related to health epidemics, pandemics and similar outbreaks, which may have material adverse effects on our business, financial position, results of operations and/or cash flows.</w:t>
      </w:r>
    </w:p>
    <w:p>
      <w:pPr>
        <w:spacing w:after="0" w:line="3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future impact of any health epidemic, pandemic (such as COVID-19) or similar outbreak cannot be predicted, and any resurgence of disease may cause additional volatility in commodity prices. See “Risk Factors - Price Risk Factors – Volatility in the global prices of crude oil, natural gas and NGLs can significantly affect the Company’s operating results.”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significant portions of our workforce are unable to work effectively, including because of illness, quarantines, government actions, facility closures or other restrictions in connection with an epidemic, pandemic or similar outbreak, our operations will likely be impacted and our ability to produce oil, natural gas and NGLs will likely decrease. We may be unable to perform fully on our commitments, and our costs may increase as a result of such epidemic, pandemic or similar outbreak. These cost increases may not be fully recoverable or adequately covered by insurance.</w:t>
      </w:r>
    </w:p>
    <w:p>
      <w:pPr>
        <w:spacing w:after="0" w:line="76"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color w:val="auto"/>
        </w:rPr>
        <w:t>In addition, an epidemic, pandemic or similar outbreak could also cause disruption in our supply chain; cause delay or limit the ability of vendors and customers to perform, including in making timely payments to us; and cause other unpredictable events.</w:t>
      </w:r>
    </w:p>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predict the impact of an epidemic, pandemic or similar outbreak. The extent to which any such epidemics, pandemics or similar outbreaks may impact our results will depend on future developments, including, among other factors, the duration and spread of the virus and its variants, availability, acceptance and effectiveness of vaccines along with related travel advisories, quarantines and restrictions, the recovery time of the disrupted supply chains and industries, the impact of labor market interruptions, and the impact of government interventions.</w:t>
      </w:r>
    </w:p>
    <w:p>
      <w:pPr>
        <w:spacing w:after="0" w:line="74"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b w:val="1"/>
          <w:bCs w:val="1"/>
          <w:color w:val="auto"/>
        </w:rPr>
        <w:t>Changes in U.S. and international tax rules and regulations, or interpretations thereof, may materially and adversely affect our cash flows, results of operations and financial condition.</w:t>
      </w:r>
    </w:p>
    <w:p>
      <w:pPr>
        <w:spacing w:after="0" w:line="3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are subject to income- and non-income-based taxes in the U.S. under federal, state and local jurisdictions and in the foreign jurisdictions in which we operate. Tax laws and regulations, or their interpretation, and administrative practices in various jurisdictions may be subject to significant change, with or without advance notice, due to economic, political and other conditions, and significant judgment is required in evaluating and estimating our provision and accruals for these taxes. Our tax liabilities could be affected by numerous factors, such as changes in tax, accounting and other laws, regulations, administrative practices, principles and interpretations, the mix and level of earnings in a given taxing jurisdiction or our ownership or capital structure. In recent years, multiple domestic and international tax proposals have been introduced that, if enacted into law would impose greater tax burdens on certain multinational enterprises. For example, the Organization for Economic Co-operation and Development (OECD) continues to advance proposals or guidance in international taxation, including the establishment of model rules for a new 15% global minimum tax on certain multinational enterprises, also known as Pillar Two. Many countries have implemented or are in the process of implementing these model rules. While we do not currently expect that Pillar Two will have a material impact on our results of operations, we continue to monitor the impact as countries implement legislation and the OECD provides additional guidance. In addition, the IRA, enacted in the U.S. on August 16, 2022, imposes several new taxes that were effective in 2023, including, but not limited to, a 15% corporate book minimum tax for taxpayers with adjusted financial statement income exceeding an average of $1 billion over a three-year testing period and a 1% excise tax on certain stock repurchases made after December 31, 2022. We continue to analyze the potential impact of the IRA on our consolidated financial statements and to monitor guidance issued by the U.S. Department of the Treasury. It is possible that further changes may be enacted to U.S. and international tax rules and regulations, including the U.S. corporate tax system, which could have a material effect on our consolidated cash taxes in the future.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continued competition for talent to support our operations.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success of our operations is dependent upon our ability to hire, develop, and retain qualified and experienced personnel. The oil and natural gas industry has experienced increased merger and acquisition activity, causing Murphy and industry peers to face heightened competition from other industries for highly sought after and transferable skill sets. In addition, changes in public sentiment towards oil and natural gas exploration, development, and production activities, along with considerations such as climate change and the transition to a lower carbon economy, may make it more difficult for us to attract such qualified personnel.</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Due to significant shifts in demographics impacting the industry, such as an aging workforce and decreased enrollment in relevant fields, Murphy and industry peers are experiencing challenges in sourcing and developing a pipeline of talent for the foreseeable future, which could place our oil and natural gas exploration, development, and production activities at risk. Furthermore, the cost to attract and retain technical talent has increased in recent years due to competition and may continue to increase if the pool of available talent</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continues to shrink due to these demographic shifts. If there is a significant decrease in the availability of qualified talent, our operations, cash flows, and financial condition may be materially and adversely impacted.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Murphy’s sensitive information, operational technology systems and critical data may be exposed to cyber threats.</w:t>
      </w:r>
    </w:p>
    <w:p>
      <w:pPr>
        <w:spacing w:after="0" w:line="11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oil and natural gas industry has become increasingly dependent on digital technologies to conduct exploration, development, and production activities. We are no exception to this trend. As a company, we depend on these technologies to estimate quantities of oil and natural gas reserves, process and record financial and operating data, analyze seismic and drilling information, communicate internally and externally, and conduct many other business activities.</w:t>
      </w:r>
    </w:p>
    <w:p>
      <w:pPr>
        <w:spacing w:after="0" w:line="7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Maintaining the security of our technology and data and preventing breaches is critical to our business operation. We rely on our information systems, and our cybersecurity training and policies, to protect and secure intellectual property, strategic plans, customer information, and personally identifiable information of both our employees and our customers.</w:t>
      </w:r>
    </w:p>
    <w:p>
      <w:pPr>
        <w:spacing w:after="0" w:line="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digital infrastructure failure or a successfully executed, undetected cyberattack could significantly disrupt business operations. For example, it might lead to downtime, revenue loss, diversion of management or work force attention, and increased costs for remediation. Additionally, the compromise, theft, or unauthorized release of critical data could damage our reputation, weaken our competitive edge, negatively impact our financial stability and expose us to legal risk in multiple jurisdictions. Due to the nature of cyberattacks, breaches to our systems could go undetected for a prolonged period of time. Nevertheless, even if we successfully defend our own digital infrastructure, we also rely on our customers and suppliers, with whom we may share data and services, to protect their digital infrastructure and services from cybersecurity incidents.</w:t>
      </w:r>
    </w:p>
    <w:p>
      <w:pPr>
        <w:spacing w:after="0" w:line="8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the sophistication of cyber threats continues to evolve, including through the use of artificial intelligence, we may be required to dedicate additional resources to continue to modify or enhance our security measures, or to investigate and remediate any discovered vulnerabilities to cyberattacks. In addition, laws and regulations governing, or proposed to govern, cybersecurity, data privacy and protection and the unauthorized disclosure of confidential or protected information, including legislation in domestic and international jurisdictions, pose increasingly complex compliance challenges and potentially elevate costs, and any failure to comply with these laws and regulations could result in significant penalties and legal liability. Additionally, new regulations or legislation may affect our current uses of protected information and require us to modify how we collect, protect, process or disclose such information.</w:t>
      </w:r>
    </w:p>
    <w:p>
      <w:pPr>
        <w:spacing w:after="0" w:line="80" w:lineRule="exact"/>
        <w:rPr>
          <w:sz w:val="20"/>
          <w:szCs w:val="20"/>
          <w:color w:val="auto"/>
        </w:rPr>
      </w:pPr>
    </w:p>
    <w:p>
      <w:pPr>
        <w:ind w:right="860"/>
        <w:spacing w:after="0" w:line="292" w:lineRule="auto"/>
        <w:rPr>
          <w:sz w:val="20"/>
          <w:szCs w:val="20"/>
          <w:color w:val="auto"/>
        </w:rPr>
      </w:pPr>
      <w:r>
        <w:rPr>
          <w:rFonts w:ascii="Arial" w:cs="Arial" w:eastAsia="Arial" w:hAnsi="Arial"/>
          <w:sz w:val="18"/>
          <w:szCs w:val="18"/>
          <w:b w:val="1"/>
          <w:bCs w:val="1"/>
          <w:color w:val="auto"/>
        </w:rPr>
        <w:t>We are incorporating artificial intelligence technologies into our processes and these technologies may present business, compliance, and reputational risks.</w:t>
      </w:r>
    </w:p>
    <w:p>
      <w:pPr>
        <w:spacing w:after="0" w:line="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business increasingly utilizes artificial intelligence (“AI”), machine learning, and automated decision making to improve our internal processes. Issues in the development and use of AI, combined with an uncertain regulatory environment, may result in new or enhanced governmental or regulatory scrutiny, litigation, confidentiality or security risks, reputational harm, liability or other adverse consequences to our business operations, all of which could adversely affect our business, financial condition and results of operations.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use of AI can lead to unintended consequences, including the unauthorized use or disclosure of confidential and proprietary information, or generating content that appears correct but is factually inaccurate, misleading, or otherwise flawed, which could expose us to risks related to inaccuracies or errors in the output of such technologies. It is not possible to predict all of the risks related to the use of AI, machine learning and automated decision making, and developments in the regulatory frameworks governing the use of such technologies and in related stakeholder expectations may adversely affect our ability to develop and use such technologies or subject us to liability.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Murphy’s operations and earnings have been and will continue to be affected by domestic and worldwide political developments.</w:t>
      </w:r>
    </w:p>
    <w:p>
      <w:pPr>
        <w:spacing w:after="0" w:line="11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From time to time, some governments intervene in the market for crude oil and natural gas produced in their countries through such actions as setting prices, determining rates of production, and controlling who may buy and sell the production.</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Murphy is exposed to regulation, legislation and policies enacted by policy makers, regulators or other parties to delay or deny necessary licenses and permits to produce or transport crude oil and natural gas. As an example, the Biden Administration pursued initiatives related to environmental, health and safety standards applicable to the oil and natural gas industry. These included an executive order in January 2021 that directed the Secretary of the Interior to halt indefinitely new oil and natural gas leases on federal lands and offshore waters pending a since-completed review by the Secretary of the Interior of federal oil and natural gas permitting and leasing practices; however, a June 2021 preliminary injunction in the U.S. District Court for the Western District of Louisiana barred the implementation of the pause in new federal oil and natural gas leases. This executive order also set forth other initiatives and goals, including procurement of carbon pollution-free electricity, elimination of fossil fuel subsidies, a carbon pollution-free power sector by 2035 and a net-zero emissions U.S. economy by 2050. Another executive order from January 2021 called for a climate change-focused review of regulations and other executive actions promulgated, issued or adopted during the prior presidential administration. In August 2022, the IRA of 2022 was passed by the U.S. Congress and included provisions which required the Department of Interior to hold previously announced offshore lease sales in the Gulf of America and Alaska within two years. However, on December 14, 2023, the Secretary of the Interior approved the 2024-2029 National Outer Continental Shelf Oil and Gas Leasing Program, which contemplates only three potential oil and natural gas lease sales in the Gulf of America through 2029. These developments demonstrate the uncertainty that can arise from the U.S. Administration’s approach to oil and natural gas leasing and permitting.</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2024, the SEC adopted rules requiring disclosure of a wide range of climate change-related information, including, among other things, companies’ climate change risk management; short-, medium-, and long-term climate-related financial risks; and disclosure of Scope 1 and Scope 2 emissions. Similar laws and regulations regarding climate change-related disclosures have been proposed or enacted in other jurisdictions, including California and the European Union. The SEC’s climate disclosure rules have been stayed pending legal challenges, but implementation of the rules as finalized could be costly and time consuming. On February 11, 2025, the SEC notified the U.S. Court of Appeals of a statement issued by the SEC’s Acting Chairman regarding, among other things, the fact that the majority of current SEC Commissioners had previously voted against adopting the rules, and requested that the U.S. Court of Appeals not schedule the case for argument to provide time for the SEC to deliberate and determine the appropriate next steps in the cases.</w:t>
      </w:r>
    </w:p>
    <w:p>
      <w:pPr>
        <w:spacing w:after="0" w:line="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actions and any future changes to applicable environmental, health and safety, regulatory and legal requirements promulgated by the U.S. Administration and Congress may restrict our access to additional acreage and new leases in the Gulf of America or lead to limitations or delays on our ability to secure additional permits to drill and develop our acreage and leases or otherwise lead to limitations on the scope of our operations, or may lead to increases to our compliance costs. The potential impacts of these changes on our future financial condition, results of operations or cash flows cannot be predicted.</w:t>
      </w:r>
    </w:p>
    <w:p>
      <w:pPr>
        <w:spacing w:after="0" w:line="63"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Prices and availability of crude oil, natural gas and refined products could be influenced by political factors and by various governmental policies to restrict or increase petroleum usage and supply. Other governmental actions that could affect Murphy’s operations and earnings include expropriation, tax law changes, royalty increases, redefinition of international boundaries, preferential and discriminatory awarding of oil and natural gas leases, restrictions on drilling and/or production, tariffs, restraints and controls on imports and exports, safety, and relationships between employers and employees. For example, the Trump Administration has proposed additional tariffs on Canada and Mexico. Such tariffs may put upwards pressure on the prices of goods and services across the jurisdictions in which we operate, which could</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7"/>
          <w:szCs w:val="17"/>
          <w:color w:val="auto"/>
        </w:rPr>
        <w:t>reduce our ability to offer competitive pricing to potential customers. We cannot predict what changes to trade policy will be made by the Trump Administration, the U.S. Congress or other governments, including whether existing tariff policies will be maintained or modified or</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whether the entry into new bilateral or multilateral trade agreements will occur, nor can we predict the effects that any such changes would have on our business. Changes in trade policy have resulted and could again result in reactions from trading partners, including adopting responsive trade policies making it more difficult or costly for us to conduct business across the jurisdictions in which we operate. Such changes in trade policy or in laws and policies governing foreign trade, and any resulting negative sentiments as a result of such changes, could materially and adversely affect our business, financial condition, results of operations and liquidity. Governments could also initiate regulations concerning matters such as currency fluctuations, currency conversion, protection and remediation of the environment, and concerns over the possibility of global warming caused by the production and use of hydrocarbon energy. As of December 31, 2024, 1.7% of the Company’s proved reserves, as defined by the SEC, were located in countries other than the U.S. and Canada.</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 number of non-governmental entities routinely attempt to influence industry members and government energy policy in an effort to limit industry activities, such as hydrocarbon production, drilling and hydraulic fracturing with the desire to minimize the emission of GHGs such as carbon dioxide, which may harm air quality, and to restrict hydrocarbon spills, which may harm land and/or groundwater.</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Additionally, because of the numerous countries in which the Company operates, certain other risks exist, including the application of the U.S.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Foreign Corrupt Practices Act and other similar anti-corruption compliance statutes in the jurisdictions in which we operate.</w:t>
      </w:r>
    </w:p>
    <w:p>
      <w:pPr>
        <w:spacing w:after="0" w:line="9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It is not possible to predict the actions of governments, including the U.S. Administration, and hence the impact on Murphy’s future operations and earnings.</w:t>
      </w:r>
    </w:p>
    <w:p>
      <w:pPr>
        <w:spacing w:after="0" w:line="53"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b w:val="1"/>
          <w:bCs w:val="1"/>
          <w:color w:val="auto"/>
        </w:rPr>
        <w:t>Murphy’s insurance may not be adequate to offset costs associated with certain events, and there can be no assurance that insurance coverage will continue to be available in the future on terms that justify its purchase.</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Murphy maintains insurance against certain, but not all, hazards that could arise from its operations. The Company maintains liability insurance sufficient to cover its share of gross insured claim costs up to approximately $ 500 million per occurrence and in the annual aggregate. Generally, this insurance covers various types of third-party claims related to personal injury, death and property damage, including claims arising from “sudden and accidental” pollution events. The Company also maintains insurance coverage for property damage and well control with a limit of $450 million per occurrence ($850 million for Gulf of America claims), all or part of which could apply to certain sudden and accidental pollution events. These policies have deductibles ranging from $10 million to $25 million. The occurrence of an event that is not insured or not fully insured could have a material adverse effect on the Company’s financial condition and results of operations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could face long-term challenges to the fossil fuels business model reducing demand and price for hydrocarbon fuels.</w:t>
      </w:r>
    </w:p>
    <w:p>
      <w:pPr>
        <w:spacing w:after="0" w:line="11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Murphy’s business model may come under more pressure from changing environmental and social trends and the related global demands for non-fossil fuel energy sources. This demand in alternative forms of energy may cause the price of our products to become more volatile and decline. Further, a reduction in demand for fossil fuels could adversely impact the availability of future financing. As part of Murphy’s strategy review process, the Company reviews hydrocarbon demand forecasts and assesses the impact on its business model, plans and future estimates of reserves. In addition, the Company evaluates other lower-carbon technologies that could complement our existing assets, strategy and competencies as part of its long-term capital allocation strategy. The Company also has significant natural gas reserves which emit lower carbon compared to crude oil and NGLs.</w:t>
      </w:r>
    </w:p>
    <w:p>
      <w:pPr>
        <w:spacing w:after="0" w:line="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issue of climate change has caused considerable attention to be directed towards initiatives to reduce global GHG emissions. International agreements such as the Paris Agreement and subsequent yearly “conferences of the parties” have resulted in commitments from many countries to reduce GHG emissions and have called for parties to eliminate certain fossil fuel subsidies and pursue further action on non-carbon dioxide GHGs, in addition to calls for transitioning away from fossil fuels and a pledge to achieve near-zero methane emissions by a specified future date. In addition, presidential administrations could issue various executive orders that may result in additional laws, rules and regulations in the area of climate change.</w:t>
      </w:r>
    </w:p>
    <w:p>
      <w:pPr>
        <w:spacing w:after="0" w:line="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It is possible that international agreements, presidential executive orders, and other such initiatives, including foreign, federal, and state laws, rules, or regulations related to GHG emissions and climate change, may reduce the demand for crude oil and natural gas globally. In addition to regulatory risk, other market and social initiatives such as public and private efforts that aim to subsidize the development of non-fossil fuel energy sources, may reduce the competitiveness of carbon-based fuels, such as oil and natural gas. While the magnitude of any reduction in hydrocarbon demand is difficult to predict, such a development could adversely impact the Company and other companies engaged in the exploration and production business. With or without renewable-energy subsidies, the unknown pace and strength of technological advancement of non-fossil-fuel energy sources creates uncertainty about the timing and pace of effects on our business model. The Company continually monitors global climate change initiatives and plans accordingly based on its assessment of the effects of such initiatives on its business.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against Murphy and its subsidiaries could adversely affect its operating results.</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or certain of its consolidated subsidiaries are involved in numerous legal proceedings, including lawsuits for alleged personal injuries, environmental and/or property damages, climate change and other business-related matters. Certain of these claims may take many years to resolve through court and arbitration proceedings or negotiated settlements. In the opinion of management and based upon currently known facts and circumstances, the currently pending legal proceedings are not expected, individually or in the aggregate, to have a material adverse effect upon the Company’s operations or financial condition.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unresolved comments from the staff of the SEC as of December 31, 2024.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1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Murphy’s cybersecurity environment and risk strategy is broadly managed by the Company’s Information Technology (IT) group, which oversees the Company’s IT and Operational Technology (OT) infrastructure. Within the IT group, the Murphy Cybersecurity Team (MCT) is specifically responsible for monitoring and managing security of the enterprise IT and OT network and systems, including developing and deploying administrative policies, technical controls, and safety protocols necessary to prevent unauthorized access, theft, damage, or loss of Company data or systems. All members of the MCT hold globally-recognized security certifications and have wide-ranging experience in cybersecurity matters. The Incident Management Team (IMT) is responsible for responding to active security threats and incidents as they occur. The Chief Information Officer oversees the IT group and is a member of the IMT, and provides briefings to the CEO, the executive leadership team, and the Audit Committee of the Board regarding cybersecurity risks, strategy, and management at least annually. The Audit Committee is ultimately responsible for overseeing cybersecurity strategy and ensuring that management has sufficient resources, programs, and processes in place to identify, evaluate, manage, and mitigate relevant cybersecurity risks to which Murphy is exposed and to implement processes and programs to manage cybersecurity risks and mitigate any incidents. The Audit Committee also reports material cybersecurity risks to the Board as appropriate. We believe this visibility and oversight structure allows the Board and executive leadership team to make timely, data-driven decisions ensuring that Murphy, its employees, investors, and partners are adequately protected.</w:t>
      </w:r>
    </w:p>
    <w:p>
      <w:pPr>
        <w:spacing w:after="0" w:line="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Murphy considers its cybersecurity risk management framework to be a core component of its overall enterprise risk management system. The cybersecurity risk management framework directly aligns with the National Institute of Standards and Technology Cybersecurity Framework and involves regular review and update of security policies and procedures; leverage of industry-leading technologies focused on continuously monitoring, analyzing, and defending against intrusions; regular testing of such technologies and other controls; periodic simulations of security incidents; and constant monitoring of the broader cybersecurity environment for new and emerging threats. The Company also requires employees to attend regular cybersecurity training and education to mitigate cybersecurity risks. To remain informed of the cybersecurity landscape, the Company collaborates with peers, third-party advisors, industry groups and policymakers.</w:t>
      </w:r>
    </w:p>
    <w:p>
      <w:pPr>
        <w:spacing w:after="0" w:line="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Murphy engages cybersecurity assessors, consultants, our internal auditors, and other third parties both periodically and as appropriate when cyber threats are identified. Murphy utilizes these consultants to perform forensic analysis of data published by threat actors, to monitor and scan Murphy’s systems for threat vectors, and to consult on emerging cybersecurity environment topics.</w:t>
      </w:r>
    </w:p>
    <w:p>
      <w:pPr>
        <w:spacing w:after="0" w:line="7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addition to monitoring its own IT systems, Murphy also has processes in place to identify cybersecurity risks and threats associated with third party service providers and partners. These processes include conducting vendor due diligence and risk assessments, participating in industry information sharing groups, subscribing to cybersecurity notification services, and maintaining ongoing collaboration with federal agencies.</w:t>
      </w:r>
    </w:p>
    <w:p>
      <w:pPr>
        <w:spacing w:after="0" w:line="75"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color w:val="auto"/>
        </w:rPr>
        <w:t>To our knowledge, Murphy has not experienced any cybersecurity incidents that have had, or are likely to have, material impacts to our business, operations, finances, or reputation.</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Descriptions of the Company’s oil and natural gas properties are included in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of this Form 10-K report beginning on page </w:t>
      </w:r>
      <w:r>
        <w:rPr>
          <w:rFonts w:ascii="Arial" w:cs="Arial" w:eastAsia="Arial" w:hAnsi="Arial"/>
          <w:sz w:val="18"/>
          <w:szCs w:val="18"/>
          <w:u w:val="single" w:color="auto"/>
          <w:color w:val="0000FF"/>
        </w:rPr>
        <w:t>1</w:t>
      </w:r>
      <w:r>
        <w:rPr>
          <w:rFonts w:ascii="Arial" w:cs="Arial" w:eastAsia="Arial" w:hAnsi="Arial"/>
          <w:sz w:val="18"/>
          <w:szCs w:val="18"/>
          <w:color w:val="auto"/>
        </w:rPr>
        <w:t>. Information required by the Securities Exchange Act Industry Guide No. 2 can be found in the “</w:t>
      </w:r>
      <w:r>
        <w:rPr>
          <w:rFonts w:ascii="Arial" w:cs="Arial" w:eastAsia="Arial" w:hAnsi="Arial"/>
          <w:sz w:val="18"/>
          <w:szCs w:val="18"/>
          <w:u w:val="single" w:color="auto"/>
          <w:color w:val="0000FF"/>
        </w:rPr>
        <w:t>Supplemental Oil and Natural Gas Information</w:t>
      </w:r>
      <w:r>
        <w:rPr>
          <w:rFonts w:ascii="Arial" w:cs="Arial" w:eastAsia="Arial" w:hAnsi="Arial"/>
          <w:sz w:val="18"/>
          <w:szCs w:val="18"/>
          <w:color w:val="auto"/>
        </w:rPr>
        <w:t xml:space="preserve">” section of this Annual Report on Form 10-K on pages </w:t>
      </w:r>
      <w:r>
        <w:rPr>
          <w:rFonts w:ascii="Arial" w:cs="Arial" w:eastAsia="Arial" w:hAnsi="Arial"/>
          <w:sz w:val="18"/>
          <w:szCs w:val="18"/>
          <w:u w:val="single" w:color="auto"/>
          <w:color w:val="0000FF"/>
        </w:rPr>
        <w:t>106</w:t>
      </w:r>
      <w:r>
        <w:rPr>
          <w:rFonts w:ascii="Arial" w:cs="Arial" w:eastAsia="Arial" w:hAnsi="Arial"/>
          <w:sz w:val="18"/>
          <w:szCs w:val="18"/>
          <w:color w:val="auto"/>
        </w:rPr>
        <w:t xml:space="preserve"> to </w:t>
      </w:r>
      <w:r>
        <w:rPr>
          <w:rFonts w:ascii="Arial" w:cs="Arial" w:eastAsia="Arial" w:hAnsi="Arial"/>
          <w:sz w:val="18"/>
          <w:szCs w:val="18"/>
          <w:u w:val="single" w:color="auto"/>
          <w:color w:val="0000FF"/>
        </w:rPr>
        <w:t>121</w:t>
      </w:r>
      <w:r>
        <w:rPr>
          <w:rFonts w:ascii="Arial" w:cs="Arial" w:eastAsia="Arial" w:hAnsi="Arial"/>
          <w:sz w:val="18"/>
          <w:szCs w:val="18"/>
          <w:color w:val="auto"/>
        </w:rPr>
        <w:t xml:space="preserve"> and in </w:t>
      </w:r>
      <w:r>
        <w:rPr>
          <w:rFonts w:ascii="Arial" w:cs="Arial" w:eastAsia="Arial" w:hAnsi="Arial"/>
          <w:sz w:val="18"/>
          <w:szCs w:val="18"/>
          <w:u w:val="single" w:color="auto"/>
          <w:color w:val="0000FF"/>
        </w:rPr>
        <w:t>Note D</w:t>
      </w:r>
      <w:r>
        <w:rPr>
          <w:rFonts w:ascii="Arial" w:cs="Arial" w:eastAsia="Arial" w:hAnsi="Arial"/>
          <w:sz w:val="18"/>
          <w:szCs w:val="18"/>
          <w:color w:val="auto"/>
        </w:rPr>
        <w:t xml:space="preserve"> beginning on page </w:t>
      </w:r>
      <w:r>
        <w:rPr>
          <w:rFonts w:ascii="Arial" w:cs="Arial" w:eastAsia="Arial" w:hAnsi="Arial"/>
          <w:sz w:val="18"/>
          <w:szCs w:val="18"/>
          <w:u w:val="single" w:color="auto"/>
          <w:color w:val="0000FF"/>
        </w:rPr>
        <w:t>77</w:t>
      </w:r>
      <w:r>
        <w:rPr>
          <w:rFonts w:ascii="Arial" w:cs="Arial" w:eastAsia="Arial" w:hAnsi="Arial"/>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Discussion of the Company’s legal proceedings are included in </w:t>
      </w:r>
      <w:r>
        <w:rPr>
          <w:rFonts w:ascii="Arial" w:cs="Arial" w:eastAsia="Arial" w:hAnsi="Arial"/>
          <w:sz w:val="18"/>
          <w:szCs w:val="18"/>
          <w:u w:val="single" w:color="auto"/>
          <w:color w:val="0000FF"/>
        </w:rPr>
        <w:t>Note Q</w:t>
      </w:r>
      <w:r>
        <w:rPr>
          <w:rFonts w:ascii="Arial" w:cs="Arial" w:eastAsia="Arial" w:hAnsi="Arial"/>
          <w:sz w:val="18"/>
          <w:szCs w:val="18"/>
          <w:color w:val="auto"/>
        </w:rPr>
        <w:t xml:space="preserve"> beginning on page </w:t>
      </w:r>
      <w:r>
        <w:rPr>
          <w:rFonts w:ascii="Arial" w:cs="Arial" w:eastAsia="Arial" w:hAnsi="Arial"/>
          <w:sz w:val="18"/>
          <w:szCs w:val="18"/>
          <w:u w:val="single" w:color="auto"/>
          <w:color w:val="0000FF"/>
        </w:rPr>
        <w:t>98</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2"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color w:val="auto"/>
        </w:rPr>
        <w:t>The present corporate office, length of service in office, and age at February 1, 2025, for each of the Company’s executive officers are reported in the following listing. Executive officers are elected annually but may be removed from office at any time by the Board.</w:t>
      </w:r>
    </w:p>
    <w:p>
      <w:pPr>
        <w:spacing w:after="0" w:line="16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Eric M. Hambly – Age 50; President and Chief Executive Officer since January 2025. Mr. Hambly served as President and Chief Operating Officer from February 2024 to December 2024. Mr. Hambly also served as Executive Vice President, Operations from 2020 to 2024 and Executive Vice President, Onshore from 2018 to 2020.</w:t>
      </w:r>
    </w:p>
    <w:p>
      <w:pPr>
        <w:spacing w:after="0" w:line="17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Thomas J. Mireles – Age 52; Executive Vice President and Chief Financial Officer since 2022. Mr. Mireles was Senior Vice President, Technical Services from 2018 to 2022. Mr. Mireles also served as the Senior Vice President, Eastern Hemisphere of Murphy Exploration &amp; Production Company from 2016 to 2018.</w:t>
      </w:r>
    </w:p>
    <w:p>
      <w:pPr>
        <w:spacing w:after="0" w:line="17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E. Ted Botner – Age 60; Executive Vice President, General Counsel and Corporate Secretary since February 2024. Mr. Botner served as Senior Vice President, General Counsel and Corporate Secretary from 2020 to 2024. He also served as Vice President, Law and Corporate Secretary from 2015 to 2020 and Manager, Law and Corporate Secretary from 2013 to 2015.</w:t>
      </w:r>
    </w:p>
    <w:p>
      <w:pPr>
        <w:spacing w:after="0" w:line="17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Daniel R. Hanchera - Age 67; Senior Vice President, Business Development since 2022. Mr. Hanchera served as Senior Vice President, Business Development of Murphy Exploration &amp; Production Company from 2014 to 2022. He also served as Vice President, Business Development and Planning of Murphy Exploration &amp; Production Company from 2009 to 2014.</w:t>
      </w:r>
    </w:p>
    <w:p>
      <w:pPr>
        <w:spacing w:after="0" w:line="17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John B. Gardner – Age 56; Vice President, Marketing and Supply Chain since 2022. Mr. Gardner was Vice President and Treasurer from 2015 to 2022 and served as Treasurer from 2013 to 2015.</w:t>
      </w:r>
    </w:p>
    <w:p>
      <w:pPr>
        <w:spacing w:after="0" w:line="162"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Leyster L. Jumawan - Age 48; Vice President, Corporate Planning and Treasurer since 2022. Mr. Jumawan was Assistant Treasurer from 2017 to 2022.</w:t>
      </w:r>
    </w:p>
    <w:p>
      <w:pPr>
        <w:spacing w:after="0" w:line="162"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color w:val="auto"/>
        </w:rPr>
        <w:t>Maria A. Martinez – Age 50; Vice President, Human Resources and Administration since 2018. Ms. Martinez was Vice President, Human Resources of Murphy Exploration &amp; Production Company from 2013 to 2018.</w:t>
      </w:r>
    </w:p>
    <w:p>
      <w:pPr>
        <w:spacing w:after="0" w:line="16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Meenambigai Palanivelu - Age 51; Vice President, Sustainability since 2023. Ms. Palanivelu was Director, Sustainability from 2020 to 2023. Ms. Palanivelu also served as the General Manager, Planning and Performance from 2019 to 2020 and General Manager, Finance Operating Model Program Management Office from 2017 to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Louis W. Utsch – Age 59; Vice President, Tax since 2018.</w:t>
      </w:r>
    </w:p>
    <w:p>
      <w:pPr>
        <w:spacing w:after="0" w:line="22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Paul D. Vaughan – Age 58, Vice President and Controller since 2022. Mr. Vaughan was Vice President and Controller, U.S., Central and South America of Murphy Exploration &amp; Production Company from 2017 to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Kelly L. Whitley – Age 59; Vice President, Investor Relations and Communications since 2015.</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67" w:lineRule="exact"/>
        <w:rPr>
          <w:sz w:val="20"/>
          <w:szCs w:val="20"/>
          <w:color w:val="auto"/>
        </w:rPr>
      </w:pPr>
    </w:p>
    <w:p>
      <w:pPr>
        <w:ind w:right="580"/>
        <w:spacing w:after="0" w:line="388"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Company’s common stock is traded on the New York Stock Exchange using “MUR” as the trading symbol. There were 1,873 stockholders of record as of December 31, 2024. Information on dividends per share by quarter for 2024 and 2023 are reported on page </w:t>
      </w:r>
      <w:r>
        <w:rPr>
          <w:rFonts w:ascii="Arial" w:cs="Arial" w:eastAsia="Arial" w:hAnsi="Arial"/>
          <w:sz w:val="18"/>
          <w:szCs w:val="18"/>
          <w:u w:val="single" w:color="auto"/>
          <w:color w:val="0000FF"/>
        </w:rPr>
        <w:t>122</w:t>
      </w:r>
      <w:r>
        <w:rPr>
          <w:rFonts w:ascii="Arial" w:cs="Arial" w:eastAsia="Arial" w:hAnsi="Arial"/>
          <w:sz w:val="18"/>
          <w:szCs w:val="18"/>
          <w:color w:val="auto"/>
        </w:rPr>
        <w:t xml:space="preserve"> of this Form 10-K report. Dividends are authorized and determined by the Board at its sole discretion and depend upon a number of factors, including available liquidity, market conditions, applicable legal requirements and other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has authorized a share repurchase program whereby the Company can repurchase up to $1,100.0 million of its common stock. Pursuant to the share repurchase program, the Company may repurchase shares through open market purchases, privately negotiated transactions and other means in accordance with federal securities laws. This repurchase program has no time limit and may be suspended or discontinued completely at any time without prior notice as determined by the Company at its discretion and dependent upon a variety of factors.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December 31, 2024, the Company did not repurchase any shares of its common stock. Since the inception of the share repurchase program through the end of the fourth quarter of 2024, the Company has repurchased 11.4 million shares of its common stock in open-market transactions. As of December 31, 2024, the Company had $650.1 million of its common stock remaining available to repurchase under the program.</w:t>
      </w:r>
    </w:p>
    <w:p>
      <w:pPr>
        <w:spacing w:after="0" w:line="7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Subsequent to year end, as of February 25, 2025, the Company repurchased 3.4 million shares of its common stock in open-market transactions for $95.1 million, excluding taxes and fees. As of this date, the Company had $555.0 million of its common stock remaining available to repurchase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RETURN PERFORMANCE PRESENTATION</w:t>
      </w:r>
    </w:p>
    <w:p>
      <w:pPr>
        <w:spacing w:after="0" w:line="11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following graph presents a comparison of cumulative five-year shareholder returns (including the reinvestment of dividends) as if a $100 investment was made on December 31, 2019 in the Company, the Standard &amp; Poor’s 500 Stock Index (S&amp;P 500 Index), the S&amp;P Oil &amp; Gas Exploration &amp; Production Select Industry Index (XOP Index) and the Company’s peer group. XOP Index reports a comprehensive view of the oil and natural gas exploration and production segment of the S&amp;P Total Market Index, which is more comparable for the Company than the S&amp;P 500 Index. Our peer group for 2024 is presented in the table below. Civitas Resources Inc., EOG Resources Inc. and Magnolia Oil &amp; Gas Corporation were added to Murphy’s peer group in 2024. Callon Petroleum Company, Hess Corporation and PDC Energy Inc. were removed from Murphy’s peer group in 2024. This performance information is “furnished” by the Company and is not considered as “filed” with this Form 10-K report and it is not incorporated into any document that incorporates this Form 10-K report by reference. The companies in the peer group include:</w:t>
      </w:r>
    </w:p>
    <w:p>
      <w:pPr>
        <w:spacing w:after="0" w:line="125"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6"/>
                <w:szCs w:val="16"/>
                <w:color w:val="auto"/>
              </w:rPr>
              <w:t>APA Corporation</w:t>
            </w:r>
          </w:p>
        </w:tc>
        <w:tc>
          <w:tcPr>
            <w:tcW w:w="3720" w:type="dxa"/>
            <w:vAlign w:val="bottom"/>
          </w:tcPr>
          <w:p>
            <w:pPr>
              <w:ind w:left="760"/>
              <w:spacing w:after="0"/>
              <w:rPr>
                <w:sz w:val="20"/>
                <w:szCs w:val="20"/>
                <w:color w:val="auto"/>
              </w:rPr>
            </w:pPr>
            <w:r>
              <w:rPr>
                <w:rFonts w:ascii="Arial" w:cs="Arial" w:eastAsia="Arial" w:hAnsi="Arial"/>
                <w:sz w:val="16"/>
                <w:szCs w:val="16"/>
                <w:color w:val="auto"/>
              </w:rPr>
              <w:t>Kosmos Energy Ltd.</w:t>
            </w:r>
          </w:p>
        </w:tc>
        <w:tc>
          <w:tcPr>
            <w:tcW w:w="3040" w:type="dxa"/>
            <w:vAlign w:val="bottom"/>
          </w:tcPr>
          <w:p>
            <w:pPr>
              <w:ind w:left="680"/>
              <w:spacing w:after="0"/>
              <w:rPr>
                <w:sz w:val="20"/>
                <w:szCs w:val="20"/>
                <w:color w:val="auto"/>
              </w:rPr>
            </w:pPr>
            <w:r>
              <w:rPr>
                <w:rFonts w:ascii="Arial" w:cs="Arial" w:eastAsia="Arial" w:hAnsi="Arial"/>
                <w:sz w:val="16"/>
                <w:szCs w:val="16"/>
                <w:color w:val="auto"/>
              </w:rPr>
              <w:t>Range Resources Corporation</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Civitas Resources Inc.</w:t>
            </w:r>
          </w:p>
        </w:tc>
        <w:tc>
          <w:tcPr>
            <w:tcW w:w="3720" w:type="dxa"/>
            <w:vAlign w:val="bottom"/>
          </w:tcPr>
          <w:p>
            <w:pPr>
              <w:ind w:left="760"/>
              <w:spacing w:after="0"/>
              <w:rPr>
                <w:sz w:val="20"/>
                <w:szCs w:val="20"/>
                <w:color w:val="auto"/>
              </w:rPr>
            </w:pPr>
            <w:r>
              <w:rPr>
                <w:rFonts w:ascii="Arial" w:cs="Arial" w:eastAsia="Arial" w:hAnsi="Arial"/>
                <w:sz w:val="16"/>
                <w:szCs w:val="16"/>
                <w:color w:val="auto"/>
              </w:rPr>
              <w:t>Magnolia Oil &amp; Gas Corporation</w:t>
            </w:r>
          </w:p>
        </w:tc>
        <w:tc>
          <w:tcPr>
            <w:tcW w:w="3040" w:type="dxa"/>
            <w:vAlign w:val="bottom"/>
          </w:tcPr>
          <w:p>
            <w:pPr>
              <w:ind w:left="680"/>
              <w:spacing w:after="0"/>
              <w:rPr>
                <w:sz w:val="20"/>
                <w:szCs w:val="20"/>
                <w:color w:val="auto"/>
              </w:rPr>
            </w:pPr>
            <w:r>
              <w:rPr>
                <w:rFonts w:ascii="Arial" w:cs="Arial" w:eastAsia="Arial" w:hAnsi="Arial"/>
                <w:sz w:val="16"/>
                <w:szCs w:val="16"/>
                <w:color w:val="auto"/>
              </w:rPr>
              <w:t>SM Energy Company</w:t>
            </w: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Coterra Energy Inc.</w:t>
            </w:r>
          </w:p>
        </w:tc>
        <w:tc>
          <w:tcPr>
            <w:tcW w:w="3720" w:type="dxa"/>
            <w:vAlign w:val="bottom"/>
          </w:tcPr>
          <w:p>
            <w:pPr>
              <w:ind w:left="760"/>
              <w:spacing w:after="0" w:line="216" w:lineRule="exact"/>
              <w:rPr>
                <w:sz w:val="20"/>
                <w:szCs w:val="20"/>
                <w:color w:val="auto"/>
              </w:rPr>
            </w:pPr>
            <w:r>
              <w:rPr>
                <w:rFonts w:ascii="Arial" w:cs="Arial" w:eastAsia="Arial" w:hAnsi="Arial"/>
                <w:sz w:val="16"/>
                <w:szCs w:val="16"/>
                <w:color w:val="auto"/>
              </w:rPr>
              <w:t xml:space="preserve">Marathon Oil Corporation </w:t>
            </w:r>
            <w:r>
              <w:rPr>
                <w:rFonts w:ascii="Arial" w:cs="Arial" w:eastAsia="Arial" w:hAnsi="Arial"/>
                <w:sz w:val="20"/>
                <w:szCs w:val="20"/>
                <w:color w:val="auto"/>
                <w:vertAlign w:val="superscript"/>
              </w:rPr>
              <w:t>1</w:t>
            </w:r>
          </w:p>
        </w:tc>
        <w:tc>
          <w:tcPr>
            <w:tcW w:w="3040" w:type="dxa"/>
            <w:vAlign w:val="bottom"/>
          </w:tcPr>
          <w:p>
            <w:pPr>
              <w:ind w:left="680"/>
              <w:spacing w:after="0" w:line="216" w:lineRule="exact"/>
              <w:rPr>
                <w:sz w:val="20"/>
                <w:szCs w:val="20"/>
                <w:color w:val="auto"/>
              </w:rPr>
            </w:pPr>
            <w:r>
              <w:rPr>
                <w:rFonts w:ascii="Arial" w:cs="Arial" w:eastAsia="Arial" w:hAnsi="Arial"/>
                <w:sz w:val="16"/>
                <w:szCs w:val="16"/>
                <w:color w:val="auto"/>
                <w:w w:val="98"/>
              </w:rPr>
              <w:t xml:space="preserve">Southwestern Energy Company </w:t>
            </w:r>
            <w:r>
              <w:rPr>
                <w:rFonts w:ascii="Arial" w:cs="Arial" w:eastAsia="Arial" w:hAnsi="Arial"/>
                <w:sz w:val="20"/>
                <w:szCs w:val="20"/>
                <w:color w:val="auto"/>
                <w:w w:val="98"/>
                <w:vertAlign w:val="superscript"/>
              </w:rPr>
              <w:t>1</w:t>
            </w:r>
          </w:p>
        </w:tc>
      </w:tr>
      <w:tr>
        <w:trPr>
          <w:trHeight w:val="211"/>
        </w:trPr>
        <w:tc>
          <w:tcPr>
            <w:tcW w:w="2680" w:type="dxa"/>
            <w:vAlign w:val="bottom"/>
          </w:tcPr>
          <w:p>
            <w:pPr>
              <w:spacing w:after="0"/>
              <w:rPr>
                <w:sz w:val="20"/>
                <w:szCs w:val="20"/>
                <w:color w:val="auto"/>
              </w:rPr>
            </w:pPr>
            <w:r>
              <w:rPr>
                <w:rFonts w:ascii="Arial" w:cs="Arial" w:eastAsia="Arial" w:hAnsi="Arial"/>
                <w:sz w:val="16"/>
                <w:szCs w:val="16"/>
                <w:color w:val="auto"/>
              </w:rPr>
              <w:t>Devon Energy Corporation</w:t>
            </w:r>
          </w:p>
        </w:tc>
        <w:tc>
          <w:tcPr>
            <w:tcW w:w="3720" w:type="dxa"/>
            <w:vAlign w:val="bottom"/>
          </w:tcPr>
          <w:p>
            <w:pPr>
              <w:ind w:left="760"/>
              <w:spacing w:after="0"/>
              <w:rPr>
                <w:sz w:val="20"/>
                <w:szCs w:val="20"/>
                <w:color w:val="auto"/>
              </w:rPr>
            </w:pPr>
            <w:r>
              <w:rPr>
                <w:rFonts w:ascii="Arial" w:cs="Arial" w:eastAsia="Arial" w:hAnsi="Arial"/>
                <w:sz w:val="16"/>
                <w:szCs w:val="16"/>
                <w:color w:val="auto"/>
              </w:rPr>
              <w:t>Matador Resources Company</w:t>
            </w:r>
          </w:p>
        </w:tc>
        <w:tc>
          <w:tcPr>
            <w:tcW w:w="3040" w:type="dxa"/>
            <w:vAlign w:val="bottom"/>
          </w:tcPr>
          <w:p>
            <w:pPr>
              <w:ind w:left="680"/>
              <w:spacing w:after="0"/>
              <w:rPr>
                <w:sz w:val="20"/>
                <w:szCs w:val="20"/>
                <w:color w:val="auto"/>
              </w:rPr>
            </w:pPr>
            <w:r>
              <w:rPr>
                <w:rFonts w:ascii="Arial" w:cs="Arial" w:eastAsia="Arial" w:hAnsi="Arial"/>
                <w:sz w:val="16"/>
                <w:szCs w:val="16"/>
                <w:color w:val="auto"/>
              </w:rPr>
              <w:t>Talos Energy Inc.</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EOG Resources Inc.</w:t>
            </w:r>
          </w:p>
        </w:tc>
        <w:tc>
          <w:tcPr>
            <w:tcW w:w="3720" w:type="dxa"/>
            <w:vAlign w:val="bottom"/>
          </w:tcPr>
          <w:p>
            <w:pPr>
              <w:ind w:left="760"/>
              <w:spacing w:after="0"/>
              <w:rPr>
                <w:sz w:val="20"/>
                <w:szCs w:val="20"/>
                <w:color w:val="auto"/>
              </w:rPr>
            </w:pPr>
            <w:r>
              <w:rPr>
                <w:rFonts w:ascii="Arial" w:cs="Arial" w:eastAsia="Arial" w:hAnsi="Arial"/>
                <w:sz w:val="16"/>
                <w:szCs w:val="16"/>
                <w:color w:val="auto"/>
              </w:rPr>
              <w:t>Ovintiv Inc.</w:t>
            </w:r>
          </w:p>
        </w:tc>
        <w:tc>
          <w:tcPr>
            <w:tcW w:w="30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129540</wp:posOffset>
            </wp:positionV>
            <wp:extent cx="4342765" cy="3291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42765" cy="329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40" w:type="dxa"/>
            <w:vAlign w:val="bottom"/>
            <w:gridSpan w:val="2"/>
          </w:tcPr>
          <w:p>
            <w:pPr>
              <w:ind w:left="3320"/>
              <w:spacing w:after="0"/>
              <w:rPr>
                <w:sz w:val="20"/>
                <w:szCs w:val="20"/>
                <w:color w:val="auto"/>
              </w:rPr>
            </w:pPr>
            <w:r>
              <w:rPr>
                <w:rFonts w:ascii="Arial" w:cs="Arial" w:eastAsia="Arial" w:hAnsi="Arial"/>
                <w:sz w:val="18"/>
                <w:szCs w:val="18"/>
                <w:b w:val="1"/>
                <w:bCs w:val="1"/>
                <w:color w:val="auto"/>
                <w:w w:val="99"/>
              </w:rPr>
              <w:t>2019</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300" w:type="dxa"/>
            <w:vAlign w:val="bottom"/>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300" w:type="dxa"/>
            <w:vAlign w:val="bottom"/>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300" w:type="dxa"/>
            <w:vAlign w:val="bottom"/>
          </w:tcPr>
          <w:p>
            <w:pPr>
              <w:jc w:val="right"/>
              <w:ind w:right="371"/>
              <w:spacing w:after="0"/>
              <w:rPr>
                <w:sz w:val="20"/>
                <w:szCs w:val="20"/>
                <w:color w:val="auto"/>
              </w:rPr>
            </w:pPr>
            <w:r>
              <w:rPr>
                <w:rFonts w:ascii="Arial" w:cs="Arial" w:eastAsia="Arial" w:hAnsi="Arial"/>
                <w:sz w:val="18"/>
                <w:szCs w:val="18"/>
                <w:b w:val="1"/>
                <w:bCs w:val="1"/>
                <w:color w:val="auto"/>
              </w:rPr>
              <w:t>2024</w:t>
            </w:r>
          </w:p>
        </w:tc>
      </w:tr>
      <w:tr>
        <w:trPr>
          <w:trHeight w:val="220"/>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Murphy Oil Corporation</w:t>
            </w:r>
          </w:p>
        </w:tc>
        <w:tc>
          <w:tcPr>
            <w:tcW w:w="8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7"/>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Peer Group</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XOP Index</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180" w:lineRule="exact"/>
        <w:rPr>
          <w:sz w:val="20"/>
          <w:szCs w:val="20"/>
          <w:color w:val="auto"/>
        </w:rPr>
      </w:pPr>
    </w:p>
    <w:p>
      <w:pPr>
        <w:ind w:left="160" w:right="160" w:hanging="147"/>
        <w:spacing w:after="0" w:line="224" w:lineRule="auto"/>
        <w:tabs>
          <w:tab w:leader="none" w:pos="10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Marathon Oil Corporation and Southwestern Energy Company were acquired in 2024 and therefore have been excluded from the above table and graph of cumulative total return.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together with the consolidated financial statements and accompanying notes to consolidated financial statements, which are included in Item 8 of this Annual Report on Form 10-K. This MD&amp;A includes forward-looking statements that involve certain risks and uncertainties. See “</w:t>
      </w:r>
      <w:r>
        <w:rPr>
          <w:rFonts w:ascii="Arial" w:cs="Arial" w:eastAsia="Arial" w:hAnsi="Arial"/>
          <w:sz w:val="18"/>
          <w:szCs w:val="18"/>
          <w:u w:val="single" w:color="auto"/>
          <w:color w:val="0000FF"/>
        </w:rPr>
        <w:t>Forward-Looking Statements</w:t>
      </w:r>
      <w:r>
        <w:rPr>
          <w:rFonts w:ascii="Arial" w:cs="Arial" w:eastAsia="Arial" w:hAnsi="Arial"/>
          <w:sz w:val="18"/>
          <w:szCs w:val="18"/>
          <w:color w:val="000000"/>
        </w:rPr>
        <w:t>” at the end of this section and “</w:t>
      </w:r>
      <w:r>
        <w:rPr>
          <w:rFonts w:ascii="Arial" w:cs="Arial" w:eastAsia="Arial" w:hAnsi="Arial"/>
          <w:sz w:val="18"/>
          <w:szCs w:val="18"/>
          <w:u w:val="single" w:color="auto"/>
          <w:color w:val="0000FF"/>
        </w:rPr>
        <w:t>Risk Factors</w:t>
      </w:r>
      <w:r>
        <w:rPr>
          <w:rFonts w:ascii="Arial" w:cs="Arial" w:eastAsia="Arial" w:hAnsi="Arial"/>
          <w:sz w:val="18"/>
          <w:szCs w:val="18"/>
          <w:color w:val="000000"/>
        </w:rPr>
        <w:t>” under Item 1A. Discussion and analysis of 2022 results and year-over-year</w:t>
      </w:r>
      <w:r>
        <w:rPr>
          <w:rFonts w:ascii="Arial" w:cs="Arial" w:eastAsia="Arial" w:hAnsi="Arial"/>
          <w:sz w:val="18"/>
          <w:szCs w:val="18"/>
          <w:color w:val="0000FF"/>
        </w:rPr>
        <w:t xml:space="preserve"> </w:t>
      </w:r>
      <w:r>
        <w:rPr>
          <w:rFonts w:ascii="Arial" w:cs="Arial" w:eastAsia="Arial" w:hAnsi="Arial"/>
          <w:sz w:val="18"/>
          <w:szCs w:val="18"/>
          <w:color w:val="000000"/>
        </w:rPr>
        <w:t>comparisons between 2023 and 2022 are not included in this Form 10-K and can be found in “Item 7” of the 2023 Annual Report on Form 10-K available via the SEC’s website at www.sec.gov and on our website at www.murphyoilcorp.com.</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Murphy Oil Corporation is a worldwide oil and natural gas exploration and production company with both onshore and offshore operations and properties. The Company produces crude oil, natural gas and NGLs primarily in the U.S. and Canada and explores for crude oil, natural gas and NGLs in targeted areas worldwide. A more detailed description of the Company’s significant assets can be found in “</w:t>
      </w:r>
      <w:r>
        <w:rPr>
          <w:rFonts w:ascii="Arial" w:cs="Arial" w:eastAsia="Arial" w:hAnsi="Arial"/>
          <w:sz w:val="18"/>
          <w:szCs w:val="18"/>
          <w:u w:val="single" w:color="auto"/>
          <w:color w:val="0000FF"/>
        </w:rPr>
        <w:t>Item 1</w:t>
      </w:r>
      <w:r>
        <w:rPr>
          <w:rFonts w:ascii="Arial" w:cs="Arial" w:eastAsia="Arial" w:hAnsi="Arial"/>
          <w:sz w:val="18"/>
          <w:szCs w:val="18"/>
          <w:color w:val="auto"/>
        </w:rPr>
        <w:t>” of this Form 10-K report.</w:t>
      </w:r>
    </w:p>
    <w:p>
      <w:pPr>
        <w:spacing w:after="0" w:line="75"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color w:val="auto"/>
        </w:rPr>
        <w:t>The analysis and discussion in this section includes amounts attributable to a noncontrolling interest (NCI) in MP GOM, unless otherwise noted.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Company financial and operational highlights during 2024 were as follows:</w:t>
      </w:r>
    </w:p>
    <w:p>
      <w:pPr>
        <w:spacing w:after="0" w:line="114" w:lineRule="exact"/>
        <w:rPr>
          <w:sz w:val="20"/>
          <w:szCs w:val="20"/>
          <w:color w:val="auto"/>
        </w:rPr>
      </w:pPr>
    </w:p>
    <w:p>
      <w:pPr>
        <w:ind w:left="300" w:hanging="293"/>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Generated net income of $486.5 million ($407.2 million excluding NCI and net cash provided by operating activities of $1,729.0 million;</w:t>
      </w:r>
    </w:p>
    <w:p>
      <w:pPr>
        <w:spacing w:after="0" w:line="113" w:lineRule="exact"/>
        <w:rPr>
          <w:rFonts w:ascii="Arial" w:cs="Arial" w:eastAsia="Arial" w:hAnsi="Arial"/>
          <w:sz w:val="18"/>
          <w:szCs w:val="18"/>
          <w:color w:val="auto"/>
        </w:rPr>
      </w:pPr>
    </w:p>
    <w:p>
      <w:pPr>
        <w:ind w:left="300" w:hanging="293"/>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Produced 184 thousand BOEPD (177 thousand BOEPD excluding NCI);</w:t>
      </w:r>
    </w:p>
    <w:p>
      <w:pPr>
        <w:spacing w:after="0" w:line="113" w:lineRule="exact"/>
        <w:rPr>
          <w:rFonts w:ascii="Arial" w:cs="Arial" w:eastAsia="Arial" w:hAnsi="Arial"/>
          <w:sz w:val="18"/>
          <w:szCs w:val="18"/>
          <w:color w:val="auto"/>
        </w:rPr>
      </w:pPr>
    </w:p>
    <w:p>
      <w:pPr>
        <w:ind w:left="320" w:right="340" w:hanging="313"/>
        <w:spacing w:after="0" w:line="278" w:lineRule="auto"/>
        <w:tabs>
          <w:tab w:leader="none" w:pos="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Issued $600.0 million of 6.000% senior notes due 2032, and used proceeds to redeem an aggregate $600.0 million of senior notes due 2027, 2028 and 2029;</w:t>
      </w:r>
    </w:p>
    <w:p>
      <w:pPr>
        <w:spacing w:after="0" w:line="54" w:lineRule="exact"/>
        <w:rPr>
          <w:rFonts w:ascii="Arial" w:cs="Arial" w:eastAsia="Arial" w:hAnsi="Arial"/>
          <w:sz w:val="18"/>
          <w:szCs w:val="18"/>
          <w:color w:val="auto"/>
        </w:rPr>
      </w:pPr>
    </w:p>
    <w:p>
      <w:pPr>
        <w:ind w:left="300" w:hanging="293"/>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Entered into a new five-year, $1.35 billion senior unsecured credit facility, representing a 69% increase from previous facility size;</w:t>
      </w:r>
    </w:p>
    <w:p>
      <w:pPr>
        <w:spacing w:after="0" w:line="109" w:lineRule="exact"/>
        <w:rPr>
          <w:rFonts w:ascii="Arial" w:cs="Arial" w:eastAsia="Arial" w:hAnsi="Arial"/>
          <w:sz w:val="18"/>
          <w:szCs w:val="18"/>
          <w:color w:val="auto"/>
        </w:rPr>
      </w:pPr>
    </w:p>
    <w:p>
      <w:pPr>
        <w:ind w:left="300" w:hanging="293"/>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Advances made under the capital allocation framework</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960" w:hanging="312"/>
        <w:spacing w:after="0"/>
        <w:tabs>
          <w:tab w:leader="none" w:pos="9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Repurchased $50.0 million of long-term debt;</w:t>
      </w:r>
    </w:p>
    <w:p>
      <w:pPr>
        <w:spacing w:after="0" w:line="113" w:lineRule="exact"/>
        <w:rPr>
          <w:rFonts w:ascii="Arial" w:cs="Arial" w:eastAsia="Arial" w:hAnsi="Arial"/>
          <w:sz w:val="18"/>
          <w:szCs w:val="18"/>
          <w:color w:val="auto"/>
        </w:rPr>
      </w:pPr>
    </w:p>
    <w:p>
      <w:pPr>
        <w:ind w:left="960" w:right="80" w:hanging="312"/>
        <w:spacing w:after="0" w:line="278" w:lineRule="auto"/>
        <w:tabs>
          <w:tab w:leader="none" w:pos="956" w:val="left"/>
        </w:tabs>
        <w:numPr>
          <w:ilvl w:val="2"/>
          <w:numId w:val="16"/>
        </w:numPr>
        <w:rPr>
          <w:rFonts w:ascii="Arial" w:cs="Arial" w:eastAsia="Arial" w:hAnsi="Arial"/>
          <w:sz w:val="18"/>
          <w:szCs w:val="18"/>
          <w:color w:val="auto"/>
        </w:rPr>
      </w:pPr>
      <w:r>
        <w:rPr>
          <w:rFonts w:ascii="Arial" w:cs="Arial" w:eastAsia="Arial" w:hAnsi="Arial"/>
          <w:sz w:val="18"/>
          <w:szCs w:val="18"/>
          <w:color w:val="auto"/>
        </w:rPr>
        <w:t>Repurchased 8.0 million shares of common stock under the share repurchase program for $300.0 million ($302.7 million including excise taxes and fees);</w:t>
      </w:r>
    </w:p>
    <w:p>
      <w:pPr>
        <w:spacing w:after="0" w:line="54" w:lineRule="exact"/>
        <w:rPr>
          <w:rFonts w:ascii="Arial" w:cs="Arial" w:eastAsia="Arial" w:hAnsi="Arial"/>
          <w:sz w:val="18"/>
          <w:szCs w:val="18"/>
          <w:color w:val="auto"/>
        </w:rPr>
      </w:pPr>
    </w:p>
    <w:p>
      <w:pPr>
        <w:ind w:left="320" w:right="500" w:hanging="313"/>
        <w:spacing w:after="0" w:line="278" w:lineRule="auto"/>
        <w:tabs>
          <w:tab w:leader="none" w:pos="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Achieved 84% (83% excluding NCI) total proved reserve replacement with year-end proved reserves of 729.0 million MMBOE (713.1 MMBOE excluding NCI);</w:t>
      </w:r>
    </w:p>
    <w:p>
      <w:pPr>
        <w:spacing w:after="0" w:line="54" w:lineRule="exact"/>
        <w:rPr>
          <w:rFonts w:ascii="Arial" w:cs="Arial" w:eastAsia="Arial" w:hAnsi="Arial"/>
          <w:sz w:val="18"/>
          <w:szCs w:val="18"/>
          <w:color w:val="auto"/>
        </w:rPr>
      </w:pPr>
    </w:p>
    <w:p>
      <w:pPr>
        <w:ind w:left="320" w:right="280" w:hanging="313"/>
        <w:spacing w:after="0" w:line="278" w:lineRule="auto"/>
        <w:tabs>
          <w:tab w:leader="none" w:pos="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Drilled an oil discovery at Hai Su Vang-1X (Golden Sea Lion) in offshore Vietnam and encountered approximately 370 feet of net oil pay from two reservoirs; and</w:t>
      </w:r>
    </w:p>
    <w:p>
      <w:pPr>
        <w:spacing w:after="0" w:line="54" w:lineRule="exact"/>
        <w:rPr>
          <w:rFonts w:ascii="Arial" w:cs="Arial" w:eastAsia="Arial" w:hAnsi="Arial"/>
          <w:sz w:val="18"/>
          <w:szCs w:val="18"/>
          <w:color w:val="auto"/>
        </w:rPr>
      </w:pPr>
    </w:p>
    <w:p>
      <w:pPr>
        <w:ind w:left="320" w:right="220" w:hanging="313"/>
        <w:spacing w:after="0" w:line="278" w:lineRule="auto"/>
        <w:tabs>
          <w:tab w:leader="none" w:pos="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Drilled a discovery at the non-operated Ocotillo #1 exploration well in Mississippi Canyon 40 in the Gulf of America and found 100 feet of net pay across two zones.</w:t>
      </w:r>
    </w:p>
    <w:p>
      <w:pPr>
        <w:spacing w:after="0" w:line="328" w:lineRule="exact"/>
        <w:rPr>
          <w:rFonts w:ascii="Arial" w:cs="Arial" w:eastAsia="Arial" w:hAnsi="Arial"/>
          <w:sz w:val="18"/>
          <w:szCs w:val="18"/>
          <w:color w:val="auto"/>
        </w:rPr>
      </w:pPr>
    </w:p>
    <w:p>
      <w:pPr>
        <w:ind w:left="160" w:right="240" w:hanging="154"/>
        <w:spacing w:after="0" w:line="238" w:lineRule="auto"/>
        <w:rPr>
          <w:rFonts w:ascii="Arial" w:cs="Arial" w:eastAsia="Arial" w:hAnsi="Arial"/>
          <w:sz w:val="16"/>
          <w:szCs w:val="16"/>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Details of the capital allocation framework can be found as part of the Company’s </w:t>
      </w:r>
      <w:hyperlink r:id="rId44">
        <w:r>
          <w:rPr>
            <w:rFonts w:ascii="Arial" w:cs="Arial" w:eastAsia="Arial" w:hAnsi="Arial"/>
            <w:sz w:val="16"/>
            <w:szCs w:val="16"/>
            <w:u w:val="single" w:color="auto"/>
            <w:color w:val="0000FF"/>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filed on August 4, 2022 and </w:t>
      </w:r>
      <w:hyperlink r:id="rId45">
        <w:r>
          <w:rPr>
            <w:rFonts w:ascii="Arial" w:cs="Arial" w:eastAsia="Arial" w:hAnsi="Arial"/>
            <w:sz w:val="16"/>
            <w:szCs w:val="16"/>
            <w:u w:val="single" w:color="auto"/>
            <w:color w:val="0000FF"/>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August 8, 2024. The Company’s Board of Directors has authorized a share repurchase program whereby the Company can repurchase up to $1,100.0 million of the Company’s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Murphy’s continuing operations generate revenue by producing crude oil, natural gas and NGLs in the U.S. and Canada and then selling these products to customers. The Company’s revenue is affected by the prices of crude oil, natural gas and NGLs. In order to make a profit and generate cash in its exploration and production business, revenue generated from the sales of oil and natural gas produced must exceed the combined costs of producing these products and expenses related to exploration, administration and capital borrowing from lending institutions and note 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2024, the Company’s net income from continuing operations was $489.3 million, a decrease of $235.9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compared to 2023. Lower net income from continuing operations was largely driven by lower revenues and other income ($431.7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million), higher lease operating expenses ($152.7 million), and higher impairment expense ($62.9 million), partially offset by lower income tax</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expense ($117.6 million), lower exploration expenses ($101.2 million), higher other income ($79.5 million), lower other operating expense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($35.5 million) and lower transportation, gathering and processing costs ($22.2 million). Lower revenues from production were primarily driven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 mechanical and weather downtime in the Gulf of America, timing and performance of new wells at Eagle Ford Shale and lower average oil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and natural gas prices, partially offset by wells brought back online at the non-operated Terra Nova field in the fourth quarter of 2023. Higher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lease operating expenses were primarily due to workovers in the Gulf of America and higher production activity in Canada at the Terra Nova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field, partially offset by lower production handling fees in the Gulf of America. Higher impairment expense is due to impairment of the Calliope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and Nearly Headless Nick fields in the Gulf of America. The decrease in income tax expense is primarily driven by lower overall income,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addition to an income tax deduction for prior years’ Australia exploration spend. Exploration expenses in the current period was primarily due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to dry hole expense recorded for multiple wells in the Gulf of America, including Sebastian #1 (Mississippi Canyon 387), non-operated Orange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 (Mississippi Canyon 216), and for previously suspended exploration costs related to an expired lease at Hoffe Park #1 (Mississippi Canyon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166). Higher other income related to unrealized foreign exchange gains and interest income on several outstanding joint interest receivables.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Lower other operating expense in 2024 is primarily driven by lower non-operated Terra Nova field start-up costs, contingency adjustments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asset retirement obligations (ARO) revisions. Lower interest expense was due to lower debt levels. Lower transportation, gathering and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processing expenses related to lower production in the U.S.</w:t>
      </w:r>
    </w:p>
    <w:p>
      <w:pPr>
        <w:spacing w:after="0" w:line="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year ended December 31, 2024, total hydrocarbon production was 184,293 BOEPD, a decrease of 4% compared to 2023. The decrease was principally due to lower production in the U.S., primarily in the Gulf of America due to downtime for wells awaiting workovers and in the Eagle Ford Shale due to timing and performance of new wells and partially offset by the restart of production at the non-operated Terra Nova field in Canada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Murphy’s Net income (loss) by type of business and geographic segment is presented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ind w:left="20"/>
              <w:spacing w:after="0"/>
              <w:rPr>
                <w:sz w:val="20"/>
                <w:szCs w:val="20"/>
                <w:color w:val="auto"/>
              </w:rPr>
            </w:pPr>
            <w:r>
              <w:rPr>
                <w:rFonts w:ascii="Arial" w:cs="Arial" w:eastAsia="Arial" w:hAnsi="Arial"/>
                <w:sz w:val="16"/>
                <w:szCs w:val="16"/>
                <w:i w:val="1"/>
                <w:iCs w:val="1"/>
                <w:color w:val="auto"/>
                <w:w w:val="74"/>
              </w:rPr>
              <w:t>(</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7"/>
              </w:rPr>
              <w:t>Millions of dollars</w:t>
            </w:r>
          </w:p>
        </w:tc>
        <w:tc>
          <w:tcPr>
            <w:tcW w:w="4960" w:type="dxa"/>
            <w:vAlign w:val="bottom"/>
          </w:tcPr>
          <w:p>
            <w:pPr>
              <w:jc w:val="right"/>
              <w:ind w:right="4822"/>
              <w:spacing w:after="0"/>
              <w:rPr>
                <w:sz w:val="20"/>
                <w:szCs w:val="20"/>
                <w:color w:val="auto"/>
              </w:rPr>
            </w:pPr>
            <w:r>
              <w:rPr>
                <w:rFonts w:ascii="Arial" w:cs="Arial" w:eastAsia="Arial" w:hAnsi="Arial"/>
                <w:sz w:val="16"/>
                <w:szCs w:val="16"/>
                <w:i w:val="1"/>
                <w:iCs w:val="1"/>
                <w:color w:val="auto"/>
                <w:w w:val="74"/>
              </w:rPr>
              <w:t>)</w:t>
            </w:r>
          </w:p>
        </w:tc>
        <w:tc>
          <w:tcPr>
            <w:tcW w:w="340" w:type="dxa"/>
            <w:vAlign w:val="bottom"/>
          </w:tcPr>
          <w:p>
            <w:pPr>
              <w:spacing w:after="0"/>
              <w:rPr>
                <w:sz w:val="19"/>
                <w:szCs w:val="19"/>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71"/>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2022</w:t>
            </w:r>
          </w:p>
        </w:tc>
      </w:tr>
      <w:tr>
        <w:trPr>
          <w:trHeight w:val="47"/>
        </w:trPr>
        <w:tc>
          <w:tcPr>
            <w:tcW w:w="8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49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07"/>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Exploration and production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80" w:type="dxa"/>
            <w:vAlign w:val="bottom"/>
          </w:tcPr>
          <w:p>
            <w:pPr>
              <w:spacing w:after="0"/>
              <w:rPr>
                <w:sz w:val="19"/>
                <w:szCs w:val="19"/>
                <w:color w:val="auto"/>
              </w:rPr>
            </w:pP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561.9</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905.1</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1,521.9</w:t>
            </w:r>
          </w:p>
        </w:tc>
      </w:tr>
      <w:tr>
        <w:trPr>
          <w:trHeight w:val="227"/>
        </w:trPr>
        <w:tc>
          <w:tcPr>
            <w:tcW w:w="8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27"/>
        </w:trPr>
        <w:tc>
          <w:tcPr>
            <w:tcW w:w="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International</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r>
      <w:tr>
        <w:trPr>
          <w:trHeight w:val="220"/>
        </w:trPr>
        <w:tc>
          <w:tcPr>
            <w:tcW w:w="8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exploration and production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r>
      <w:tr>
        <w:trPr>
          <w:trHeight w:val="227"/>
        </w:trPr>
        <w:tc>
          <w:tcPr>
            <w:tcW w:w="6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r>
      <w:tr>
        <w:trPr>
          <w:trHeight w:val="220"/>
        </w:trPr>
        <w:tc>
          <w:tcPr>
            <w:tcW w:w="8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w:t>
            </w:r>
          </w:p>
        </w:tc>
      </w:tr>
      <w:tr>
        <w:trPr>
          <w:trHeight w:val="267"/>
        </w:trPr>
        <w:tc>
          <w:tcPr>
            <w:tcW w:w="6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 xml:space="preserve">Loss from discontinued operations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7"/>
        </w:trPr>
        <w:tc>
          <w:tcPr>
            <w:tcW w:w="80" w:type="dxa"/>
            <w:vAlign w:val="bottom"/>
            <w:shd w:val="clear" w:color="auto" w:fill="CCEEFF"/>
          </w:tcPr>
          <w:p>
            <w:pPr>
              <w:spacing w:after="0"/>
              <w:rPr>
                <w:sz w:val="21"/>
                <w:szCs w:val="21"/>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including noncontrolling interest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w:t>
            </w:r>
          </w:p>
        </w:tc>
      </w:tr>
      <w:tr>
        <w:trPr>
          <w:trHeight w:val="267"/>
        </w:trPr>
        <w:tc>
          <w:tcPr>
            <w:tcW w:w="80" w:type="dxa"/>
            <w:vAlign w:val="bottom"/>
            <w:tcBorders>
              <w:bottom w:val="single" w:sz="8" w:color="CCEEFF"/>
            </w:tcBorders>
          </w:tcPr>
          <w:p>
            <w:pPr>
              <w:spacing w:after="0"/>
              <w:rPr>
                <w:sz w:val="23"/>
                <w:szCs w:val="23"/>
                <w:color w:val="auto"/>
              </w:rPr>
            </w:pPr>
          </w:p>
        </w:tc>
        <w:tc>
          <w:tcPr>
            <w:tcW w:w="63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63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Net income attributable to Murphy</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right="280" w:hanging="147"/>
        <w:spacing w:after="0" w:line="224" w:lineRule="auto"/>
        <w:tabs>
          <w:tab w:leader="none" w:pos="9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Company has presented its former U.K., Malaysia and U.S. refining and marketing operations as discontinued operations in its consolidated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E&amp;P Continuing Operations: 2024 vs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of Exploration and Production (E&amp;P) continuing operations excludes the Corporate segment, unless otherwise noted.</w:t>
      </w:r>
    </w:p>
    <w:p>
      <w:pPr>
        <w:spacing w:after="0" w:line="114"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Please also refer to “</w:t>
      </w:r>
      <w:r>
        <w:rPr>
          <w:rFonts w:ascii="Arial" w:cs="Arial" w:eastAsia="Arial" w:hAnsi="Arial"/>
          <w:sz w:val="18"/>
          <w:szCs w:val="18"/>
          <w:u w:val="single" w:color="auto"/>
          <w:color w:val="0000FF"/>
        </w:rPr>
        <w:t>Schedule 6 – Results of Operations for Oil and Natural Gas Producing Activities</w:t>
      </w:r>
      <w:r>
        <w:rPr>
          <w:rFonts w:ascii="Arial" w:cs="Arial" w:eastAsia="Arial" w:hAnsi="Arial"/>
          <w:sz w:val="18"/>
          <w:szCs w:val="18"/>
          <w:color w:val="auto"/>
        </w:rPr>
        <w:t>” in the Supplemental Oil and Natural Gas Information section for additional supporting tables.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summarized statement of operations for E&amp;P continuing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3"/>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40" w:type="dxa"/>
            <w:vAlign w:val="bottom"/>
          </w:tcPr>
          <w:p>
            <w:pPr>
              <w:spacing w:after="0"/>
              <w:rPr>
                <w:sz w:val="17"/>
                <w:szCs w:val="17"/>
                <w:color w:val="auto"/>
              </w:rPr>
            </w:pPr>
          </w:p>
        </w:tc>
        <w:tc>
          <w:tcPr>
            <w:tcW w:w="1180" w:type="dxa"/>
            <w:vAlign w:val="bottom"/>
          </w:tcPr>
          <w:p>
            <w:pPr>
              <w:jc w:val="right"/>
              <w:ind w:right="47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7"/>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 and other income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Revenue from production</w:t>
            </w:r>
          </w:p>
        </w:tc>
        <w:tc>
          <w:tcPr>
            <w:tcW w:w="340" w:type="dxa"/>
            <w:vAlign w:val="bottom"/>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3,014.9</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3,376.6</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4,038.5</w:t>
            </w:r>
          </w:p>
        </w:tc>
      </w:tr>
      <w:tr>
        <w:trPr>
          <w:trHeight w:val="227"/>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 purchased natural gas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227"/>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2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revenues and 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4,246.9</w:t>
            </w:r>
          </w:p>
        </w:tc>
      </w:tr>
      <w:tr>
        <w:trPr>
          <w:trHeight w:val="227"/>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operating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r>
      <w:tr>
        <w:trPr>
          <w:trHeight w:val="227"/>
        </w:trPr>
        <w:tc>
          <w:tcPr>
            <w:tcW w:w="20" w:type="dxa"/>
            <w:vAlign w:val="bottom"/>
          </w:tcPr>
          <w:p>
            <w:pPr>
              <w:spacing w:after="0"/>
              <w:rPr>
                <w:sz w:val="19"/>
                <w:szCs w:val="19"/>
                <w:color w:val="auto"/>
              </w:rPr>
            </w:pP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Severance and ad valorem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27"/>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Transportation, gathering and processing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27"/>
        </w:trPr>
        <w:tc>
          <w:tcPr>
            <w:tcW w:w="20" w:type="dxa"/>
            <w:vAlign w:val="bottom"/>
          </w:tcPr>
          <w:p>
            <w:pPr>
              <w:spacing w:after="0"/>
              <w:rPr>
                <w:sz w:val="19"/>
                <w:szCs w:val="19"/>
                <w:color w:val="auto"/>
              </w:rPr>
            </w:pP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Costs of purchased natural gas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27"/>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depletion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w:t>
            </w:r>
          </w:p>
        </w:tc>
      </w:tr>
      <w:tr>
        <w:trPr>
          <w:trHeight w:val="227"/>
        </w:trPr>
        <w:tc>
          <w:tcPr>
            <w:tcW w:w="20" w:type="dxa"/>
            <w:vAlign w:val="bottom"/>
          </w:tcPr>
          <w:p>
            <w:pPr>
              <w:spacing w:after="0"/>
              <w:rPr>
                <w:sz w:val="19"/>
                <w:szCs w:val="19"/>
                <w:color w:val="auto"/>
              </w:rPr>
            </w:pP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Impairments of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Accretion of asset retirement obligations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7"/>
        </w:trPr>
        <w:tc>
          <w:tcPr>
            <w:tcW w:w="20" w:type="dxa"/>
            <w:vAlign w:val="bottom"/>
          </w:tcPr>
          <w:p>
            <w:pPr>
              <w:spacing w:after="0"/>
              <w:rPr>
                <w:sz w:val="19"/>
                <w:szCs w:val="19"/>
                <w:color w:val="auto"/>
              </w:rPr>
            </w:pPr>
          </w:p>
        </w:tc>
        <w:tc>
          <w:tcPr>
            <w:tcW w:w="6420" w:type="dxa"/>
            <w:vAlign w:val="bottom"/>
            <w:gridSpan w:val="2"/>
          </w:tcPr>
          <w:p>
            <w:pPr>
              <w:ind w:left="220"/>
              <w:spacing w:after="0"/>
              <w:rPr>
                <w:sz w:val="20"/>
                <w:szCs w:val="20"/>
                <w:color w:val="auto"/>
              </w:rPr>
            </w:pPr>
            <w:r>
              <w:rPr>
                <w:rFonts w:ascii="Arial" w:cs="Arial" w:eastAsia="Arial" w:hAnsi="Arial"/>
                <w:sz w:val="18"/>
                <w:szCs w:val="18"/>
                <w:color w:val="auto"/>
              </w:rPr>
              <w:t>Total exploration expenses, including undeveloped lease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27"/>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and general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7"/>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r>
      <w:tr>
        <w:trPr>
          <w:trHeight w:val="220"/>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Results of operations before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w:t>
            </w:r>
          </w:p>
        </w:tc>
      </w:tr>
      <w:tr>
        <w:trPr>
          <w:trHeight w:val="227"/>
        </w:trPr>
        <w:tc>
          <w:tcPr>
            <w:tcW w:w="6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Income tax provisions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6420" w:type="dxa"/>
            <w:vAlign w:val="bottom"/>
            <w:tcBorders>
              <w:bottom w:val="single" w:sz="8" w:color="CCEEFF"/>
            </w:tcBorders>
            <w:gridSpan w:val="2"/>
            <w:shd w:val="clear" w:color="auto" w:fill="CCEEFF"/>
          </w:tcPr>
          <w:p>
            <w:pPr>
              <w:ind w:left="280"/>
              <w:spacing w:after="0" w:line="221" w:lineRule="exact"/>
              <w:rPr>
                <w:sz w:val="20"/>
                <w:szCs w:val="20"/>
                <w:color w:val="auto"/>
              </w:rPr>
            </w:pPr>
            <w:r>
              <w:rPr>
                <w:rFonts w:ascii="Arial" w:cs="Arial" w:eastAsia="Arial" w:hAnsi="Arial"/>
                <w:sz w:val="18"/>
                <w:szCs w:val="18"/>
                <w:color w:val="auto"/>
              </w:rPr>
              <w:t xml:space="preserve">Results of operations (excluding Corporate segment)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00" w:hanging="93"/>
        <w:spacing w:after="0"/>
        <w:tabs>
          <w:tab w:leader="none" w:pos="10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Pricing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weighted average sales prices for the three years ended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8"/>
              </w:rPr>
              <w:t>(Weighted average sales prices)</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2"/>
            <w:vMerge w:val="restart"/>
          </w:tcPr>
          <w:p>
            <w:pPr>
              <w:ind w:left="120"/>
              <w:spacing w:after="0"/>
              <w:rPr>
                <w:sz w:val="20"/>
                <w:szCs w:val="20"/>
                <w:color w:val="auto"/>
              </w:rPr>
            </w:pPr>
            <w:r>
              <w:rPr>
                <w:rFonts w:ascii="Arial" w:cs="Arial" w:eastAsia="Arial" w:hAnsi="Arial"/>
                <w:sz w:val="18"/>
                <w:szCs w:val="18"/>
                <w:color w:val="auto"/>
              </w:rPr>
              <w:t>Crude oil and condensate – dollars per barrel</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United States - Onshore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6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640"/>
              <w:spacing w:after="0" w:line="228" w:lineRule="exact"/>
              <w:rPr>
                <w:sz w:val="20"/>
                <w:szCs w:val="20"/>
                <w:color w:val="auto"/>
              </w:rPr>
            </w:pPr>
            <w:r>
              <w:rPr>
                <w:rFonts w:ascii="Arial" w:cs="Arial" w:eastAsia="Arial" w:hAnsi="Arial"/>
                <w:sz w:val="18"/>
                <w:szCs w:val="18"/>
                <w:color w:val="auto"/>
              </w:rPr>
              <w:t xml:space="preserve">Canada - Onshore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640"/>
              <w:spacing w:after="0" w:line="228" w:lineRule="exact"/>
              <w:rPr>
                <w:sz w:val="20"/>
                <w:szCs w:val="20"/>
                <w:color w:val="auto"/>
              </w:rPr>
            </w:pPr>
            <w:r>
              <w:rPr>
                <w:rFonts w:ascii="Arial" w:cs="Arial" w:eastAsia="Arial" w:hAnsi="Arial"/>
                <w:sz w:val="18"/>
                <w:szCs w:val="18"/>
                <w:color w:val="auto"/>
              </w:rPr>
              <w:t xml:space="preserve">Canada - Offshore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107.47</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640"/>
              <w:spacing w:after="0" w:line="228"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Natural gas liquids – dollars per barrel</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United States - Onshore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6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640"/>
              <w:spacing w:after="0" w:line="228" w:lineRule="exact"/>
              <w:rPr>
                <w:sz w:val="20"/>
                <w:szCs w:val="20"/>
                <w:color w:val="auto"/>
              </w:rPr>
            </w:pPr>
            <w:r>
              <w:rPr>
                <w:rFonts w:ascii="Arial" w:cs="Arial" w:eastAsia="Arial" w:hAnsi="Arial"/>
                <w:sz w:val="18"/>
                <w:szCs w:val="18"/>
                <w:color w:val="auto"/>
              </w:rPr>
              <w:t xml:space="preserve">Canada - Onshore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120"/>
              <w:spacing w:after="0"/>
              <w:rPr>
                <w:sz w:val="20"/>
                <w:szCs w:val="20"/>
                <w:color w:val="auto"/>
              </w:rPr>
            </w:pPr>
            <w:r>
              <w:rPr>
                <w:rFonts w:ascii="Arial" w:cs="Arial" w:eastAsia="Arial" w:hAnsi="Arial"/>
                <w:sz w:val="18"/>
                <w:szCs w:val="18"/>
                <w:color w:val="auto"/>
              </w:rPr>
              <w:t>Natural gas – dollars per thousand cubic feet</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United States - Onshore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6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640"/>
              <w:spacing w:after="0" w:line="228" w:lineRule="exact"/>
              <w:rPr>
                <w:sz w:val="20"/>
                <w:szCs w:val="20"/>
                <w:color w:val="auto"/>
              </w:rPr>
            </w:pPr>
            <w:r>
              <w:rPr>
                <w:rFonts w:ascii="Arial" w:cs="Arial" w:eastAsia="Arial" w:hAnsi="Arial"/>
                <w:sz w:val="18"/>
                <w:szCs w:val="18"/>
                <w:color w:val="auto"/>
              </w:rPr>
              <w:t xml:space="preserve">Canada - Onshore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0" w:right="6660" w:hanging="7"/>
        <w:spacing w:after="0" w:line="278" w:lineRule="auto"/>
        <w:tabs>
          <w:tab w:leader="none" w:pos="167"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 xml:space="preserve">Prices include the effect of noncontrolling interest in MP GOM. </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U.S. dollar equivalent.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benchmark prices relevant to the Company for the three years ended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gridSpan w:val="3"/>
          </w:tcPr>
          <w:p>
            <w:pPr>
              <w:ind w:left="20"/>
              <w:spacing w:after="0"/>
              <w:rPr>
                <w:sz w:val="20"/>
                <w:szCs w:val="20"/>
                <w:color w:val="auto"/>
              </w:rPr>
            </w:pPr>
            <w:r>
              <w:rPr>
                <w:rFonts w:ascii="Arial" w:cs="Arial" w:eastAsia="Arial" w:hAnsi="Arial"/>
                <w:sz w:val="18"/>
                <w:szCs w:val="18"/>
                <w:i w:val="1"/>
                <w:iCs w:val="1"/>
                <w:color w:val="auto"/>
              </w:rPr>
              <w:t>(Average price for the period)</w:t>
            </w:r>
          </w:p>
        </w:tc>
        <w:tc>
          <w:tcPr>
            <w:tcW w:w="340" w:type="dxa"/>
            <w:vAlign w:val="bottom"/>
          </w:tcPr>
          <w:p>
            <w:pPr>
              <w:spacing w:after="0"/>
              <w:rPr>
                <w:sz w:val="17"/>
                <w:szCs w:val="17"/>
                <w:color w:val="auto"/>
              </w:rPr>
            </w:pPr>
          </w:p>
        </w:tc>
        <w:tc>
          <w:tcPr>
            <w:tcW w:w="1240" w:type="dxa"/>
            <w:vAlign w:val="bottom"/>
          </w:tcPr>
          <w:p>
            <w:pPr>
              <w:jc w:val="right"/>
              <w:ind w:right="511"/>
              <w:spacing w:after="0"/>
              <w:rPr>
                <w:sz w:val="20"/>
                <w:szCs w:val="20"/>
                <w:color w:val="auto"/>
              </w:rPr>
            </w:pPr>
            <w:r>
              <w:rPr>
                <w:rFonts w:ascii="Arial" w:cs="Arial" w:eastAsia="Arial" w:hAnsi="Arial"/>
                <w:sz w:val="18"/>
                <w:szCs w:val="18"/>
                <w:b w:val="1"/>
                <w:bCs w:val="1"/>
                <w:color w:val="auto"/>
              </w:rPr>
              <w:t>2024</w:t>
            </w:r>
          </w:p>
        </w:tc>
        <w:tc>
          <w:tcPr>
            <w:tcW w:w="420" w:type="dxa"/>
            <w:vAlign w:val="bottom"/>
          </w:tcPr>
          <w:p>
            <w:pPr>
              <w:spacing w:after="0"/>
              <w:rPr>
                <w:sz w:val="17"/>
                <w:szCs w:val="17"/>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7"/>
                <w:szCs w:val="17"/>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2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Oil and NGLs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440"/>
              <w:spacing w:after="0"/>
              <w:rPr>
                <w:sz w:val="20"/>
                <w:szCs w:val="20"/>
                <w:color w:val="auto"/>
              </w:rPr>
            </w:pPr>
            <w:r>
              <w:rPr>
                <w:rFonts w:ascii="Arial" w:cs="Arial" w:eastAsia="Arial" w:hAnsi="Arial"/>
                <w:sz w:val="18"/>
                <w:szCs w:val="18"/>
                <w:color w:val="auto"/>
              </w:rPr>
              <w:t>WTI ($/BBL)</w:t>
            </w:r>
          </w:p>
        </w:tc>
        <w:tc>
          <w:tcPr>
            <w:tcW w:w="340" w:type="dxa"/>
            <w:vAlign w:val="bottom"/>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75.72</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77.62</w:t>
            </w:r>
          </w:p>
        </w:tc>
        <w:tc>
          <w:tcPr>
            <w:tcW w:w="4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94.23</w:t>
            </w: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Natural gas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440"/>
              <w:spacing w:after="0"/>
              <w:rPr>
                <w:sz w:val="20"/>
                <w:szCs w:val="20"/>
                <w:color w:val="auto"/>
              </w:rPr>
            </w:pPr>
            <w:r>
              <w:rPr>
                <w:rFonts w:ascii="Arial" w:cs="Arial" w:eastAsia="Arial" w:hAnsi="Arial"/>
                <w:sz w:val="18"/>
                <w:szCs w:val="18"/>
                <w:color w:val="auto"/>
              </w:rPr>
              <w:t>NYMEX ($/MMBTU)</w:t>
            </w:r>
          </w:p>
        </w:tc>
        <w:tc>
          <w:tcPr>
            <w:tcW w:w="3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2.24</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AECO (C$/MCF)</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1.46</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Production Volumes</w:t>
      </w:r>
    </w:p>
    <w:p>
      <w:pPr>
        <w:spacing w:after="0" w:line="11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color w:val="auto"/>
        </w:rPr>
        <w:t>The following table contains hydrocarbons produced during the three years ended December 31, 2024. For further discussion on volumes, please see “</w:t>
      </w:r>
      <w:r>
        <w:rPr>
          <w:rFonts w:ascii="Arial" w:cs="Arial" w:eastAsia="Arial" w:hAnsi="Arial"/>
          <w:sz w:val="18"/>
          <w:szCs w:val="18"/>
          <w:u w:val="single" w:color="auto"/>
          <w:color w:val="0000FF"/>
        </w:rPr>
        <w:t>Revenues from Production</w:t>
      </w:r>
      <w:r>
        <w:rPr>
          <w:rFonts w:ascii="Arial" w:cs="Arial" w:eastAsia="Arial" w:hAnsi="Arial"/>
          <w:sz w:val="18"/>
          <w:szCs w:val="18"/>
          <w:color w:val="auto"/>
        </w:rPr>
        <w:t xml:space="preserve">” section on page </w:t>
      </w:r>
      <w:r>
        <w:rPr>
          <w:rFonts w:ascii="Arial" w:cs="Arial" w:eastAsia="Arial" w:hAnsi="Arial"/>
          <w:sz w:val="18"/>
          <w:szCs w:val="18"/>
          <w:u w:val="single" w:color="auto"/>
          <w:color w:val="0000FF"/>
        </w:rPr>
        <w:t>37</w:t>
      </w:r>
      <w:r>
        <w:rPr>
          <w:rFonts w:ascii="Arial" w:cs="Arial" w:eastAsia="Arial" w:hAnsi="Arial"/>
          <w:sz w:val="18"/>
          <w:szCs w:val="18"/>
          <w:color w:val="auto"/>
        </w:rPr>
        <w: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(Barrels per day unless otherwise noted)</w:t>
            </w:r>
          </w:p>
        </w:tc>
        <w:tc>
          <w:tcPr>
            <w:tcW w:w="1540" w:type="dxa"/>
            <w:vAlign w:val="bottom"/>
          </w:tcPr>
          <w:p>
            <w:pPr>
              <w:jc w:val="right"/>
              <w:ind w:right="49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540" w:type="dxa"/>
            <w:vAlign w:val="bottom"/>
          </w:tcPr>
          <w:p>
            <w:pPr>
              <w:jc w:val="right"/>
              <w:ind w:right="49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1540" w:type="dxa"/>
            <w:vAlign w:val="bottom"/>
          </w:tcPr>
          <w:p>
            <w:pPr>
              <w:jc w:val="right"/>
              <w:ind w:right="4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Net crude oil and condensate</w:t>
            </w:r>
          </w:p>
        </w:tc>
        <w:tc>
          <w:tcPr>
            <w:tcW w:w="320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United States - Onshore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21,151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63,047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73,473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65,411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Canada - Onshore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440"/>
              <w:spacing w:after="0"/>
              <w:rPr>
                <w:sz w:val="20"/>
                <w:szCs w:val="20"/>
                <w:color w:val="auto"/>
              </w:rPr>
            </w:pPr>
            <w:r>
              <w:rPr>
                <w:rFonts w:ascii="Arial" w:cs="Arial" w:eastAsia="Arial" w:hAnsi="Arial"/>
                <w:sz w:val="18"/>
                <w:szCs w:val="18"/>
                <w:color w:val="auto"/>
              </w:rPr>
              <w:t>Canada - Offshore</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7,251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net crude oil and condensate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94,536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natural gas liquids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440"/>
              <w:spacing w:after="0"/>
              <w:rPr>
                <w:sz w:val="20"/>
                <w:szCs w:val="20"/>
                <w:color w:val="auto"/>
              </w:rPr>
            </w:pPr>
            <w:r>
              <w:rPr>
                <w:rFonts w:ascii="Arial" w:cs="Arial" w:eastAsia="Arial" w:hAnsi="Arial"/>
                <w:sz w:val="18"/>
                <w:szCs w:val="18"/>
                <w:color w:val="auto"/>
              </w:rPr>
              <w:t>United States - Onshore</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4,442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Canada - Onshore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net natural gas liquids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Net natural gas – thousands of cubic feet per day</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United States - Onshore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57,228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70,239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63,380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Canada - Onshore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398,786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369,906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net natural gas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481,042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466,008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402,660</w:t>
            </w:r>
          </w:p>
        </w:tc>
        <w:tc>
          <w:tcPr>
            <w:tcW w:w="0" w:type="dxa"/>
            <w:vAlign w:val="bottom"/>
          </w:tcPr>
          <w:p>
            <w:pPr>
              <w:spacing w:after="0"/>
              <w:rPr>
                <w:sz w:val="1"/>
                <w:szCs w:val="1"/>
                <w:color w:val="auto"/>
              </w:rPr>
            </w:pPr>
          </w:p>
        </w:tc>
      </w:tr>
      <w:tr>
        <w:trPr>
          <w:trHeight w:val="247"/>
        </w:trPr>
        <w:tc>
          <w:tcPr>
            <w:tcW w:w="20" w:type="dxa"/>
            <w:vAlign w:val="bottom"/>
            <w:shd w:val="clear" w:color="auto" w:fill="CCEEFF"/>
          </w:tcPr>
          <w:p>
            <w:pPr>
              <w:spacing w:after="0"/>
              <w:rPr>
                <w:sz w:val="21"/>
                <w:szCs w:val="21"/>
                <w:color w:val="auto"/>
              </w:rPr>
            </w:pPr>
          </w:p>
        </w:tc>
        <w:tc>
          <w:tcPr>
            <w:tcW w:w="6400" w:type="dxa"/>
            <w:vAlign w:val="bottom"/>
            <w:gridSpan w:val="2"/>
            <w:shd w:val="clear" w:color="auto" w:fill="CCEEFF"/>
          </w:tcPr>
          <w:p>
            <w:pPr>
              <w:spacing w:after="0" w:line="247" w:lineRule="exact"/>
              <w:rPr>
                <w:sz w:val="20"/>
                <w:szCs w:val="20"/>
                <w:color w:val="auto"/>
              </w:rPr>
            </w:pPr>
            <w:r>
              <w:rPr>
                <w:rFonts w:ascii="Arial" w:cs="Arial" w:eastAsia="Arial" w:hAnsi="Arial"/>
                <w:sz w:val="18"/>
                <w:szCs w:val="18"/>
                <w:b w:val="1"/>
                <w:bCs w:val="1"/>
                <w:color w:val="auto"/>
              </w:rPr>
              <w:t xml:space="preserve">Total net hydrocarbons - including NCI </w:t>
            </w:r>
            <w:r>
              <w:rPr>
                <w:rFonts w:ascii="Arial" w:cs="Arial" w:eastAsia="Arial" w:hAnsi="Arial"/>
                <w:sz w:val="23"/>
                <w:szCs w:val="23"/>
                <w:b w:val="1"/>
                <w:bCs w:val="1"/>
                <w:color w:val="auto"/>
                <w:vertAlign w:val="superscript"/>
              </w:rPr>
              <w:t>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184,293</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192,640</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crude oil and condensate – barrels per day</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00" w:type="dxa"/>
            <w:vAlign w:val="bottom"/>
            <w:gridSpan w:val="2"/>
          </w:tcPr>
          <w:p>
            <w:pPr>
              <w:ind w:left="440"/>
              <w:spacing w:after="0"/>
              <w:rPr>
                <w:sz w:val="20"/>
                <w:szCs w:val="20"/>
                <w:color w:val="auto"/>
              </w:rPr>
            </w:pPr>
            <w:r>
              <w:rPr>
                <w:rFonts w:ascii="Arial" w:cs="Arial" w:eastAsia="Arial" w:hAnsi="Arial"/>
                <w:sz w:val="18"/>
                <w:szCs w:val="18"/>
                <w:color w:val="auto"/>
              </w:rPr>
              <w:t>Net natural gas liquids – barrels per day</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natural gas – thousands of cubic feet per day</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2"/>
          </w:tcPr>
          <w:p>
            <w:pPr>
              <w:ind w:left="200"/>
              <w:spacing w:after="0" w:line="221" w:lineRule="exact"/>
              <w:rPr>
                <w:sz w:val="20"/>
                <w:szCs w:val="20"/>
                <w:color w:val="auto"/>
              </w:rPr>
            </w:pPr>
            <w:r>
              <w:rPr>
                <w:rFonts w:ascii="Arial" w:cs="Arial" w:eastAsia="Arial" w:hAnsi="Arial"/>
                <w:sz w:val="18"/>
                <w:szCs w:val="18"/>
                <w:color w:val="auto"/>
              </w:rPr>
              <w:t xml:space="preserve">Total noncontrolling interest </w:t>
            </w:r>
            <w:r>
              <w:rPr>
                <w:rFonts w:ascii="Arial" w:cs="Arial" w:eastAsia="Arial" w:hAnsi="Arial"/>
                <w:sz w:val="23"/>
                <w:szCs w:val="23"/>
                <w:color w:val="auto"/>
                <w:vertAlign w:val="superscript"/>
              </w:rPr>
              <w:t>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2"/>
            <w:shd w:val="clear" w:color="auto" w:fill="CCEEFF"/>
          </w:tcPr>
          <w:p>
            <w:pPr>
              <w:spacing w:after="0" w:line="221" w:lineRule="exact"/>
              <w:rPr>
                <w:sz w:val="20"/>
                <w:szCs w:val="20"/>
                <w:color w:val="auto"/>
              </w:rPr>
            </w:pPr>
            <w:r>
              <w:rPr>
                <w:rFonts w:ascii="Arial" w:cs="Arial" w:eastAsia="Arial" w:hAnsi="Arial"/>
                <w:sz w:val="18"/>
                <w:szCs w:val="18"/>
                <w:b w:val="1"/>
                <w:bCs w:val="1"/>
                <w:color w:val="auto"/>
              </w:rPr>
              <w:t xml:space="preserve">Total net hydrocarbons - excluding NCI </w:t>
            </w:r>
            <w:r>
              <w:rPr>
                <w:rFonts w:ascii="Arial" w:cs="Arial" w:eastAsia="Arial" w:hAnsi="Arial"/>
                <w:sz w:val="23"/>
                <w:szCs w:val="23"/>
                <w:b w:val="1"/>
                <w:bCs w:val="1"/>
                <w:color w:val="auto"/>
                <w:vertAlign w:val="superscript"/>
              </w:rPr>
              <w:t>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177,412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185,862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00" w:type="dxa"/>
            <w:vAlign w:val="bottom"/>
            <w:tcBorders>
              <w:top w:val="single" w:sz="8" w:color="CCEEFF"/>
              <w:bottom w:val="single" w:sz="8" w:color="CCEEFF"/>
            </w:tcBorders>
            <w:gridSpan w:val="2"/>
            <w:vMerge w:val="restart"/>
          </w:tcPr>
          <w:p>
            <w:pPr>
              <w:spacing w:after="0" w:line="160" w:lineRule="exact"/>
              <w:rPr>
                <w:sz w:val="20"/>
                <w:szCs w:val="20"/>
                <w:color w:val="auto"/>
              </w:rPr>
            </w:pPr>
            <w:r>
              <w:rPr>
                <w:rFonts w:ascii="Arial" w:cs="Arial" w:eastAsia="Arial" w:hAnsi="Arial"/>
                <w:sz w:val="18"/>
                <w:szCs w:val="18"/>
                <w:color w:val="auto"/>
              </w:rPr>
              <w:t>Estimated total proved net hydrocarbon reserves</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6400" w:type="dxa"/>
            <w:vAlign w:val="bottom"/>
            <w:gridSpan w:val="2"/>
            <w:vMerge w:val="continue"/>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729.0</w:t>
            </w: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 xml:space="preserve">- million equivalent barrels </w:t>
            </w:r>
            <w:r>
              <w:rPr>
                <w:rFonts w:ascii="Arial" w:cs="Arial" w:eastAsia="Arial" w:hAnsi="Arial"/>
                <w:sz w:val="23"/>
                <w:szCs w:val="23"/>
                <w:color w:val="auto"/>
                <w:vertAlign w:val="superscript"/>
              </w:rPr>
              <w:t>3,4</w:t>
            </w: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20" w:hanging="107"/>
        <w:spacing w:after="0"/>
        <w:tabs>
          <w:tab w:leader="none" w:pos="12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Includes net volumes attributable to a noncontrolling interest in MP GOM.</w:t>
      </w:r>
    </w:p>
    <w:p>
      <w:pPr>
        <w:spacing w:after="0" w:line="32" w:lineRule="exact"/>
        <w:rPr>
          <w:rFonts w:ascii="Arial" w:cs="Arial" w:eastAsia="Arial" w:hAnsi="Arial"/>
          <w:sz w:val="21"/>
          <w:szCs w:val="21"/>
          <w:color w:val="auto"/>
          <w:vertAlign w:val="superscript"/>
        </w:rPr>
      </w:pPr>
    </w:p>
    <w:p>
      <w:pPr>
        <w:spacing w:after="0" w:line="236" w:lineRule="auto"/>
        <w:rPr>
          <w:rFonts w:ascii="Arial" w:cs="Arial" w:eastAsia="Arial" w:hAnsi="Arial"/>
          <w:sz w:val="21"/>
          <w:szCs w:val="21"/>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w:t>
      </w:r>
    </w:p>
    <w:p>
      <w:pPr>
        <w:ind w:left="20"/>
        <w:spacing w:after="0" w:line="236" w:lineRule="auto"/>
        <w:rPr>
          <w:rFonts w:ascii="Arial" w:cs="Arial" w:eastAsia="Arial" w:hAnsi="Arial"/>
          <w:sz w:val="21"/>
          <w:szCs w:val="21"/>
          <w:color w:val="auto"/>
          <w:vertAlign w:val="superscript"/>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ind w:left="20" w:right="2880" w:hanging="7"/>
        <w:spacing w:after="0" w:line="268" w:lineRule="auto"/>
        <w:rPr>
          <w:rFonts w:ascii="Arial" w:cs="Arial" w:eastAsia="Arial" w:hAnsi="Arial"/>
          <w:sz w:val="21"/>
          <w:szCs w:val="21"/>
          <w:color w:val="auto"/>
          <w:vertAlign w:val="superscript"/>
        </w:rPr>
      </w:pPr>
      <w:r>
        <w:rPr>
          <w:rFonts w:ascii="Arial" w:cs="Arial" w:eastAsia="Arial" w:hAnsi="Arial"/>
          <w:sz w:val="20"/>
          <w:szCs w:val="20"/>
          <w:color w:val="auto"/>
          <w:vertAlign w:val="superscript"/>
        </w:rPr>
        <w:t>4</w:t>
      </w:r>
      <w:r>
        <w:rPr>
          <w:rFonts w:ascii="Arial" w:cs="Arial" w:eastAsia="Arial" w:hAnsi="Arial"/>
          <w:sz w:val="16"/>
          <w:szCs w:val="16"/>
          <w:color w:val="auto"/>
        </w:rPr>
        <w:t xml:space="preserve"> December 31, 2024, 2023 and 2022, include 15.9 MMBOE, 15.5 MMBOE and 18.2 MMBOE, respectively, relating to noncontrolling interest.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Volumes</w:t>
      </w:r>
    </w:p>
    <w:p>
      <w:pPr>
        <w:spacing w:after="0" w:line="11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The following table contains hydrocarbons sold during the three years ended December 31, 2024. For further discussion on volumes, please see “</w:t>
      </w:r>
      <w:r>
        <w:rPr>
          <w:rFonts w:ascii="Arial" w:cs="Arial" w:eastAsia="Arial" w:hAnsi="Arial"/>
          <w:sz w:val="18"/>
          <w:szCs w:val="18"/>
          <w:u w:val="single" w:color="auto"/>
          <w:color w:val="0000FF"/>
        </w:rPr>
        <w:t>Revenues from Production</w:t>
      </w:r>
      <w:r>
        <w:rPr>
          <w:rFonts w:ascii="Arial" w:cs="Arial" w:eastAsia="Arial" w:hAnsi="Arial"/>
          <w:sz w:val="18"/>
          <w:szCs w:val="18"/>
          <w:color w:val="auto"/>
        </w:rPr>
        <w:t xml:space="preserve">” section on page </w:t>
      </w:r>
      <w:r>
        <w:rPr>
          <w:rFonts w:ascii="Arial" w:cs="Arial" w:eastAsia="Arial" w:hAnsi="Arial"/>
          <w:sz w:val="18"/>
          <w:szCs w:val="18"/>
          <w:u w:val="single" w:color="auto"/>
          <w:color w:val="0000FF"/>
        </w:rPr>
        <w:t>37</w:t>
      </w:r>
      <w:r>
        <w:rPr>
          <w:rFonts w:ascii="Arial" w:cs="Arial" w:eastAsia="Arial" w:hAnsi="Arial"/>
          <w:sz w:val="18"/>
          <w:szCs w:val="18"/>
          <w:color w:val="auto"/>
        </w:rPr>
        <w: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i w:val="1"/>
                <w:iCs w:val="1"/>
                <w:color w:val="auto"/>
              </w:rPr>
              <w:t>(Barrels per day unless otherwise noted)</w:t>
            </w:r>
          </w:p>
        </w:tc>
        <w:tc>
          <w:tcPr>
            <w:tcW w:w="1520" w:type="dxa"/>
            <w:vAlign w:val="bottom"/>
          </w:tcPr>
          <w:p>
            <w:pPr>
              <w:jc w:val="right"/>
              <w:ind w:right="47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540" w:type="dxa"/>
            <w:vAlign w:val="bottom"/>
          </w:tcPr>
          <w:p>
            <w:pPr>
              <w:jc w:val="right"/>
              <w:ind w:right="49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1520" w:type="dxa"/>
            <w:vAlign w:val="bottom"/>
          </w:tcPr>
          <w:p>
            <w:pPr>
              <w:jc w:val="right"/>
              <w:ind w:right="4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Net crude oil and condensate</w:t>
            </w:r>
          </w:p>
        </w:tc>
        <w:tc>
          <w:tcPr>
            <w:tcW w:w="3160" w:type="dxa"/>
            <w:vAlign w:val="bottom"/>
            <w:vMerge w:val="restart"/>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31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United States - Onshore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21,151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2"/>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63,612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73,373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64,840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Canada - Onshore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2"/>
          </w:tcPr>
          <w:p>
            <w:pPr>
              <w:ind w:left="440"/>
              <w:spacing w:after="0"/>
              <w:rPr>
                <w:sz w:val="20"/>
                <w:szCs w:val="20"/>
                <w:color w:val="auto"/>
              </w:rPr>
            </w:pPr>
            <w:r>
              <w:rPr>
                <w:rFonts w:ascii="Arial" w:cs="Arial" w:eastAsia="Arial" w:hAnsi="Arial"/>
                <w:sz w:val="18"/>
                <w:szCs w:val="18"/>
                <w:color w:val="auto"/>
              </w:rPr>
              <w:t>Canada - Offshore</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6,445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net crude oil and condensate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94,306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103,288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96,947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natural gas liquids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2"/>
          </w:tcPr>
          <w:p>
            <w:pPr>
              <w:ind w:left="440"/>
              <w:spacing w:after="0"/>
              <w:rPr>
                <w:sz w:val="20"/>
                <w:szCs w:val="20"/>
                <w:color w:val="auto"/>
              </w:rPr>
            </w:pPr>
            <w:r>
              <w:rPr>
                <w:rFonts w:ascii="Arial" w:cs="Arial" w:eastAsia="Arial" w:hAnsi="Arial"/>
                <w:sz w:val="18"/>
                <w:szCs w:val="18"/>
                <w:color w:val="auto"/>
              </w:rPr>
              <w:t>United States - Onshore</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4,443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Canada - Onshore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net natural gas liquids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Net natural gas – thousands of cubic feet per day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United States - Onshore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2"/>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57,228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70,239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63,380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Canada - Onshore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398,786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369,906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310,230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net natural gas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481,042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466,008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402,660</w:t>
            </w:r>
          </w:p>
        </w:tc>
        <w:tc>
          <w:tcPr>
            <w:tcW w:w="0" w:type="dxa"/>
            <w:vAlign w:val="bottom"/>
          </w:tcPr>
          <w:p>
            <w:pPr>
              <w:spacing w:after="0"/>
              <w:rPr>
                <w:sz w:val="1"/>
                <w:szCs w:val="1"/>
                <w:color w:val="auto"/>
              </w:rPr>
            </w:pPr>
          </w:p>
        </w:tc>
      </w:tr>
      <w:tr>
        <w:trPr>
          <w:trHeight w:val="247"/>
        </w:trPr>
        <w:tc>
          <w:tcPr>
            <w:tcW w:w="20" w:type="dxa"/>
            <w:vAlign w:val="bottom"/>
            <w:shd w:val="clear" w:color="auto" w:fill="CCEEFF"/>
          </w:tcPr>
          <w:p>
            <w:pPr>
              <w:spacing w:after="0"/>
              <w:rPr>
                <w:sz w:val="21"/>
                <w:szCs w:val="21"/>
                <w:color w:val="auto"/>
              </w:rPr>
            </w:pPr>
          </w:p>
        </w:tc>
        <w:tc>
          <w:tcPr>
            <w:tcW w:w="6360" w:type="dxa"/>
            <w:vAlign w:val="bottom"/>
            <w:gridSpan w:val="2"/>
            <w:shd w:val="clear" w:color="auto" w:fill="CCEEFF"/>
          </w:tcPr>
          <w:p>
            <w:pPr>
              <w:spacing w:after="0" w:line="247" w:lineRule="exact"/>
              <w:rPr>
                <w:sz w:val="20"/>
                <w:szCs w:val="20"/>
                <w:color w:val="auto"/>
              </w:rPr>
            </w:pPr>
            <w:r>
              <w:rPr>
                <w:rFonts w:ascii="Arial" w:cs="Arial" w:eastAsia="Arial" w:hAnsi="Arial"/>
                <w:sz w:val="18"/>
                <w:szCs w:val="18"/>
                <w:b w:val="1"/>
                <w:bCs w:val="1"/>
                <w:color w:val="auto"/>
              </w:rPr>
              <w:t xml:space="preserve">Total net hydrocarbons - including NCI </w:t>
            </w:r>
            <w:r>
              <w:rPr>
                <w:rFonts w:ascii="Arial" w:cs="Arial" w:eastAsia="Arial" w:hAnsi="Arial"/>
                <w:sz w:val="23"/>
                <w:szCs w:val="23"/>
                <w:b w:val="1"/>
                <w:bCs w:val="1"/>
                <w:color w:val="auto"/>
                <w:vertAlign w:val="superscript"/>
              </w:rPr>
              <w:t>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184,063</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192,178</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crude oil and condensate – barrels per day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60" w:type="dxa"/>
            <w:vAlign w:val="bottom"/>
            <w:gridSpan w:val="2"/>
          </w:tcPr>
          <w:p>
            <w:pPr>
              <w:ind w:left="440"/>
              <w:spacing w:after="0"/>
              <w:rPr>
                <w:sz w:val="20"/>
                <w:szCs w:val="20"/>
                <w:color w:val="auto"/>
              </w:rPr>
            </w:pPr>
            <w:r>
              <w:rPr>
                <w:rFonts w:ascii="Arial" w:cs="Arial" w:eastAsia="Arial" w:hAnsi="Arial"/>
                <w:sz w:val="18"/>
                <w:szCs w:val="18"/>
                <w:color w:val="auto"/>
              </w:rPr>
              <w:t>Net natural gas liquids – barrels per day</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natural gas – thousands of cubic feet per day</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2"/>
          </w:tcPr>
          <w:p>
            <w:pPr>
              <w:ind w:left="200"/>
              <w:spacing w:after="0" w:line="221" w:lineRule="exact"/>
              <w:rPr>
                <w:sz w:val="20"/>
                <w:szCs w:val="20"/>
                <w:color w:val="auto"/>
              </w:rPr>
            </w:pPr>
            <w:r>
              <w:rPr>
                <w:rFonts w:ascii="Arial" w:cs="Arial" w:eastAsia="Arial" w:hAnsi="Arial"/>
                <w:sz w:val="18"/>
                <w:szCs w:val="18"/>
                <w:color w:val="auto"/>
              </w:rPr>
              <w:t xml:space="preserve">Total noncontrolling interest </w:t>
            </w:r>
            <w:r>
              <w:rPr>
                <w:rFonts w:ascii="Arial" w:cs="Arial" w:eastAsia="Arial" w:hAnsi="Arial"/>
                <w:sz w:val="23"/>
                <w:szCs w:val="23"/>
                <w:color w:val="auto"/>
                <w:vertAlign w:val="superscript"/>
              </w:rPr>
              <w:t>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2"/>
            <w:shd w:val="clear" w:color="auto" w:fill="CCEEFF"/>
          </w:tcPr>
          <w:p>
            <w:pPr>
              <w:spacing w:after="0" w:line="221" w:lineRule="exact"/>
              <w:rPr>
                <w:sz w:val="20"/>
                <w:szCs w:val="20"/>
                <w:color w:val="auto"/>
              </w:rPr>
            </w:pPr>
            <w:r>
              <w:rPr>
                <w:rFonts w:ascii="Arial" w:cs="Arial" w:eastAsia="Arial" w:hAnsi="Arial"/>
                <w:sz w:val="18"/>
                <w:szCs w:val="18"/>
                <w:b w:val="1"/>
                <w:bCs w:val="1"/>
                <w:color w:val="auto"/>
              </w:rPr>
              <w:t xml:space="preserve">Total net hydrocarbons - excluding NCI </w:t>
            </w:r>
            <w:r>
              <w:rPr>
                <w:rFonts w:ascii="Arial" w:cs="Arial" w:eastAsia="Arial" w:hAnsi="Arial"/>
                <w:sz w:val="23"/>
                <w:szCs w:val="23"/>
                <w:b w:val="1"/>
                <w:bCs w:val="1"/>
                <w:color w:val="auto"/>
                <w:vertAlign w:val="superscript"/>
              </w:rPr>
              <w:t>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177,103</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185,410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00" w:hanging="93"/>
        <w:spacing w:after="0"/>
        <w:tabs>
          <w:tab w:leader="none" w:pos="10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net volumes attributable to a noncontrolling interest in MP GOM.</w:t>
      </w:r>
    </w:p>
    <w:p>
      <w:pPr>
        <w:spacing w:after="0" w:line="32" w:lineRule="exact"/>
        <w:rPr>
          <w:rFonts w:ascii="Arial" w:cs="Arial" w:eastAsia="Arial" w:hAnsi="Arial"/>
          <w:sz w:val="21"/>
          <w:szCs w:val="21"/>
          <w:color w:val="auto"/>
          <w:vertAlign w:val="superscript"/>
        </w:rPr>
      </w:pPr>
    </w:p>
    <w:p>
      <w:pPr>
        <w:ind w:left="20" w:right="6820" w:hanging="7"/>
        <w:spacing w:after="0" w:line="273" w:lineRule="auto"/>
        <w:rPr>
          <w:rFonts w:ascii="Arial" w:cs="Arial" w:eastAsia="Arial" w:hAnsi="Arial"/>
          <w:sz w:val="21"/>
          <w:szCs w:val="21"/>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Natural gas converted on an energy equivalent basis of 6:1.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NCI – noncontrolling interest in MP GOM.</w:t>
      </w:r>
    </w:p>
    <w:p>
      <w:pPr>
        <w:sectPr>
          <w:pgSz w:w="11900" w:h="16838" w:orient="portrait"/>
          <w:cols w:equalWidth="0" w:num="1">
            <w:col w:w="11160"/>
          </w:cols>
          <w:pgMar w:left="320" w:top="22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Revenues from Production</w:t>
            </w:r>
          </w:p>
        </w:tc>
        <w:tc>
          <w:tcPr>
            <w:tcW w:w="4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43"/>
        </w:trPr>
        <w:tc>
          <w:tcPr>
            <w:tcW w:w="6420" w:type="dxa"/>
            <w:vAlign w:val="bottom"/>
            <w:gridSpan w:val="4"/>
          </w:tcPr>
          <w:p>
            <w:pPr>
              <w:spacing w:after="0"/>
              <w:rPr>
                <w:sz w:val="20"/>
                <w:szCs w:val="20"/>
                <w:color w:val="auto"/>
              </w:rPr>
            </w:pPr>
            <w:r>
              <w:rPr>
                <w:rFonts w:ascii="Arial" w:cs="Arial" w:eastAsia="Arial" w:hAnsi="Arial"/>
                <w:sz w:val="18"/>
                <w:szCs w:val="18"/>
                <w:color w:val="auto"/>
              </w:rPr>
              <w:t>The Company’s production revenues by country and product were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8"/>
        </w:trPr>
        <w:tc>
          <w:tcPr>
            <w:tcW w:w="6420" w:type="dxa"/>
            <w:vAlign w:val="bottom"/>
            <w:gridSpan w:val="4"/>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40" w:type="dxa"/>
            <w:vAlign w:val="bottom"/>
          </w:tcPr>
          <w:p>
            <w:pPr>
              <w:spacing w:after="0"/>
              <w:rPr>
                <w:sz w:val="24"/>
                <w:szCs w:val="24"/>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7"/>
        </w:trPr>
        <w:tc>
          <w:tcPr>
            <w:tcW w:w="64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Revenues from production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United States - Oil</w:t>
            </w:r>
          </w:p>
        </w:tc>
        <w:tc>
          <w:tcPr>
            <w:tcW w:w="340" w:type="dxa"/>
            <w:vAlign w:val="bottom"/>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2,364.3</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3,085.9</w:t>
            </w: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United States - Natural gas liquids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7"/>
        </w:trPr>
        <w:tc>
          <w:tcPr>
            <w:tcW w:w="20" w:type="dxa"/>
            <w:vAlign w:val="bottom"/>
          </w:tcPr>
          <w:p>
            <w:pPr>
              <w:spacing w:after="0"/>
              <w:rPr>
                <w:sz w:val="19"/>
                <w:szCs w:val="19"/>
                <w:color w:val="auto"/>
              </w:rPr>
            </w:pP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United States - Natural gas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225.3</w:t>
            </w: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Canada - Oil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r>
      <w:tr>
        <w:trPr>
          <w:trHeight w:val="227"/>
        </w:trPr>
        <w:tc>
          <w:tcPr>
            <w:tcW w:w="20" w:type="dxa"/>
            <w:vAlign w:val="bottom"/>
          </w:tcPr>
          <w:p>
            <w:pPr>
              <w:spacing w:after="0"/>
              <w:rPr>
                <w:sz w:val="19"/>
                <w:szCs w:val="19"/>
                <w:color w:val="auto"/>
              </w:rPr>
            </w:pP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Canada - Natural gas liquids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7"/>
        </w:trPr>
        <w:tc>
          <w:tcPr>
            <w:tcW w:w="20" w:type="dxa"/>
            <w:vAlign w:val="bottom"/>
            <w:shd w:val="clear" w:color="auto" w:fill="CCEEFF"/>
          </w:tcPr>
          <w:p>
            <w:pPr>
              <w:spacing w:after="0"/>
              <w:rPr>
                <w:sz w:val="19"/>
                <w:szCs w:val="19"/>
                <w:color w:val="auto"/>
              </w:rPr>
            </w:pP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Canada - Natural Gas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27"/>
        </w:trPr>
        <w:tc>
          <w:tcPr>
            <w:tcW w:w="20" w:type="dxa"/>
            <w:vAlign w:val="bottom"/>
            <w:tcBorders>
              <w:bottom w:val="single" w:sz="8" w:color="CCEEFF"/>
            </w:tcBorders>
          </w:tcPr>
          <w:p>
            <w:pPr>
              <w:spacing w:after="0"/>
              <w:rPr>
                <w:sz w:val="19"/>
                <w:szCs w:val="19"/>
                <w:color w:val="auto"/>
              </w:rPr>
            </w:pPr>
          </w:p>
        </w:tc>
        <w:tc>
          <w:tcPr>
            <w:tcW w:w="64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 - Oil</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revenues from production</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3,014.9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Revenues from production in 2024 decreased by $361.7 million compared to 2023. Revenue was lower in the Gulf of America, mostly driven by downtime for workovers, hurricane-related downtime and timing of new wells. Eagle Ford Shale revenues decreased due to timing and performance of wells brought online. These decreases were partially offset by wells brought back online in the fourth quarter of 2023 at non-operated Terra Nova. Lower pricing across all products also contributed to the decrease during the period.</w:t>
      </w:r>
    </w:p>
    <w:p>
      <w:pPr>
        <w:spacing w:after="0" w:line="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Natural gas is purchased and subsequently sold to third parties in order to provide operational flexibility and cost mitigation for transportation commitments. “Sales of purchased natural gas” is included in “Total revenues and other income” and “Costs of purchased natural gas” is included in “Costs and Expenses” in the summarized statement of operations for E&amp;P continuing operations on page </w:t>
      </w:r>
      <w:r>
        <w:rPr>
          <w:rFonts w:ascii="Arial" w:cs="Arial" w:eastAsia="Arial" w:hAnsi="Arial"/>
          <w:sz w:val="18"/>
          <w:szCs w:val="18"/>
          <w:u w:val="single" w:color="auto"/>
          <w:color w:val="0000FF"/>
        </w:rPr>
        <w:t>33</w:t>
      </w:r>
      <w:r>
        <w:rPr>
          <w:rFonts w:ascii="Arial" w:cs="Arial" w:eastAsia="Arial" w:hAnsi="Arial"/>
          <w:sz w:val="18"/>
          <w:szCs w:val="18"/>
          <w:color w:val="auto"/>
        </w:rPr>
        <w:t>. Sales of purchased natural gas during 2024 were $3.7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Operating and Transportation, Gathering and Processing Expenses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lease operating expenses and transportation, gathering and processing expenses by geographic area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8"/>
          </w:tcPr>
          <w:p>
            <w:pPr>
              <w:jc w:val="right"/>
              <w:ind w:right="120"/>
              <w:spacing w:after="0"/>
              <w:rPr>
                <w:sz w:val="20"/>
                <w:szCs w:val="20"/>
                <w:color w:val="auto"/>
              </w:rPr>
            </w:pPr>
            <w:r>
              <w:rPr>
                <w:rFonts w:ascii="Arial" w:cs="Arial" w:eastAsia="Arial" w:hAnsi="Arial"/>
                <w:sz w:val="18"/>
                <w:szCs w:val="18"/>
                <w:i w:val="1"/>
                <w:iCs w:val="1"/>
                <w:color w:val="auto"/>
              </w:rPr>
              <w:t>(Millions of dollars)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8"/>
          </w:tcPr>
          <w:p>
            <w:pPr>
              <w:jc w:val="right"/>
              <w:ind w:right="540"/>
              <w:spacing w:after="0"/>
              <w:rPr>
                <w:sz w:val="20"/>
                <w:szCs w:val="20"/>
                <w:color w:val="auto"/>
              </w:rPr>
            </w:pPr>
            <w:r>
              <w:rPr>
                <w:rFonts w:ascii="Arial" w:cs="Arial" w:eastAsia="Arial" w:hAnsi="Arial"/>
                <w:sz w:val="18"/>
                <w:szCs w:val="18"/>
                <w:i w:val="1"/>
                <w:iCs w:val="1"/>
                <w:color w:val="auto"/>
                <w:w w:val="97"/>
              </w:rPr>
              <w:t>(Dollars per equivalent barrel)</w:t>
            </w:r>
          </w:p>
        </w:tc>
      </w:tr>
      <w:tr>
        <w:trPr>
          <w:trHeight w:val="20"/>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7"/>
        </w:trPr>
        <w:tc>
          <w:tcPr>
            <w:tcW w:w="4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2022</w:t>
            </w:r>
          </w:p>
        </w:tc>
      </w:tr>
      <w:tr>
        <w:trPr>
          <w:trHeight w:val="20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7"/>
        </w:trPr>
        <w:tc>
          <w:tcPr>
            <w:tcW w:w="4280" w:type="dxa"/>
            <w:vAlign w:val="bottom"/>
          </w:tcPr>
          <w:p>
            <w:pPr>
              <w:ind w:left="140"/>
              <w:spacing w:after="0"/>
              <w:rPr>
                <w:sz w:val="20"/>
                <w:szCs w:val="20"/>
                <w:color w:val="auto"/>
              </w:rPr>
            </w:pPr>
            <w:r>
              <w:rPr>
                <w:rFonts w:ascii="Arial" w:cs="Arial" w:eastAsia="Arial" w:hAnsi="Arial"/>
                <w:sz w:val="18"/>
                <w:szCs w:val="18"/>
                <w:color w:val="auto"/>
              </w:rPr>
              <w:t>United States – Onshore</w:t>
            </w: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141.9</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13.02</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10.94</w:t>
            </w:r>
          </w:p>
        </w:tc>
      </w:tr>
      <w:tr>
        <w:trPr>
          <w:trHeight w:val="227"/>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 – Offshore</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13.19</w:t>
            </w:r>
          </w:p>
        </w:tc>
      </w:tr>
      <w:tr>
        <w:trPr>
          <w:trHeight w:val="227"/>
        </w:trPr>
        <w:tc>
          <w:tcPr>
            <w:tcW w:w="4280" w:type="dxa"/>
            <w:vAlign w:val="bottom"/>
          </w:tcPr>
          <w:p>
            <w:pPr>
              <w:ind w:left="140"/>
              <w:spacing w:after="0"/>
              <w:rPr>
                <w:sz w:val="20"/>
                <w:szCs w:val="20"/>
                <w:color w:val="auto"/>
              </w:rPr>
            </w:pPr>
            <w:r>
              <w:rPr>
                <w:rFonts w:ascii="Arial" w:cs="Arial" w:eastAsia="Arial" w:hAnsi="Arial"/>
                <w:sz w:val="18"/>
                <w:szCs w:val="18"/>
                <w:color w:val="auto"/>
              </w:rPr>
              <w:t>Canada – Onshore</w:t>
            </w: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r>
      <w:tr>
        <w:trPr>
          <w:trHeight w:val="227"/>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 – Offshore</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w:t>
            </w:r>
          </w:p>
        </w:tc>
      </w:tr>
      <w:tr>
        <w:trPr>
          <w:trHeight w:val="227"/>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18.52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6.25</w:t>
            </w:r>
          </w:p>
        </w:tc>
      </w:tr>
      <w:tr>
        <w:trPr>
          <w:trHeight w:val="245"/>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operating expenses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937.0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gathering and processing</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7"/>
        </w:trPr>
        <w:tc>
          <w:tcPr>
            <w:tcW w:w="4280" w:type="dxa"/>
            <w:vAlign w:val="bottom"/>
          </w:tcPr>
          <w:p>
            <w:pPr>
              <w:ind w:left="140"/>
              <w:spacing w:after="0"/>
              <w:rPr>
                <w:sz w:val="20"/>
                <w:szCs w:val="20"/>
                <w:color w:val="auto"/>
              </w:rPr>
            </w:pPr>
            <w:r>
              <w:rPr>
                <w:rFonts w:ascii="Arial" w:cs="Arial" w:eastAsia="Arial" w:hAnsi="Arial"/>
                <w:sz w:val="18"/>
                <w:szCs w:val="18"/>
                <w:color w:val="auto"/>
              </w:rPr>
              <w:t>United States – Onshore</w:t>
            </w: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0.88</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r>
      <w:tr>
        <w:trPr>
          <w:trHeight w:val="227"/>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 – Offshore</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r>
      <w:tr>
        <w:trPr>
          <w:trHeight w:val="227"/>
        </w:trPr>
        <w:tc>
          <w:tcPr>
            <w:tcW w:w="4280" w:type="dxa"/>
            <w:vAlign w:val="bottom"/>
          </w:tcPr>
          <w:p>
            <w:pPr>
              <w:ind w:left="140"/>
              <w:spacing w:after="0"/>
              <w:rPr>
                <w:sz w:val="20"/>
                <w:szCs w:val="20"/>
                <w:color w:val="auto"/>
              </w:rPr>
            </w:pPr>
            <w:r>
              <w:rPr>
                <w:rFonts w:ascii="Arial" w:cs="Arial" w:eastAsia="Arial" w:hAnsi="Arial"/>
                <w:sz w:val="18"/>
                <w:szCs w:val="18"/>
                <w:color w:val="auto"/>
              </w:rPr>
              <w:t>Canada – Onshore</w:t>
            </w: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r>
      <w:tr>
        <w:trPr>
          <w:trHeight w:val="227"/>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 – Offshore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r>
      <w:tr>
        <w:trPr>
          <w:trHeight w:val="220"/>
        </w:trPr>
        <w:tc>
          <w:tcPr>
            <w:tcW w:w="4280" w:type="dxa"/>
            <w:vAlign w:val="bottom"/>
          </w:tcPr>
          <w:p>
            <w:pPr>
              <w:ind w:left="240"/>
              <w:spacing w:after="0"/>
              <w:rPr>
                <w:sz w:val="20"/>
                <w:szCs w:val="20"/>
                <w:color w:val="auto"/>
              </w:rPr>
            </w:pPr>
            <w:r>
              <w:rPr>
                <w:rFonts w:ascii="Arial" w:cs="Arial" w:eastAsia="Arial" w:hAnsi="Arial"/>
                <w:sz w:val="18"/>
                <w:szCs w:val="18"/>
                <w:color w:val="auto"/>
              </w:rPr>
              <w:t>Total transportation, gathering and processing</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210.8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3.34</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Lease operating expenses and transportation, gathering and processing expenses in 2024 increased by $152.6 million and decreased by</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$22.2 million, respectively, compared to 2023. Higher lease operating expenses were primarily due to workover costs in the Gulf of America, particularly at the Samurai and Neidermeyer fields, and the restart of the non-operated Terra Nova field in Canada Offshore in the first quarter of 2024. These were</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color w:val="auto"/>
        </w:rPr>
        <w:t>partially offset by lower production handling fees and lower overall volumes. Lower transportation, gathering and processing expenses were primarily due to lower volumes.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Depletion and Amortization Expense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depreciation, depletion and amortization expense by geographic area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8"/>
          </w:tcPr>
          <w:p>
            <w:pPr>
              <w:jc w:val="right"/>
              <w:ind w:right="140"/>
              <w:spacing w:after="0"/>
              <w:rPr>
                <w:sz w:val="20"/>
                <w:szCs w:val="20"/>
                <w:color w:val="auto"/>
              </w:rPr>
            </w:pPr>
            <w:r>
              <w:rPr>
                <w:rFonts w:ascii="Arial" w:cs="Arial" w:eastAsia="Arial" w:hAnsi="Arial"/>
                <w:sz w:val="18"/>
                <w:szCs w:val="18"/>
                <w:i w:val="1"/>
                <w:iCs w:val="1"/>
                <w:color w:val="auto"/>
              </w:rPr>
              <w:t>(Millions of dollars)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8"/>
          </w:tcPr>
          <w:p>
            <w:pPr>
              <w:jc w:val="right"/>
              <w:ind w:right="580"/>
              <w:spacing w:after="0"/>
              <w:rPr>
                <w:sz w:val="20"/>
                <w:szCs w:val="20"/>
                <w:color w:val="auto"/>
              </w:rPr>
            </w:pPr>
            <w:r>
              <w:rPr>
                <w:rFonts w:ascii="Arial" w:cs="Arial" w:eastAsia="Arial" w:hAnsi="Arial"/>
                <w:sz w:val="18"/>
                <w:szCs w:val="18"/>
                <w:i w:val="1"/>
                <w:iCs w:val="1"/>
                <w:color w:val="auto"/>
                <w:w w:val="97"/>
              </w:rPr>
              <w:t>(Dollars per equivalent barrel)</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 expense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140"/>
              <w:spacing w:after="0"/>
              <w:rPr>
                <w:sz w:val="20"/>
                <w:szCs w:val="20"/>
                <w:color w:val="auto"/>
              </w:rPr>
            </w:pPr>
            <w:r>
              <w:rPr>
                <w:rFonts w:ascii="Arial" w:cs="Arial" w:eastAsia="Arial" w:hAnsi="Arial"/>
                <w:sz w:val="18"/>
                <w:szCs w:val="18"/>
                <w:color w:val="auto"/>
              </w:rPr>
              <w:t>United States – Onshore</w:t>
            </w: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319.9</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321.4</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29.36</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 – Offshore</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7"/>
        </w:trPr>
        <w:tc>
          <w:tcPr>
            <w:tcW w:w="4160" w:type="dxa"/>
            <w:vAlign w:val="bottom"/>
          </w:tcPr>
          <w:p>
            <w:pPr>
              <w:ind w:left="140"/>
              <w:spacing w:after="0"/>
              <w:rPr>
                <w:sz w:val="20"/>
                <w:szCs w:val="20"/>
                <w:color w:val="auto"/>
              </w:rPr>
            </w:pPr>
            <w:r>
              <w:rPr>
                <w:rFonts w:ascii="Arial" w:cs="Arial" w:eastAsia="Arial" w:hAnsi="Arial"/>
                <w:sz w:val="18"/>
                <w:szCs w:val="18"/>
                <w:color w:val="auto"/>
              </w:rPr>
              <w:t>Canada – Onshore</w:t>
            </w: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 – Offshore</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154"/>
        </w:trPr>
        <w:tc>
          <w:tcPr>
            <w:tcW w:w="4160" w:type="dxa"/>
            <w:vAlign w:val="bottom"/>
            <w:shd w:val="clear" w:color="auto" w:fill="CCEEFF"/>
          </w:tcPr>
          <w:p>
            <w:pPr>
              <w:ind w:left="340"/>
              <w:spacing w:after="0" w:line="154" w:lineRule="exact"/>
              <w:rPr>
                <w:sz w:val="20"/>
                <w:szCs w:val="20"/>
                <w:color w:val="auto"/>
              </w:rPr>
            </w:pPr>
            <w:r>
              <w:rPr>
                <w:rFonts w:ascii="Arial" w:cs="Arial" w:eastAsia="Arial" w:hAnsi="Arial"/>
                <w:sz w:val="17"/>
                <w:szCs w:val="17"/>
                <w:color w:val="auto"/>
              </w:rPr>
              <w:t>Total depreciation, depletion and amortization</w:t>
            </w: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856.9</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0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34"/>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Depreciation, depletion and amortization expense (DD&amp;A) in 2024 increased by $6.4 million compared to 2023. Higher DD&amp;A was primarily the result of higher volumes at the non-operated Terra Nova field in Canada Offshore and higher rates at Eagle Ford Shale and in the Gulf of America, and was partially offset by lower volumes in the Gulf of America and lower rates and volumes at Kaybob Duvernay.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w:t>
      </w:r>
    </w:p>
    <w:p>
      <w:pPr>
        <w:spacing w:after="0" w:line="127"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In 2024 the Company recorded impairment costs for two assets in the Gulf of America, totaling $62.9 million. In the first quarter of 2024, the Company recognized an impairment expense of $34.5 million for the Calliope field. In the fourth quarter of 2024, an impairment expense of $28.4 million was recorded for the Nearly Headless Nick field. Both fields were impaired as a result of operational issues that led to reserve reductions.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recorded in 2023.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4"/>
          </w:tcPr>
          <w:p>
            <w:pPr>
              <w:spacing w:after="0"/>
              <w:rPr>
                <w:sz w:val="20"/>
                <w:szCs w:val="20"/>
                <w:color w:val="auto"/>
              </w:rPr>
            </w:pPr>
            <w:r>
              <w:rPr>
                <w:rFonts w:ascii="Arial" w:cs="Arial" w:eastAsia="Arial" w:hAnsi="Arial"/>
                <w:sz w:val="18"/>
                <w:szCs w:val="18"/>
                <w:color w:val="auto"/>
              </w:rPr>
              <w:t>Exploration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43"/>
        </w:trPr>
        <w:tc>
          <w:tcPr>
            <w:tcW w:w="6440" w:type="dxa"/>
            <w:vAlign w:val="bottom"/>
            <w:gridSpan w:val="4"/>
          </w:tcPr>
          <w:p>
            <w:pPr>
              <w:spacing w:after="0"/>
              <w:rPr>
                <w:sz w:val="20"/>
                <w:szCs w:val="20"/>
                <w:color w:val="auto"/>
              </w:rPr>
            </w:pPr>
            <w:r>
              <w:rPr>
                <w:rFonts w:ascii="Arial" w:cs="Arial" w:eastAsia="Arial" w:hAnsi="Arial"/>
                <w:sz w:val="18"/>
                <w:szCs w:val="18"/>
                <w:color w:val="auto"/>
              </w:rPr>
              <w:t>The Company’s exploration expenses were as follows: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8"/>
        </w:trPr>
        <w:tc>
          <w:tcPr>
            <w:tcW w:w="6440" w:type="dxa"/>
            <w:vAlign w:val="bottom"/>
            <w:gridSpan w:val="4"/>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40" w:type="dxa"/>
            <w:vAlign w:val="bottom"/>
          </w:tcPr>
          <w:p>
            <w:pPr>
              <w:spacing w:after="0"/>
              <w:rPr>
                <w:sz w:val="24"/>
                <w:szCs w:val="24"/>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471"/>
              <w:spacing w:after="0"/>
              <w:rPr>
                <w:sz w:val="20"/>
                <w:szCs w:val="20"/>
                <w:color w:val="auto"/>
              </w:rPr>
            </w:pPr>
            <w:r>
              <w:rPr>
                <w:rFonts w:ascii="Arial" w:cs="Arial" w:eastAsia="Arial" w:hAnsi="Arial"/>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7"/>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Dry holes and previously suspended exploration costs</w:t>
            </w:r>
          </w:p>
        </w:tc>
        <w:tc>
          <w:tcPr>
            <w:tcW w:w="340" w:type="dxa"/>
            <w:vAlign w:val="bottom"/>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73.2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27"/>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Geological and geophysical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7"/>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Arial" w:cs="Arial" w:eastAsia="Arial" w:hAnsi="Arial"/>
                <w:sz w:val="18"/>
                <w:szCs w:val="18"/>
                <w:color w:val="auto"/>
              </w:rPr>
              <w:t>Other exploration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7"/>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Undeveloped lease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0"/>
        </w:trPr>
        <w:tc>
          <w:tcPr>
            <w:tcW w:w="20" w:type="dxa"/>
            <w:vAlign w:val="bottom"/>
          </w:tcPr>
          <w:p>
            <w:pPr>
              <w:spacing w:after="0"/>
              <w:rPr>
                <w:sz w:val="19"/>
                <w:szCs w:val="19"/>
                <w:color w:val="auto"/>
              </w:rPr>
            </w:pP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Total exploration expenses</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Exploration expenses in 2024 decreased by $101.3 million compared to 2023. In 2024, dry holes and previously suspended exploration costs primarily related to the Sebastian #1 (Mississippi Canyon 387) exploration well, the non-operated Orange #1 (Mississippi Canyon 216) exploration well, and the previously suspended exploration well at Hoffe Park #1 (Mississippi Canyon 166) in the Gulf of America. In 2023, dry holes and previously suspended exploration costs related to previously suspended exploration costs for the Cholula-1EXP well in offshore Mexico and dry hole costs for the Chinook #7 (Walker Ridge 425) exploration well and the non-operated Oso #1 (Atwater Valley 138) exploration well in the Gulf of America, both of which encountered non-commercial hydrocarbons.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p>
    <w:p>
      <w:pPr>
        <w:spacing w:after="0" w:line="11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Other expenses were $0.3 million in 2024, a decrease of $ 56.6 million compared to 2023. Other expenses were lower primarily due to the absence of other operating expenses in Canada related to the non-operated Terra Nova life extension project, lower asset retirement adjustments, no contingent consideration adjustments in the current period and higher interest income received in 2024.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14"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 xml:space="preserve">Income taxes were $ 106.3 million in 2024, a decrease of $131.5 million compared to 2023. Lower income taxes were primarily the result of lower pretax income, and an income tax deduction for prior years’ Australia exploration spend (see </w:t>
      </w:r>
      <w:r>
        <w:rPr>
          <w:rFonts w:ascii="Arial" w:cs="Arial" w:eastAsia="Arial" w:hAnsi="Arial"/>
          <w:sz w:val="18"/>
          <w:szCs w:val="18"/>
          <w:u w:val="single" w:color="auto"/>
          <w:color w:val="0000FF"/>
        </w:rPr>
        <w:t>Note H</w:t>
      </w:r>
      <w:r>
        <w:rPr>
          <w:rFonts w:ascii="Arial" w:cs="Arial" w:eastAsia="Arial" w:hAnsi="Arial"/>
          <w:sz w:val="18"/>
          <w:szCs w:val="18"/>
          <w:color w:val="auto"/>
        </w:rPr>
        <w: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2024 vs 2023</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Corporate activities include interest expense and income, foreign exchange effects, realized and unrealized gains/losses on derivative instruments (forward swaps to hedge the price of oil sold) and corporate overhead not allocated to E&amp;P. Realized and unrealized losses on derivative instruments result from increases in market oil and natural gas prices relating to future periods whereby the swap contracts provided the Company with a fixed price.</w:t>
      </w:r>
    </w:p>
    <w:p>
      <w:pPr>
        <w:spacing w:after="0" w:line="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Corporate activities reported a loss of $109.1 million in 2024, a favorable variance of $46.9 million compared to 2023. The favorable variance was primarily due to foreign exchange gain of $45.4 million in 2024 compared to foreign exchange loss of $10.7 million in 2023, primarily as a result of unrealized exchange rate changes relating to our Canadian subsidiary. Interest charges are lower in 2024 primarily due to lower overall debt levels. The lower income tax benefit was the result of a lower current period loss before income tax.</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primary sources of liquidity are cash on hand, net cash provided by continuing operations activities and available borrowing capacity under its senior unsecured RCF, as described below. The Company’s liquidity requirements, both in the short-term (2025) and long-term (beyond 2025),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 The Company believes that the primary sources of liquidity described above will be adequate to fund its liquidity needs over the next 12 months.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cash flows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40" w:type="dxa"/>
            <w:vAlign w:val="bottom"/>
          </w:tcPr>
          <w:p>
            <w:pPr>
              <w:spacing w:after="0"/>
              <w:rPr>
                <w:sz w:val="18"/>
                <w:szCs w:val="18"/>
                <w:color w:val="auto"/>
              </w:rPr>
            </w:pPr>
          </w:p>
        </w:tc>
        <w:tc>
          <w:tcPr>
            <w:tcW w:w="1160" w:type="dxa"/>
            <w:vAlign w:val="bottom"/>
          </w:tcPr>
          <w:p>
            <w:pPr>
              <w:jc w:val="right"/>
              <w:ind w:right="45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75"/>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75"/>
              <w:spacing w:after="0"/>
              <w:rPr>
                <w:sz w:val="20"/>
                <w:szCs w:val="20"/>
                <w:color w:val="auto"/>
              </w:rPr>
            </w:pPr>
            <w:r>
              <w:rPr>
                <w:rFonts w:ascii="Arial" w:cs="Arial" w:eastAsia="Arial" w:hAnsi="Arial"/>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7"/>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provided by (required by):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Net cash provided by continuing operations activities</w:t>
            </w:r>
          </w:p>
        </w:tc>
        <w:tc>
          <w:tcPr>
            <w:tcW w:w="34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1,729.0</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1,748.8</w:t>
            </w:r>
          </w:p>
        </w:tc>
        <w:tc>
          <w:tcPr>
            <w:tcW w:w="8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2,180.2</w:t>
            </w:r>
          </w:p>
        </w:tc>
      </w:tr>
      <w:tr>
        <w:trPr>
          <w:trHeight w:val="227"/>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required by investing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(1,109.4)</w:t>
            </w:r>
          </w:p>
        </w:tc>
      </w:tr>
      <w:tr>
        <w:trPr>
          <w:trHeight w:val="227"/>
        </w:trPr>
        <w:tc>
          <w:tcPr>
            <w:tcW w:w="20" w:type="dxa"/>
            <w:vAlign w:val="bottom"/>
          </w:tcPr>
          <w:p>
            <w:pPr>
              <w:spacing w:after="0"/>
              <w:rPr>
                <w:sz w:val="19"/>
                <w:szCs w:val="19"/>
                <w:color w:val="auto"/>
              </w:rPr>
            </w:pPr>
          </w:p>
        </w:tc>
        <w:tc>
          <w:tcPr>
            <w:tcW w:w="5980" w:type="dxa"/>
            <w:vAlign w:val="bottom"/>
            <w:gridSpan w:val="2"/>
          </w:tcPr>
          <w:p>
            <w:pPr>
              <w:ind w:left="120"/>
              <w:spacing w:after="0"/>
              <w:rPr>
                <w:sz w:val="20"/>
                <w:szCs w:val="20"/>
                <w:color w:val="auto"/>
              </w:rPr>
            </w:pPr>
            <w:r>
              <w:rPr>
                <w:rFonts w:ascii="Arial" w:cs="Arial" w:eastAsia="Arial" w:hAnsi="Arial"/>
                <w:sz w:val="17"/>
                <w:szCs w:val="17"/>
                <w:color w:val="auto"/>
              </w:rPr>
              <w:t>Net cash required by financing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(716.5)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(923.7)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(1,081.6)</w:t>
            </w:r>
          </w:p>
        </w:tc>
      </w:tr>
      <w:tr>
        <w:trPr>
          <w:trHeight w:val="227"/>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required by discontinued operations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27"/>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Net (decrease) increase in cash and cash equivalents</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Continuing Operations Activities</w:t>
      </w:r>
    </w:p>
    <w:p>
      <w:pPr>
        <w:spacing w:after="0" w:line="114"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color w:val="auto"/>
        </w:rPr>
        <w:t>Net cash provided by continuing operations activities in 2024 was $19.8 million lower compared to 2023. The decrease was primarily attributable to lower revenue from production ($361.7 million) and higher lease</w:t>
      </w:r>
    </w:p>
    <w:p>
      <w:pPr>
        <w:sectPr>
          <w:pgSz w:w="11900" w:h="16838" w:orient="portrait"/>
          <w:cols w:equalWidth="0" w:num="1">
            <w:col w:w="11200"/>
          </w:cols>
          <w:pgMar w:left="320" w:top="230" w:right="3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operating expenses costs ($ 152.6 million), partially offset by a decrease due to timing of non-cash working capital ($174.2 million) settlements, no contingent consideration payments related to prior Gulf of America acquisitions in 2024 (2023: $139.6 million), lower exploration expenses ($101.2 million), and changes in other operating activities, net ($56.4 million) primarily due to decreased expenditures for asset retirements.</w:t>
      </w:r>
    </w:p>
    <w:p>
      <w:pPr>
        <w:spacing w:after="0" w:line="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Payments of contingent consideration in 2023 are shown both in “Operating Activities” and “Financing Activities” in the Company’s Consolidated Statements of Cash Flows; amounts considered as financing activities are those amounts paid up to the original estimated contingent consideration liability included in the purchase price allocation, at the time of acquisition. Any contingent consideration paid above the original estimated liability, included in the purchase price, are considered operating activities.</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During 2023, the Company paid a total of $199.8 million in contingent consideration, of which $ 139.6 million is shown in “Operating Activities” and $60.2 million is shown in “Financing Activities” in the Company’s Consolidated Statements of Cash Flows. As of the end of the second quarter of 2023, the Company had no further obligation payable for contingent consideration relating to prior Gulf of America acquisitions. See </w:t>
      </w:r>
      <w:r>
        <w:rPr>
          <w:rFonts w:ascii="Arial" w:cs="Arial" w:eastAsia="Arial" w:hAnsi="Arial"/>
          <w:sz w:val="18"/>
          <w:szCs w:val="18"/>
          <w:u w:val="single" w:color="auto"/>
          <w:color w:val="0000FF"/>
        </w:rPr>
        <w:t>Note O</w:t>
      </w:r>
      <w:r>
        <w:rPr>
          <w:rFonts w:ascii="Arial" w:cs="Arial" w:eastAsia="Arial" w:hAnsi="Arial"/>
          <w:sz w:val="18"/>
          <w:szCs w:val="18"/>
          <w:color w:val="0000FF"/>
        </w:rPr>
        <w:t xml:space="preserve"> </w:t>
      </w:r>
      <w:r>
        <w:rPr>
          <w:rFonts w:ascii="Arial" w:cs="Arial" w:eastAsia="Arial" w:hAnsi="Arial"/>
          <w:sz w:val="18"/>
          <w:szCs w:val="18"/>
          <w:color w:val="000000"/>
        </w:rPr>
        <w:t>for further details.</w:t>
      </w:r>
    </w:p>
    <w:p>
      <w:pPr>
        <w:spacing w:after="0" w:line="7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total reductions of operating cash flows for interest paid (which excludes “Early redemption of debt cost” reported in “Financing Activities”) during the two years ended December 31, 2024, and 2023 were $78.8 million and $108.9 million, respectively. Cash interest paid in 2024 was primarily due to interest payments on outstanding debt. Some of these payments related to accelerated interest payments due to the early redemption, in part, of the 5.875% senior notes due 2027 (2027 Notes), the 6.375% senior notes due 2028 (2028 Notes), and the 7.05% senior notes due 2029 (2029 Notes) in the aggregate redemption amount of $ 650.1 million. In 2023, cash interest paid was higher than 2024, primarily due to higher debt levels in 2023 and accelerated interest payments due to the early redemption, in whole or in part, of the 5.75% senior notes due 2025 (2025 Notes), the 2027 Notes, the 2028 Notes, and the 2029 Notes for an aggregate redemption amount of $498.2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Required by Investing Activities</w:t>
      </w:r>
    </w:p>
    <w:p>
      <w:pPr>
        <w:spacing w:after="0" w:line="114"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Net cash required by investing activities in 2024 was $90.5 million lower compared to 2023. The decrease was primarily due to lower property additions and dry hole costs ($157.9 million) and lower acquisition capital ($35.6 million), partially offset by the absence of proceeds from the sale of certain non-core operated Kaybob Duvernay assets and all of the non-operated Placid Montney assets ($102.9 million).</w:t>
      </w:r>
    </w:p>
    <w:p>
      <w:pPr>
        <w:spacing w:after="0" w:line="52"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color w:val="auto"/>
        </w:rPr>
        <w:t>A reconciliation of “Property additions and dry hole costs” in the Consolidated Statements of Cash Flows to total capital expenditures for continuing operations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2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0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371"/>
              <w:spacing w:after="0" w:line="181"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additions and dry hole costs per cash flow statements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27"/>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Geophysical and other exploration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7"/>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Acquisition of oil and natural gas properties per the cash flow statements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7"/>
        </w:trPr>
        <w:tc>
          <w:tcPr>
            <w:tcW w:w="7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Capital expenditure accrual changes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jc w:val="right"/>
              <w:ind w:right="478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gridSpan w:val="3"/>
            <w:vMerge w:val="restart"/>
          </w:tcPr>
          <w:p>
            <w:pPr>
              <w:jc w:val="right"/>
              <w:ind w:right="1300"/>
              <w:spacing w:after="0"/>
              <w:rPr>
                <w:sz w:val="20"/>
                <w:szCs w:val="20"/>
                <w:color w:val="auto"/>
              </w:rPr>
            </w:pPr>
            <w:r>
              <w:rPr>
                <w:rFonts w:ascii="Arial" w:cs="Arial" w:eastAsia="Arial" w:hAnsi="Arial"/>
                <w:sz w:val="18"/>
                <w:szCs w:val="18"/>
                <w:color w:val="auto"/>
              </w:rPr>
              <w:t>40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0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55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20" w:type="dxa"/>
            <w:vAlign w:val="bottom"/>
            <w:gridSpan w:val="3"/>
          </w:tcPr>
          <w:p>
            <w:pPr>
              <w:spacing w:after="0"/>
              <w:rPr>
                <w:sz w:val="20"/>
                <w:szCs w:val="20"/>
                <w:color w:val="auto"/>
              </w:rPr>
            </w:pPr>
            <w:r>
              <w:rPr>
                <w:rFonts w:ascii="Arial" w:cs="Arial" w:eastAsia="Arial" w:hAnsi="Arial"/>
                <w:sz w:val="18"/>
                <w:szCs w:val="18"/>
                <w:color w:val="auto"/>
              </w:rPr>
              <w:t>Total accrual basis capital expenditures are shown below.</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(Millions of dollars)</w:t>
            </w: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0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371"/>
              <w:spacing w:after="0" w:line="181"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Exploration and production</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capital expenditures excluding proved property acquisitions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capital expenditures excluding proved property acquisitions and NCI</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Lower capital expenditures in 2024 compared to 2023 were primarily attributable to lower development expenditures at Eagle Ford Shale, Tupper Montney, and non-operated Terra Nova and lower exploration expenses in the Gulf of America, partially offset by higher exploration and development costs in offshore Vietnam.</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Capital expenditures in 2024 primarily relate to development drilling and field development activities in the Gulf of America, primarily related to the Mormont, Khaleesi, Lucius, St. Malo and Samurai fields ($306.9 million), at Eagle Ford Shale ($291.8 million), at Tupper Montney and Kaybob Duvernay ($116.3 million), at other international locations ($45.1 million), and at non-operated Hibernia ($18.2 million). In addition, total exploration costs were $153.9 million.</w:t>
      </w:r>
    </w:p>
    <w:p>
      <w:pPr>
        <w:spacing w:after="0" w:line="7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Exploration costs in 2024 were primarily comprised of activities in the Gulf of America related to the Sebastian #1 (Mississippi Canyon 387), Orange #1 (Mississippi Canyon 216), and non-operated Oso #1 (Atwater Valley 138) exploration wells. Sebastian #1 and Orange #1 encountered non-commercial hydrocarbons during 2024. Non-operated Oso #1 encountered non-commercial hydrocarbons in 2023, and operations completed in 2024. Additional exploratory costs relate to oil discoveries, including the non-operated Ocotillo #1 (Mississippi Canyon</w:t>
      </w:r>
    </w:p>
    <w:p>
      <w:pPr>
        <w:spacing w:after="0" w:line="1" w:lineRule="exact"/>
        <w:rPr>
          <w:sz w:val="20"/>
          <w:szCs w:val="20"/>
          <w:color w:val="auto"/>
        </w:rPr>
      </w:pPr>
    </w:p>
    <w:p>
      <w:pPr>
        <w:ind w:right="260" w:firstLine="7"/>
        <w:spacing w:after="0" w:line="259" w:lineRule="auto"/>
        <w:tabs>
          <w:tab w:leader="none" w:pos="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exploration well in the Gulf of America and the Hai Su Vang-1X (Golden Sea Lion), Block 15/2-17 exploration well in Vietnam, as well as other ongoing projects.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Required by Financing Activities</w:t>
      </w:r>
    </w:p>
    <w:p>
      <w:pPr>
        <w:spacing w:after="0" w:line="11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Net cash required by financing activities in 2024 decreased by $207.2 million compared to 2023. In 2024, cash used in financing activities was principally for the repurchase of common shares ($301.4 million, excluding excise tax). In addition, the Company completed a refinancing transaction whereby new senior notes due 2032 were issued in the aggregate amount of $ 600.0 million and the proceeds were used for the aggregate repayment and repurchase of $600.0 million of its 2027 Notes, 2028 Notes and 2029 Notes. The Company also repurchased $50.0 million of its 2027 Notes, paid cash dividends to shareholders of $1.20 per share ($180.0 million), and distributed funds to the noncontrolling interest in MP GOM ($118.6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At December 31, 2024, the Company had approximately $1.8 billion of liquidity consisting of $423.6 million in cash and cash equivalents and $1,349.6 million available on its committed senior unsecured RCF with a major banking consortium.</w:t>
      </w:r>
    </w:p>
    <w:p>
      <w:pPr>
        <w:spacing w:after="0" w:line="5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 Company’s $ 1.35 billion senior unsecured RCF expires in October 2029. As of December 31, 2024, the Company had no outstanding borrowings under the RCF and $0.4 million of outstanding letters of credit, which reduce the borrowing capacity of the senior unsecured RCF. Borrowings under the RCF are subject to certain interest rates. Please refer to </w:t>
      </w:r>
      <w:r>
        <w:rPr>
          <w:rFonts w:ascii="Arial" w:cs="Arial" w:eastAsia="Arial" w:hAnsi="Arial"/>
          <w:sz w:val="18"/>
          <w:szCs w:val="18"/>
          <w:u w:val="single" w:color="auto"/>
          <w:color w:val="0000FF"/>
        </w:rPr>
        <w:t>Note F</w:t>
      </w:r>
      <w:r>
        <w:rPr>
          <w:rFonts w:ascii="Arial" w:cs="Arial" w:eastAsia="Arial" w:hAnsi="Arial"/>
          <w:sz w:val="18"/>
          <w:szCs w:val="18"/>
          <w:color w:val="auto"/>
        </w:rPr>
        <w:t xml:space="preserve"> for further details. At December 31, 2024, the interest rate in effect on borrowings under the facility would have been 6.68%. At December 31, 2024, the Company was in compliance with all covenants related to the RCF.</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Cash and invested cash are maintained in several operating locations outside the U.S. As of December 31, 2024, cash and cash equivalents held outside the U.S. included U.S. dollar equivalents of approximately $95.2 million (2023: $149 million), the majority of which was held in Canada ($ 58.5 million), Vietnam ($8.7 million) and Brunei ($8.5 million). In addition, approximately $7.8 million and $6.4 million of cash was held in the U.K. and Mexico, respectively. In certain cases, the Company could incur cash taxes or other costs should these cash balances be</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 xml:space="preserve">repatriated to the U.S. in future periods. Canada currently collects a 5% withholding tax on any earnings repatriated to the U.S. See </w:t>
      </w:r>
      <w:r>
        <w:rPr>
          <w:rFonts w:ascii="Arial" w:cs="Arial" w:eastAsia="Arial" w:hAnsi="Arial"/>
          <w:sz w:val="18"/>
          <w:szCs w:val="18"/>
          <w:u w:val="single" w:color="auto"/>
          <w:color w:val="0000FF"/>
        </w:rPr>
        <w:t>Note H</w:t>
      </w:r>
      <w:r>
        <w:rPr>
          <w:rFonts w:ascii="Arial" w:cs="Arial" w:eastAsia="Arial" w:hAnsi="Arial"/>
          <w:sz w:val="18"/>
          <w:szCs w:val="18"/>
          <w:color w:val="auto"/>
        </w:rPr>
        <w:t xml:space="preserve"> for further information regarding potential tax expense that could be incurred upon distribution of foreign earnings back to the 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gridSpan w:val="4"/>
          </w:tcPr>
          <w:p>
            <w:pPr>
              <w:spacing w:after="0"/>
              <w:rPr>
                <w:sz w:val="20"/>
                <w:szCs w:val="20"/>
                <w:color w:val="auto"/>
              </w:rPr>
            </w:pPr>
            <w:r>
              <w:rPr>
                <w:rFonts w:ascii="Arial" w:cs="Arial" w:eastAsia="Arial" w:hAnsi="Arial"/>
                <w:sz w:val="18"/>
                <w:szCs w:val="18"/>
                <w:color w:val="auto"/>
              </w:rPr>
              <w:t>Working Capital</w:t>
            </w: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December 31, 2024</w:t>
            </w:r>
          </w:p>
        </w:tc>
        <w:tc>
          <w:tcPr>
            <w:tcW w:w="1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7840" w:type="dxa"/>
            <w:vAlign w:val="bottom"/>
            <w:gridSpan w:val="4"/>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1740" w:type="dxa"/>
            <w:vAlign w:val="bottom"/>
            <w:gridSpan w:val="3"/>
            <w:vMerge w:val="continue"/>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December 31, 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78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20" w:type="dxa"/>
            <w:vAlign w:val="bottom"/>
            <w:gridSpan w:val="3"/>
          </w:tcPr>
          <w:p>
            <w:pPr>
              <w:ind w:left="220"/>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center"/>
              <w:ind w:left="371"/>
              <w:spacing w:after="0"/>
              <w:rPr>
                <w:sz w:val="20"/>
                <w:szCs w:val="20"/>
                <w:color w:val="auto"/>
              </w:rPr>
            </w:pPr>
            <w:r>
              <w:rPr>
                <w:rFonts w:ascii="Arial" w:cs="Arial" w:eastAsia="Arial" w:hAnsi="Arial"/>
                <w:sz w:val="18"/>
                <w:szCs w:val="18"/>
                <w:b w:val="1"/>
                <w:bCs w:val="1"/>
                <w:color w:val="auto"/>
              </w:rPr>
              <w:t>785.3</w:t>
            </w:r>
          </w:p>
        </w:tc>
        <w:tc>
          <w:tcPr>
            <w:tcW w:w="80" w:type="dxa"/>
            <w:vAlign w:val="bottom"/>
          </w:tcPr>
          <w:p>
            <w:pPr>
              <w:spacing w:after="0"/>
              <w:rPr>
                <w:sz w:val="19"/>
                <w:szCs w:val="19"/>
                <w:color w:val="auto"/>
              </w:rPr>
            </w:pPr>
          </w:p>
        </w:tc>
        <w:tc>
          <w:tcPr>
            <w:tcW w:w="640" w:type="dxa"/>
            <w:vAlign w:val="bottom"/>
          </w:tcPr>
          <w:p>
            <w:pPr>
              <w:jc w:val="right"/>
              <w:ind w:right="43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1"/>
              <w:spacing w:after="0"/>
              <w:rPr>
                <w:sz w:val="20"/>
                <w:szCs w:val="20"/>
                <w:color w:val="auto"/>
              </w:rPr>
            </w:pPr>
            <w:r>
              <w:rPr>
                <w:rFonts w:ascii="Arial" w:cs="Arial" w:eastAsia="Arial" w:hAnsi="Arial"/>
                <w:sz w:val="18"/>
                <w:szCs w:val="18"/>
                <w:b w:val="1"/>
                <w:bCs w:val="1"/>
                <w:color w:val="auto"/>
              </w:rPr>
              <w:t>942.8</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gridSpan w:val="3"/>
          </w:tcPr>
          <w:p>
            <w:pPr>
              <w:ind w:left="440"/>
              <w:spacing w:after="0"/>
              <w:rPr>
                <w:sz w:val="20"/>
                <w:szCs w:val="20"/>
                <w:color w:val="auto"/>
              </w:rPr>
            </w:pPr>
            <w:r>
              <w:rPr>
                <w:rFonts w:ascii="Arial" w:cs="Arial" w:eastAsia="Arial" w:hAnsi="Arial"/>
                <w:sz w:val="18"/>
                <w:szCs w:val="18"/>
                <w:color w:val="auto"/>
              </w:rPr>
              <w:t>Net working capital liability</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b w:val="1"/>
                <w:bCs w:val="1"/>
                <w:color w:val="auto"/>
                <w:w w:val="98"/>
              </w:rPr>
              <w:t>(157.5)</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December 31, 2024, net working capital had an unfavorable decrease of $63.2 million compared to December 31, 2023. The decrease was primarily attributable to lower accounts receivable ($71.5 million), higher operating lease liabilities ($45.4 million), higher current ARO liabilities ($37.4 million), and higher accounts payable ($ 25.3 million), partially offset by a higher cash balance ($106.5 million). Lower accounts receivable were primarily due to lower sales volumes for crude oil and natural gas, and lower pricing received for all crude oil, natural gas and NGLs. Higher operating lease liabilities are primarily due to an extension of an existing drilling ship lease in the Gulf of America. Higher current ARO liabilities are primarily due to certain Gulf of America obligations to be completed in 2025. Higher accounts payable are due to the timing of payments for certain drilling activities and ongoing workover projects.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Employed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capital employed as of December 31, 2024 and 2023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2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220" w:type="dxa"/>
            <w:vAlign w:val="bottom"/>
          </w:tcPr>
          <w:p>
            <w:pPr>
              <w:spacing w:after="0"/>
              <w:rPr>
                <w:sz w:val="20"/>
                <w:szCs w:val="20"/>
                <w:color w:val="auto"/>
              </w:rPr>
            </w:pPr>
          </w:p>
        </w:tc>
        <w:tc>
          <w:tcPr>
            <w:tcW w:w="2740" w:type="dxa"/>
            <w:vAlign w:val="bottom"/>
            <w:gridSpan w:val="4"/>
          </w:tcPr>
          <w:p>
            <w:pPr>
              <w:ind w:left="400"/>
              <w:spacing w:after="0"/>
              <w:rPr>
                <w:sz w:val="20"/>
                <w:szCs w:val="20"/>
                <w:color w:val="auto"/>
              </w:rPr>
            </w:pPr>
            <w:r>
              <w:rPr>
                <w:rFonts w:ascii="Arial" w:cs="Arial" w:eastAsia="Arial" w:hAnsi="Arial"/>
                <w:sz w:val="18"/>
                <w:szCs w:val="18"/>
                <w:b w:val="1"/>
                <w:bCs w:val="1"/>
                <w:color w:val="auto"/>
              </w:rPr>
              <w:t>December 31, 2024</w:t>
            </w:r>
          </w:p>
        </w:tc>
        <w:tc>
          <w:tcPr>
            <w:tcW w:w="240" w:type="dxa"/>
            <w:vAlign w:val="bottom"/>
          </w:tcPr>
          <w:p>
            <w:pPr>
              <w:spacing w:after="0"/>
              <w:rPr>
                <w:sz w:val="20"/>
                <w:szCs w:val="20"/>
                <w:color w:val="auto"/>
              </w:rPr>
            </w:pPr>
          </w:p>
        </w:tc>
        <w:tc>
          <w:tcPr>
            <w:tcW w:w="2620" w:type="dxa"/>
            <w:vAlign w:val="bottom"/>
            <w:gridSpan w:val="3"/>
          </w:tcPr>
          <w:p>
            <w:pPr>
              <w:ind w:left="420"/>
              <w:spacing w:after="0"/>
              <w:rPr>
                <w:sz w:val="20"/>
                <w:szCs w:val="20"/>
                <w:color w:val="auto"/>
              </w:rPr>
            </w:pPr>
            <w:r>
              <w:rPr>
                <w:rFonts w:ascii="Arial" w:cs="Arial" w:eastAsia="Arial" w:hAnsi="Arial"/>
                <w:sz w:val="18"/>
                <w:szCs w:val="18"/>
                <w:color w:val="auto"/>
              </w:rPr>
              <w:t>December 31, 2023</w:t>
            </w:r>
          </w:p>
        </w:tc>
        <w:tc>
          <w:tcPr>
            <w:tcW w:w="0" w:type="dxa"/>
            <w:vAlign w:val="bottom"/>
          </w:tcPr>
          <w:p>
            <w:pPr>
              <w:spacing w:after="0"/>
              <w:rPr>
                <w:sz w:val="1"/>
                <w:szCs w:val="1"/>
                <w:color w:val="auto"/>
              </w:rPr>
            </w:pPr>
          </w:p>
        </w:tc>
      </w:tr>
      <w:tr>
        <w:trPr>
          <w:trHeight w:val="180"/>
        </w:trPr>
        <w:tc>
          <w:tcPr>
            <w:tcW w:w="5420" w:type="dxa"/>
            <w:vAlign w:val="bottom"/>
            <w:gridSpan w:val="3"/>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1" w:lineRule="exact"/>
              <w:rPr>
                <w:sz w:val="20"/>
                <w:szCs w:val="20"/>
                <w:color w:val="auto"/>
              </w:rPr>
            </w:pPr>
            <w:r>
              <w:rPr>
                <w:rFonts w:ascii="Arial" w:cs="Arial" w:eastAsia="Arial" w:hAnsi="Arial"/>
                <w:sz w:val="18"/>
                <w:szCs w:val="18"/>
                <w:b w:val="1"/>
                <w:bCs w:val="1"/>
                <w:color w:val="auto"/>
              </w:rPr>
              <w:t>Amount</w:t>
            </w:r>
          </w:p>
        </w:tc>
        <w:tc>
          <w:tcPr>
            <w:tcW w:w="1440" w:type="dxa"/>
            <w:vAlign w:val="bottom"/>
            <w:tcBorders>
              <w:top w:val="single" w:sz="8" w:color="auto"/>
            </w:tcBorders>
          </w:tcPr>
          <w:p>
            <w:pPr>
              <w:jc w:val="right"/>
              <w:ind w:right="551"/>
              <w:spacing w:after="0" w:line="18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20"/>
              <w:spacing w:after="0" w:line="181" w:lineRule="exact"/>
              <w:rPr>
                <w:sz w:val="20"/>
                <w:szCs w:val="20"/>
                <w:color w:val="auto"/>
              </w:rPr>
            </w:pPr>
            <w:r>
              <w:rPr>
                <w:rFonts w:ascii="Arial" w:cs="Arial" w:eastAsia="Arial" w:hAnsi="Arial"/>
                <w:sz w:val="18"/>
                <w:szCs w:val="18"/>
                <w:color w:val="auto"/>
              </w:rPr>
              <w:t>Amount</w:t>
            </w:r>
          </w:p>
        </w:tc>
        <w:tc>
          <w:tcPr>
            <w:tcW w:w="1440" w:type="dxa"/>
            <w:vAlign w:val="bottom"/>
            <w:tcBorders>
              <w:top w:val="single" w:sz="8" w:color="auto"/>
            </w:tcBorders>
          </w:tcPr>
          <w:p>
            <w:pPr>
              <w:jc w:val="right"/>
              <w:ind w:right="551"/>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Capital employed</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ind w:left="420"/>
              <w:spacing w:after="0"/>
              <w:rPr>
                <w:sz w:val="20"/>
                <w:szCs w:val="20"/>
                <w:color w:val="auto"/>
              </w:rPr>
            </w:pPr>
            <w:r>
              <w:rPr>
                <w:rFonts w:ascii="Arial" w:cs="Arial" w:eastAsia="Arial" w:hAnsi="Arial"/>
                <w:sz w:val="18"/>
                <w:szCs w:val="18"/>
                <w:b w:val="1"/>
                <w:bCs w:val="1"/>
                <w:color w:val="auto"/>
              </w:rPr>
              <w:t>1,274.5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19.7 %</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400"/>
              <w:spacing w:after="0"/>
              <w:rPr>
                <w:sz w:val="20"/>
                <w:szCs w:val="20"/>
                <w:color w:val="auto"/>
              </w:rPr>
            </w:pPr>
            <w:r>
              <w:rPr>
                <w:rFonts w:ascii="Arial" w:cs="Arial" w:eastAsia="Arial" w:hAnsi="Arial"/>
                <w:sz w:val="18"/>
                <w:szCs w:val="18"/>
                <w:color w:val="auto"/>
              </w:rPr>
              <w:t>1,328.4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Murphy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5,194.3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5,362.8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00" w:type="dxa"/>
            <w:vAlign w:val="bottom"/>
            <w:gridSpan w:val="2"/>
          </w:tcPr>
          <w:p>
            <w:pPr>
              <w:ind w:left="440"/>
              <w:spacing w:after="0"/>
              <w:rPr>
                <w:sz w:val="20"/>
                <w:szCs w:val="20"/>
                <w:color w:val="auto"/>
              </w:rPr>
            </w:pPr>
            <w:r>
              <w:rPr>
                <w:rFonts w:ascii="Arial" w:cs="Arial" w:eastAsia="Arial" w:hAnsi="Arial"/>
                <w:sz w:val="18"/>
                <w:szCs w:val="18"/>
                <w:color w:val="auto"/>
              </w:rPr>
              <w:t>Total capital employed</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6,468.8</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6,691.2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of December 31, 2024, long-term debt decreased by $53.9 million compared to December 31, 2023, as a result of the repurchase of the 2027 Notes and 2028 Notes. The Company also completed a refinancing transaction whereby it issued $600.0 million of 2032 Notes, and used all of the proceeds to complete the repurchase and redemption, in whole or in part, of the 2027 Notes, 2028 Notes, and 2029 Notes. As of December 31, 2024, the fixed-rate notes had a weighted average maturity of 9.3 years and a weighted average coupon of 6.1%. Refer to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w:t>
      </w:r>
      <w:r>
        <w:rPr>
          <w:rFonts w:ascii="Arial" w:cs="Arial" w:eastAsia="Arial" w:hAnsi="Arial"/>
          <w:sz w:val="18"/>
          <w:szCs w:val="18"/>
          <w:color w:val="0000FF"/>
        </w:rPr>
        <w:t xml:space="preserve"> </w:t>
      </w:r>
      <w:r>
        <w:rPr>
          <w:rFonts w:ascii="Arial" w:cs="Arial" w:eastAsia="Arial" w:hAnsi="Arial"/>
          <w:sz w:val="18"/>
          <w:szCs w:val="18"/>
          <w:color w:val="000000"/>
        </w:rPr>
        <w:t>for additional details.</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Murphy’s shareholders’ equity decreased by $168.5 million in 2024 primarily due to cash dividends paid ($180.0 million), shares repurchased ($302.7 million, including excise tax), and foreign currency translation losses ($134.7 million), partially offset by net income earned ($407.2 million). A summary of transactions in stockholders’ equity accounts is presented in the “</w:t>
      </w:r>
      <w:r>
        <w:rPr>
          <w:rFonts w:ascii="Arial" w:cs="Arial" w:eastAsia="Arial" w:hAnsi="Arial"/>
          <w:sz w:val="18"/>
          <w:szCs w:val="18"/>
          <w:u w:val="single" w:color="auto"/>
          <w:color w:val="0000FF"/>
        </w:rPr>
        <w:t>Consolidated Statements of Stockholders’ Equity</w:t>
      </w:r>
      <w:r>
        <w:rPr>
          <w:rFonts w:ascii="Arial" w:cs="Arial" w:eastAsia="Arial" w:hAnsi="Arial"/>
          <w:sz w:val="18"/>
          <w:szCs w:val="18"/>
          <w:color w:val="auto"/>
        </w:rPr>
        <w:t xml:space="preserve">" on page </w:t>
      </w:r>
      <w:r>
        <w:rPr>
          <w:rFonts w:ascii="Arial" w:cs="Arial" w:eastAsia="Arial" w:hAnsi="Arial"/>
          <w:sz w:val="18"/>
          <w:szCs w:val="18"/>
          <w:u w:val="single" w:color="auto"/>
          <w:color w:val="0000FF"/>
        </w:rPr>
        <w:t>70</w:t>
      </w:r>
      <w:r>
        <w:rPr>
          <w:rFonts w:ascii="Arial" w:cs="Arial" w:eastAsia="Arial" w:hAnsi="Arial"/>
          <w:sz w:val="18"/>
          <w:szCs w:val="18"/>
          <w:color w:val="auto"/>
        </w:rPr>
        <w:t xml:space="preserve"> of this Form 10-K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Balance Sheet Activity - Long-Term Assets and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significant changes in Murphy’s balance sheet at the end of 2024, compared to 2023 are discussed below.</w:t>
      </w:r>
    </w:p>
    <w:p>
      <w:pPr>
        <w:spacing w:after="0" w:line="11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Property, plant and equipment, net of depreciation decreased $170.5 million principally due to DD&amp;A expense and foreign exchange rates applicable for the Canadian assets, substantially offset by capital expenditures in the year. Capital expenditures are discussed above in the “Cash Required by Investing Activities” section.</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Murphy had commitments for capital expenditures of approximately $417.0 million at December 31, 2024 (2023: $209.8 million). This amount includes $220.0 million for Other Offshore, primarily related to approved expenditures for capital projects relating to interests in Vietnam for the Lac Da Vang (Golden Camel) field development project, $112.2 million at Eagle Ford Shale, primarily at the Karnes field, $53.6 million relating to</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Gulf of America interests, primarily at the Mormont and non-operated St. Malo fields, and $31.2 million relating to interests in Canada Onshore, primarily at Kaybob Duvernay.</w:t>
      </w:r>
    </w:p>
    <w:p>
      <w:pPr>
        <w:spacing w:after="0" w:line="5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Operating lease assets increased $32.4 million principally due to lease extensions in the Gulf of America, partially offset by the depreciation of these assets.</w:t>
      </w:r>
    </w:p>
    <w:p>
      <w:pPr>
        <w:spacing w:after="0" w:line="55"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Long-term ARO liabilities increased $56.8 million primarily due to accretion, additions and revisions related to Gulf of America and Eagle Ford Shale operations.</w:t>
      </w:r>
    </w:p>
    <w:p>
      <w:pPr>
        <w:spacing w:after="0" w:line="55"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Non-current operating lease liabilities decreased $14.5 million primarily due to 2024 annual payments reducing operating lease liabilities for drilling rig and vessel commitments.</w:t>
      </w:r>
    </w:p>
    <w:p>
      <w:pPr>
        <w:spacing w:after="0" w:line="55"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color w:val="auto"/>
        </w:rPr>
        <w:t>Deferred income tax liabilities increased $59.1 million due to utilization of the net operating loss, partially offset by other capital-related tax effects.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Performance Metrics</w:t>
      </w:r>
    </w:p>
    <w:p>
      <w:pPr>
        <w:spacing w:after="0" w:line="11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uses other operational performance and income metrics to review operational performance. Management uses adjusted net income, earnings before interest, taxes, depreciation and amortization (EBITDA) and adjusted EBITDA internally to evaluate the Company’s operational performance and trends between periods and relative to its industry competitors. Adjusted net income excludes certain items that management believes affects the comparability of results between periods. Management believes this information may be useful to investors and analysts to gain a better understanding of the Company’s financial results. Adjusted net income, EBITDA, and adjusted EBITDA are non-GAAP financial measures and should not be considered a substitute for net income (loss) or cash provided by operating activities as determined in accordance with GAAP.</w:t>
      </w:r>
    </w:p>
    <w:p>
      <w:pPr>
        <w:spacing w:after="0" w:line="82"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color w:val="auto"/>
        </w:rPr>
        <w:t>The following table reconciles reported net income attributable to Murphy to adjusted net income from continuing operations attributable to Murphy.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480" w:type="dxa"/>
            <w:vAlign w:val="bottom"/>
            <w:vMerge w:val="restart"/>
          </w:tcPr>
          <w:p>
            <w:pPr>
              <w:spacing w:after="0"/>
              <w:rPr>
                <w:sz w:val="20"/>
                <w:szCs w:val="20"/>
                <w:color w:val="auto"/>
              </w:rPr>
            </w:pPr>
            <w:r>
              <w:rPr>
                <w:rFonts w:ascii="Arial" w:cs="Arial" w:eastAsia="Arial" w:hAnsi="Arial"/>
                <w:sz w:val="18"/>
                <w:szCs w:val="18"/>
                <w:i w:val="1"/>
                <w:iCs w:val="1"/>
                <w:color w:val="auto"/>
                <w:w w:val="97"/>
              </w:rPr>
              <w:t>(Millions of dollars)</w:t>
            </w:r>
          </w:p>
        </w:tc>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371"/>
              <w:spacing w:after="0" w:line="181"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47"/>
        </w:trPr>
        <w:tc>
          <w:tcPr>
            <w:tcW w:w="2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55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020" w:type="dxa"/>
            <w:vAlign w:val="bottom"/>
            <w:gridSpan w:val="3"/>
            <w:shd w:val="clear" w:color="auto" w:fill="CCEEFF"/>
          </w:tcPr>
          <w:p>
            <w:pPr>
              <w:ind w:left="20"/>
              <w:spacing w:after="0" w:line="221" w:lineRule="exact"/>
              <w:rPr>
                <w:sz w:val="20"/>
                <w:szCs w:val="20"/>
                <w:color w:val="auto"/>
              </w:rPr>
            </w:pPr>
            <w:r>
              <w:rPr>
                <w:rFonts w:ascii="Arial" w:cs="Arial" w:eastAsia="Arial" w:hAnsi="Arial"/>
                <w:sz w:val="18"/>
                <w:szCs w:val="18"/>
                <w:color w:val="auto"/>
              </w:rPr>
              <w:t xml:space="preserve">Net income attributable to Murphy (GAAP)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27"/>
        </w:trPr>
        <w:tc>
          <w:tcPr>
            <w:tcW w:w="7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Discontinued operations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Murphy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27"/>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Impairment of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Write-off of previously suspended exploration well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(gain)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Refinancing and early redemption of debt costs (non-cash)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loss (gain) on derivative instruments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242424"/>
              </w:rPr>
              <w:t>Asset retirement obligation losses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loss on contingent consideration</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242424"/>
              </w:rPr>
              <w:t>(Gain) on sale of assets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0"/>
        </w:trPr>
        <w:tc>
          <w:tcPr>
            <w:tcW w:w="70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adjustments, before taxes</w:t>
            </w: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Income tax (benefit) expense related to adjustments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(benefit) on investments in foreign areas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0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adjustments after taxes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Adjusted net income from continuing operations attributable to Murphy (Non-GAAP)</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 per average diluted share (GAAP)</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0" w:type="dxa"/>
            <w:vAlign w:val="bottom"/>
            <w:gridSpan w:val="2"/>
          </w:tcPr>
          <w:p>
            <w:pPr>
              <w:ind w:left="160"/>
              <w:spacing w:after="0" w:line="174" w:lineRule="exact"/>
              <w:rPr>
                <w:sz w:val="20"/>
                <w:szCs w:val="20"/>
                <w:color w:val="auto"/>
              </w:rPr>
            </w:pPr>
            <w:r>
              <w:rPr>
                <w:rFonts w:ascii="Arial" w:cs="Arial" w:eastAsia="Arial" w:hAnsi="Arial"/>
                <w:sz w:val="18"/>
                <w:szCs w:val="18"/>
                <w:color w:val="auto"/>
              </w:rPr>
              <w:t>Adjusted net income from continuing operations attributable to Murphy per average</w:t>
            </w:r>
          </w:p>
        </w:tc>
        <w:tc>
          <w:tcPr>
            <w:tcW w:w="30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diluted share (Non-GAAP)</w:t>
            </w:r>
          </w:p>
        </w:tc>
        <w:tc>
          <w:tcPr>
            <w:tcW w:w="30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2"/>
                <w:szCs w:val="22"/>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0" w:hanging="147"/>
        <w:spacing w:after="0"/>
        <w:tabs>
          <w:tab w:leader="none" w:pos="16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Excludes amounts attributable to a noncontrolling interest in MP GOM.</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following table reconciles reported net income attributable to Murphy to EBITDA attributable to Murphy and adjusted EBITDA attributable to Murphy.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2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0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1"/>
              <w:spacing w:after="0" w:line="181"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371"/>
              <w:spacing w:after="0" w:line="181"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020" w:type="dxa"/>
            <w:vAlign w:val="bottom"/>
            <w:gridSpan w:val="3"/>
            <w:shd w:val="clear" w:color="auto" w:fill="CCEEFF"/>
          </w:tcPr>
          <w:p>
            <w:pPr>
              <w:ind w:left="20"/>
              <w:spacing w:after="0" w:line="221" w:lineRule="exact"/>
              <w:rPr>
                <w:sz w:val="20"/>
                <w:szCs w:val="20"/>
                <w:color w:val="auto"/>
              </w:rPr>
            </w:pPr>
            <w:r>
              <w:rPr>
                <w:rFonts w:ascii="Arial" w:cs="Arial" w:eastAsia="Arial" w:hAnsi="Arial"/>
                <w:sz w:val="18"/>
                <w:szCs w:val="18"/>
                <w:color w:val="auto"/>
              </w:rPr>
              <w:t xml:space="preserve">Net (loss) income attributable to Murphy (GAAP)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ind w:left="120"/>
              <w:spacing w:after="0" w:line="228" w:lineRule="exact"/>
              <w:rPr>
                <w:sz w:val="20"/>
                <w:szCs w:val="20"/>
                <w:color w:val="auto"/>
              </w:rPr>
            </w:pPr>
            <w:r>
              <w:rPr>
                <w:rFonts w:ascii="Arial" w:cs="Arial" w:eastAsia="Arial" w:hAnsi="Arial"/>
                <w:sz w:val="18"/>
                <w:szCs w:val="18"/>
                <w:color w:val="auto"/>
              </w:rPr>
              <w:t xml:space="preserve">Depreciation, depletion and amortization expense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0" w:type="dxa"/>
            <w:vAlign w:val="bottom"/>
          </w:tcPr>
          <w:p>
            <w:pPr>
              <w:spacing w:after="0"/>
              <w:rPr>
                <w:sz w:val="1"/>
                <w:szCs w:val="1"/>
                <w:color w:val="auto"/>
              </w:rPr>
            </w:pPr>
          </w:p>
        </w:tc>
      </w:tr>
      <w:tr>
        <w:trPr>
          <w:trHeight w:val="220"/>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EBITDA attributable to Murphy (Non-GAAP)</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line="228" w:lineRule="exact"/>
              <w:rPr>
                <w:sz w:val="20"/>
                <w:szCs w:val="20"/>
                <w:color w:val="auto"/>
              </w:rPr>
            </w:pPr>
            <w:r>
              <w:rPr>
                <w:rFonts w:ascii="Arial" w:cs="Arial" w:eastAsia="Arial" w:hAnsi="Arial"/>
                <w:sz w:val="18"/>
                <w:szCs w:val="18"/>
                <w:color w:val="auto"/>
              </w:rPr>
              <w:t xml:space="preserve">Impairment of assets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line="228" w:lineRule="exact"/>
              <w:rPr>
                <w:sz w:val="20"/>
                <w:szCs w:val="20"/>
                <w:color w:val="auto"/>
              </w:rPr>
            </w:pPr>
            <w:r>
              <w:rPr>
                <w:rFonts w:ascii="Arial" w:cs="Arial" w:eastAsia="Arial" w:hAnsi="Arial"/>
                <w:sz w:val="18"/>
                <w:szCs w:val="18"/>
                <w:color w:val="auto"/>
              </w:rPr>
              <w:t xml:space="preserve">Accretion of asset retirement obligations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Foreign exchange (gain)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Write-off of previously suspended exploration well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Discontinued operations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Mark-to-market loss (gain) on derivative instruments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Mark-to-market loss on contingent consideration</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Asset retirement obligation losses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000" w:type="dxa"/>
            <w:vAlign w:val="bottom"/>
            <w:gridSpan w:val="2"/>
          </w:tcPr>
          <w:p>
            <w:pPr>
              <w:ind w:left="120"/>
              <w:spacing w:after="0" w:line="228" w:lineRule="exact"/>
              <w:rPr>
                <w:sz w:val="20"/>
                <w:szCs w:val="20"/>
                <w:color w:val="auto"/>
              </w:rPr>
            </w:pPr>
            <w:r>
              <w:rPr>
                <w:rFonts w:ascii="Arial" w:cs="Arial" w:eastAsia="Arial" w:hAnsi="Arial"/>
                <w:sz w:val="18"/>
                <w:szCs w:val="18"/>
                <w:color w:val="auto"/>
              </w:rPr>
              <w:t xml:space="preserve">Gain on sale of assets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5"/>
        </w:trPr>
        <w:tc>
          <w:tcPr>
            <w:tcW w:w="70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Murphy (Non-GAAP)</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160" w:hanging="153"/>
        <w:spacing w:after="0"/>
        <w:tabs>
          <w:tab w:leader="none" w:pos="16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Excludes amounts attributable to a noncontrolling interest in MP GOM.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1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Murphy faces various environmental, health and safety risks that are inherent in exploring for, developing and producing hydrocarbons. To help manage these risks, the Company has established a robust health, safety and environmental governance program comprised of a worldwide policy, guiding principles, annual goals and a management system incorporating oversight at each business unit, senior leadership and board levels. The Company strives to minimize these risks by continually improving its processes through design, operation and implementation of a comprehensive asset integrity plan, auditing and assessments, and through emergency and oil spill response planning to address any credible risks. These plans are presented to, reviewed and approved by a Health, Safety, Environment and Corporate Responsibility Committee consisting of certain members of the Board.</w:t>
      </w:r>
    </w:p>
    <w:p>
      <w:pPr>
        <w:spacing w:after="0" w:line="8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oil and natural gas industry is subject to numerous international, foreign, national, state, provincial and local environmental, health and safety laws and regulations. Murphy allocates a portion of both its capital expenditures and its general and administrative budget toward compliance with existing and anticipated environmental, health and safety laws and regulations. These requirements affect virtually all operations of the Company and increase Murphy’s overall cost of business, including its capital costs to construct, maintain and upgrade equipment and facilities as well as operating costs for ongoing compliance.</w:t>
      </w:r>
    </w:p>
    <w:p>
      <w:pPr>
        <w:spacing w:after="0" w:line="7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GHG emissions; wildlife, habitat and water protection; the placement, operation and decommissioning of production equipment; and the health and safety of our employees, contractors and communities where our operations are located. These laws and regulations also generally require permits for existing operations, as well as the construction or development of new operations and the decommissioning facilities once production has ceased. Violations can give rise to sanctions including significant civil and criminal penalties, injunctions, construction bans and delays.</w:t>
      </w:r>
    </w:p>
    <w:p>
      <w:pPr>
        <w:spacing w:after="0" w:line="82"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color w:val="auto"/>
        </w:rPr>
        <w:t>Further information on environmental, health and safety laws and regulations applicable to Murphy are contained in the “</w:t>
      </w:r>
      <w:r>
        <w:rPr>
          <w:rFonts w:ascii="Arial" w:cs="Arial" w:eastAsia="Arial" w:hAnsi="Arial"/>
          <w:sz w:val="18"/>
          <w:szCs w:val="18"/>
          <w:u w:val="single" w:color="auto"/>
          <w:color w:val="0000FF"/>
        </w:rPr>
        <w:t>Business</w:t>
      </w:r>
      <w:r>
        <w:rPr>
          <w:rFonts w:ascii="Arial" w:cs="Arial" w:eastAsia="Arial" w:hAnsi="Arial"/>
          <w:sz w:val="18"/>
          <w:szCs w:val="18"/>
          <w:color w:val="auto"/>
        </w:rPr>
        <w:t xml:space="preserve">” section beginning page </w:t>
      </w:r>
      <w:r>
        <w:rPr>
          <w:rFonts w:ascii="Arial" w:cs="Arial" w:eastAsia="Arial" w:hAnsi="Arial"/>
          <w:sz w:val="18"/>
          <w:szCs w:val="18"/>
          <w:u w:val="single" w:color="auto"/>
          <w:color w:val="0000FF"/>
        </w:rPr>
        <w:t>9</w:t>
      </w:r>
      <w:r>
        <w:rPr>
          <w:rFonts w:ascii="Arial" w:cs="Arial" w:eastAsia="Arial" w:hAnsi="Arial"/>
          <w:sz w:val="18"/>
          <w:szCs w:val="18"/>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Climate Change and Emissions</w:t>
      </w:r>
    </w:p>
    <w:p>
      <w:pPr>
        <w:spacing w:after="0" w:line="11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world’s population and standard of living are growing steadily along with the demand for energy. Murphy recognizes that this may generate increasing amounts of GHG, which could raise important climate change concerns. Murphy works to assess the Company’s governance, strategy, risk identification, and management and measurement of climate risks and opportunities in order to remain in alignment with the TCFD framework. While oversight of the TCFD framework has undergone changes, including relating to the role of the International Financial Reporting Standards Foundation in overseeing the framework, the TCFD framework continues to inform climate-related reporting practices. Murphy’s disclosures related to its alignment with the TCFD framework are included in the Company’s 2024 Sustainability Report issued on August 7, 2024, which is not incorporated by reference hereto.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Impact of inflation </w:t>
      </w:r>
      <w:r>
        <w:rPr>
          <w:rFonts w:ascii="Arial" w:cs="Arial" w:eastAsia="Arial" w:hAnsi="Arial"/>
          <w:sz w:val="18"/>
          <w:szCs w:val="18"/>
          <w:color w:val="auto"/>
        </w:rPr>
        <w:t>– In 2024, many countries worldwide continued to experience moderate inflation, including countries where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(this follows a sustained period of relatively low inflation prior to 2021). The Company’s revenues, capital and operating costs are influenced to a larger extent by specific price changes in the oil and natural gas industry and allied industries rather than by changes in general inflation. Crude oil prices generally reflect the balance between supply and demand, with crude oil prices being particularly sensitive to OPEC and certain non-OPEC members’ production levels and/or attitudes of traders concerning supply and demand in the future. Costs for oil field goods and services are usually affected by the worldwide prices for crude oil.</w:t>
      </w:r>
    </w:p>
    <w:p>
      <w:pPr>
        <w:spacing w:after="0" w:line="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combat impacts of inflation and/or supply and demand factors, Murphy has dedicated personnel in marketing and procurement departments, focused on managing supply chain and input costs. Murphy also has certain transportation, processing and production handling services costs fixed through long-term contracts and commitments and therefore is partly protected from the increasing price of services. However, from time to time,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Murphy will seek to enter new commitments, exercise options to extend contracts and retender contracts for rigs and other industry services which could expose Murphy to the impact of higher costs. Murphy continues to strive toward safely executing our work in an ever-increasingly efficient manner to mitigate possible inflationary pressures in our business.</w:t>
      </w:r>
    </w:p>
    <w:p>
      <w:pPr>
        <w:spacing w:after="0" w:line="7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Natural gas prices are also affected by supply and demand, which are often affected by the weather and by the fact that delivery of natural gas can be restricted to specific geographic areas. Natural gas is also impacted by demand for lower carbon emissions.</w:t>
      </w:r>
    </w:p>
    <w:p>
      <w:pPr>
        <w:spacing w:after="0" w:line="55"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color w:val="auto"/>
        </w:rPr>
        <w:t>As a result of the overall volatility of oil and natural gas prices, it is not possible to predict the Company’s future cost of oil field goods and services.</w:t>
      </w:r>
    </w:p>
    <w:p>
      <w:pPr>
        <w:spacing w:after="0" w:line="40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Critical Accounting Estimates </w:t>
      </w:r>
      <w:r>
        <w:rPr>
          <w:rFonts w:ascii="Arial" w:cs="Arial" w:eastAsia="Arial" w:hAnsi="Arial"/>
          <w:sz w:val="18"/>
          <w:szCs w:val="18"/>
          <w:color w:val="auto"/>
        </w:rPr>
        <w:t>– In preparing the Company’s consolidated financial statements in accordance with GAAP, management must</w:t>
      </w:r>
      <w:r>
        <w:rPr>
          <w:rFonts w:ascii="Arial" w:cs="Arial" w:eastAsia="Arial" w:hAnsi="Arial"/>
          <w:sz w:val="18"/>
          <w:szCs w:val="18"/>
          <w:b w:val="1"/>
          <w:bCs w:val="1"/>
          <w:color w:val="auto"/>
        </w:rPr>
        <w:t xml:space="preserve"> </w:t>
      </w:r>
      <w:r>
        <w:rPr>
          <w:rFonts w:ascii="Arial" w:cs="Arial" w:eastAsia="Arial" w:hAnsi="Arial"/>
          <w:sz w:val="18"/>
          <w:szCs w:val="18"/>
          <w:color w:val="auto"/>
        </w:rPr>
        <w:t>make a number of estimates and assumptions related to the reporting of assets, liabilities, revenues and expenses and the disclosure of contingent assets and liabilities. Application of certain of the Company’s accounting policies requires significant estimates. The most significant of these accounting policies and estimates are described below.</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Oil and natural gas proved reserves </w:t>
      </w:r>
      <w:r>
        <w:rPr>
          <w:rFonts w:ascii="Arial" w:cs="Arial" w:eastAsia="Arial" w:hAnsi="Arial"/>
          <w:sz w:val="18"/>
          <w:szCs w:val="18"/>
          <w:color w:val="auto"/>
        </w:rPr>
        <w:t>– Oil and natural gas proved reserves are defined by the SEC as those quantities of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by analysis of geoscience and engineering data, can be estimated with reasonable certainty to be economically producible from a given date forward, from known reservoirs, and under existing economic conditions, operating methods, and government regulations before the time at which contracts providing the right to operate expire (unless evidence indicates that renewal is reasonably certain). Proved developed reserves of oil and natural gas can be expected to be recovered through existing wells with existing equipment and operating methods or in which the cost of the required equipment is relatively minor compared with the cost of a new well, or through installed extraction equipment and infrastructure operational at the time of the reserves estimate if the extraction is by means not involving a well.</w:t>
      </w:r>
    </w:p>
    <w:p>
      <w:pPr>
        <w:spacing w:after="0" w:line="8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the Company’s engineers are knowledgeable of and follow the guidelines for reserves as established by the SEC, the estimation of reserves requires the engineers to make a significant number of assumptions based on professional judgment. SEC rules require the Company to use an unweighted average of the oil and natural gas prices in effect at the beginning of each month of the year for determining quantities of proved reserves. These historical prices often do not approximate the average price that the Company expects to receive for its oil and natural gas production in the future. The Company often uses significantly different oil and natural gas prices and reserve assumptions when making its own internal economic property evaluations. Changes in oil and natural gas prices can lead to a decision to start up or shut in production, which can lead to revisions to reserves quantities.</w:t>
      </w:r>
    </w:p>
    <w:p>
      <w:pPr>
        <w:spacing w:after="0" w:line="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Estimated reserves are subject to future revision, certain of which could be substantial, based on the availability of additional information, including reservoir performance, new geological and geophysical data, additional drilling, technological advancements, price changes and other economic factors. Reserves revisions inherently lead to adjustments of the Company’s depreciation rates and the timing of settlement of ARO liabilities. Downward reserves revisions can also lead to significant impairment expense. The Company cannot predict the type of oil and natural gas reserves revisions that will be required in future periods.</w:t>
      </w:r>
    </w:p>
    <w:p>
      <w:pPr>
        <w:spacing w:after="0" w:line="7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The Company’s proved reserves of crude oil, natural gas and NGLs are presented on pages </w:t>
      </w:r>
      <w:r>
        <w:rPr>
          <w:rFonts w:ascii="Arial" w:cs="Arial" w:eastAsia="Arial" w:hAnsi="Arial"/>
          <w:sz w:val="18"/>
          <w:szCs w:val="18"/>
          <w:u w:val="single" w:color="auto"/>
          <w:color w:val="0000FF"/>
        </w:rPr>
        <w:t>106</w:t>
      </w:r>
      <w:r>
        <w:rPr>
          <w:rFonts w:ascii="Arial" w:cs="Arial" w:eastAsia="Arial" w:hAnsi="Arial"/>
          <w:sz w:val="18"/>
          <w:szCs w:val="18"/>
          <w:color w:val="auto"/>
        </w:rPr>
        <w:t xml:space="preserve"> to </w:t>
      </w:r>
      <w:r>
        <w:rPr>
          <w:rFonts w:ascii="Arial" w:cs="Arial" w:eastAsia="Arial" w:hAnsi="Arial"/>
          <w:sz w:val="18"/>
          <w:szCs w:val="18"/>
          <w:u w:val="single" w:color="auto"/>
          <w:color w:val="0000FF"/>
        </w:rPr>
        <w:t>115</w:t>
      </w:r>
      <w:r>
        <w:rPr>
          <w:rFonts w:ascii="Arial" w:cs="Arial" w:eastAsia="Arial" w:hAnsi="Arial"/>
          <w:sz w:val="18"/>
          <w:szCs w:val="18"/>
          <w:color w:val="auto"/>
        </w:rPr>
        <w:t xml:space="preserve"> of this Form 10-K report. Murphy’s estimations for proved reserves were generated through the integration of available geoscience, engineering, and economic data (including hydrocarbon prices, operating costs, and development costs), and commercially available technologies, to establish “reasonable certainty” of economic producibility. As defined by the SEC, reasonable certainty of proved reserves describes a high degree of confidence that the quantities will be recovered. In estimating proved reserves, Murphy uses familiar industry-accepted methods for subsurface evaluations, including performance, volumetric, and analog-based studies.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Where appropriate, Murphy includes reliable geologic and engineering technology to estimate proved reserves. Reliable geologic and engineering technology is a method or combination of methods that are field-tested and have been demonstrated to provide reasonably certain results with consistency and repeatability in the formation being evaluated or in an analogous formation. This integrated approach increases the quality of and confidence in Murphy’s proved reserves estimates. It was utilized in certain undrilled acreage at distances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greater than the directly offsetting development spacing areas, and in certain reservoirs developed with the application of improved recovery techniques. Murphy utilized a combination of 3D seismic interpretation, core analysis, wellbore log measurements, well test data, historic production and pressure data, and commercially available seismic processing and numerical reservoir simulation programs. Reservoir parameters from analogous reservoirs were used to strengthen the reserves estimates when available.</w:t>
      </w:r>
    </w:p>
    <w:p>
      <w:pPr>
        <w:spacing w:after="0" w:line="75"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color w:val="auto"/>
        </w:rPr>
        <w:t xml:space="preserve">See further discussion of proved reserves and changes in proved reserves during the three years ended December 31, 2024 beginning on pages </w:t>
      </w:r>
      <w:r>
        <w:rPr>
          <w:rFonts w:ascii="Arial" w:cs="Arial" w:eastAsia="Arial" w:hAnsi="Arial"/>
          <w:sz w:val="18"/>
          <w:szCs w:val="18"/>
          <w:u w:val="single" w:color="auto"/>
          <w:color w:val="0000FF"/>
        </w:rPr>
        <w:t>4</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106</w:t>
      </w:r>
      <w:r>
        <w:rPr>
          <w:rFonts w:ascii="Arial" w:cs="Arial" w:eastAsia="Arial" w:hAnsi="Arial"/>
          <w:sz w:val="18"/>
          <w:szCs w:val="18"/>
          <w:color w:val="auto"/>
        </w:rPr>
        <w:t xml:space="preserve"> of this Form 10-K report.</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Property, Plant and Equipment - impairment of long-lived assets </w:t>
      </w:r>
      <w:r>
        <w:rPr>
          <w:rFonts w:ascii="Arial" w:cs="Arial" w:eastAsia="Arial" w:hAnsi="Arial"/>
          <w:sz w:val="18"/>
          <w:szCs w:val="18"/>
          <w:color w:val="auto"/>
        </w:rPr>
        <w:t>– The Company continually monitors its long-lived assets recorded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plant and equipment” in the Consolidated Balance Sheet to ensure that they are fairly presented. The Company must evaluate its property, plant and equipment for potential impairment when circumstances indicate that the carrying value of an asset may not be recoverable from undiscounted future net cash flows.</w:t>
      </w:r>
    </w:p>
    <w:p>
      <w:pPr>
        <w:spacing w:after="0" w:line="75" w:lineRule="exact"/>
        <w:rPr>
          <w:sz w:val="20"/>
          <w:szCs w:val="20"/>
          <w:color w:val="auto"/>
        </w:rPr>
      </w:pPr>
    </w:p>
    <w:p>
      <w:pPr>
        <w:jc w:val="both"/>
        <w:ind w:right="360"/>
        <w:spacing w:after="0" w:line="257" w:lineRule="auto"/>
        <w:rPr>
          <w:sz w:val="20"/>
          <w:szCs w:val="20"/>
          <w:color w:val="auto"/>
        </w:rPr>
      </w:pPr>
      <w:r>
        <w:rPr>
          <w:rFonts w:ascii="Arial" w:cs="Arial" w:eastAsia="Arial" w:hAnsi="Arial"/>
          <w:sz w:val="18"/>
          <w:szCs w:val="18"/>
          <w:color w:val="auto"/>
        </w:rPr>
        <w:t>A significant amount of judgment is involved in performing these evaluations since the results are based on estimated future events. Such events include a projection of future oil and natural gas sales prices, an estimate of the amount of oil and natural gas that will be produced from a field, the timing of this future production, future costs to produce the oil and natural gas, future capital, operating and abandonment costs and future inflation levels.</w:t>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need to test a long-lived asset for impairment can be based on several factors, including, but not limited to, a significant reduction in sales prices for oil and/or natural gas, unfavorable revisions of oil or natural gas reserves, or other changes to contracts, environmental, health and safety laws and regulations, tax laws or other regulatory changes. All of these factors must be considered when evaluating a property’s carrying value for possible impairment.</w:t>
      </w:r>
    </w:p>
    <w:p>
      <w:pPr>
        <w:spacing w:after="0" w:line="75"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color w:val="auto"/>
        </w:rPr>
        <w:t>Due to the volatility of world oil and natural gas markets, the actual sales prices for oil and natural gas have often been different from the Company’s projections.</w:t>
      </w:r>
    </w:p>
    <w:p>
      <w:pPr>
        <w:spacing w:after="0" w:line="5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Estimates of future oil and natural gas production and sales volumes are based on a combination of proved and risked probable reserves. Although the estimation of reserves and future production is uncertain, the Company believes that its estimates are reasonable; however, there have been cases where actual production volumes were higher or lower than projected and the timing was different than the original projection. The Company adjusts reserves and production estimates as new information becomes available.</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generally projects future costs by using historical costs adjusted for both assumed long-term inflation rates and known or expected changes in future operations. Although the projected future costs are considered to be reasonable, at times, costs have been higher or lower than originally estimated.</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2024, the Company recognized pretax non-cash impairment charges of $62.9 million to reduce the carrying values at select properties. In the first quarter of 2024, the Company recognized $34.5 million related to the Calliope field, in the Gulf of America, and in the fourth quarter of 2024, the Company recognized $28.4 million related to the Nearly Headless Nick field, in the Gulf of America. Both of the impairment charges were due to subsurface issues that led to reserve reductions. There were no impairments recognized in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u w:val="single" w:color="auto"/>
          <w:color w:val="0000FF"/>
        </w:rPr>
        <w:t>Note D</w:t>
      </w:r>
      <w:r>
        <w:rPr>
          <w:rFonts w:ascii="Arial" w:cs="Arial" w:eastAsia="Arial" w:hAnsi="Arial"/>
          <w:sz w:val="18"/>
          <w:szCs w:val="18"/>
          <w:color w:val="auto"/>
        </w:rPr>
        <w:t xml:space="preserve"> for further discussion of impairment charges.</w:t>
      </w:r>
    </w:p>
    <w:p>
      <w:pPr>
        <w:spacing w:after="0" w:line="1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Company is subject to income and other similar taxes in all areas in which it operates. When recording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certain estimates are required because: (a) income tax returns are generally filed months after the close of its annual accounting period; (b) tax returns are subject to audit by taxing authorities and audits can often take years to complete and settle; (c) future events often impact the timing of when income tax expenses and benefits are recognized by the Company; and (d) changes to regulations may be subject to different interpretations and require future clarification from issuing authorities or others.</w:t>
      </w:r>
    </w:p>
    <w:p>
      <w:pPr>
        <w:spacing w:after="0" w:line="76"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color w:val="auto"/>
        </w:rPr>
        <w:t>The Company has deferred tax assets mostly relating to U.S. net operating losses, liabilities for dismantlement, retirement benefit plan obligations and net deferred tax liabilities relating to tax and accounting basis differences for property, plant and equipment.</w:t>
      </w:r>
    </w:p>
    <w:p>
      <w:pPr>
        <w:spacing w:after="0" w:line="5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Company routinely evaluates all deferred tax assets to determine the likelihood of their realization and reduces such assets to the expected realizable amount by a valuation allowance if it is more likely than not that some portion or all of the deferred tax assets will not be realized. In assessing the need for valuation allowances,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consider all available positive and negative evidence. Positive evidence includes projected future taxable income and assessment of future business assumptions, a history of utilizing tax assets before expiration, significant proven and probable reserves and reversals of taxable temporary differences. Negative evidence includes losses in recent years.</w:t>
      </w:r>
    </w:p>
    <w:p>
      <w:pPr>
        <w:spacing w:after="0" w:line="7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of December 31, 2024 the Company had a U.S. deferred tax asset associated with net operating losses of $289.6 million. In reviewing the likelihood of realizing this asset, the Company considered the reversal of taxable temporary differences, carryforward periods and future taxable income estimates based on projected financial information which, based on currently available evidence, we believe to be reasonably likely to occur. Certain estimates and assumptions are used in the estimation of future taxable income, including (but not limited to) (a) future commodity prices for crude oil, natural gas and NGLs, (b) estimated reserves for crude oil, natural gas and NGLs, (c) expected timing of production, (d) estimated lease operating costs and (e) future capital requirements. In the future, the underlying actual assumptions utilized in estimating future taxable income could be different and result in different conclusions about the likelihood of the future utilization of our net operating loss carryforwards.</w:t>
      </w:r>
    </w:p>
    <w:p>
      <w:pPr>
        <w:spacing w:after="0" w:line="78"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 xml:space="preserve">Accounting for retirement and postretirement benefit plans </w:t>
      </w:r>
      <w:r>
        <w:rPr>
          <w:rFonts w:ascii="Arial" w:cs="Arial" w:eastAsia="Arial" w:hAnsi="Arial"/>
          <w:sz w:val="17"/>
          <w:szCs w:val="17"/>
          <w:color w:val="auto"/>
        </w:rPr>
        <w:t>– Murphy and certain of its subsidiaries maintain defined benefit retirement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covering certain full-time employees. The Company also sponsors health care and life insurance benefit plans covering most retired U.S. employees. The expense associated with these plans is estimated by management based on a number of assumptions and with consultation assistance from qualified third-party actuaries. The most important of these assumptions for the retirement plans involve the discount rate used to measure future plan obligations and the expected long-term rate of return on plan assets. For the retiree medical and insurance plans, the most important assumptions are the discount rate for future plan obligations and the health care cost trend rate. Discount rates are based on the universe of high-quality corporate bonds that are available within each country. Cash flow analyses are performed in which a spot yield curve is used to discount projected benefit payment streams for the most significant plans. The discounted cash flows are used to determine an equivalent single rate, which is the basis for selecting the discount rate within each country. Expected plan asset returns are based on long-term expectations for asset portfolios with similar investment mix characteristics. Anticipated health care cost trend rates are determined based on prior experience of the Company and an assessment of near-term and long-term trends for medical and drug costs.</w:t>
      </w:r>
    </w:p>
    <w:p>
      <w:pPr>
        <w:spacing w:after="0" w:line="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Based on bond yields as of December 31, 2024, the Company has used a weighted average discount rate of 5.63% at year-end 2024 for the primary U.S. plans. This weighted average discount rate is 0.5% higher than prior year, which decreased the Company’s recorded liabilities for retirement plans compared to a year ago. The Company assumed a return on plan assets of 7.60% for the primary U.S. plan and periodically reconsiders the appropriateness of this and other key assumptions. The Company’s retirement and postretirement plan (health care and life insurance benefit plans) expenses in 2025 are expected to be $5.3 million lower than in 2024 primarily due to the decrease in the benefit obligations at December 31, 2024 compared to the prior year, which decreases the interest cost recognized in net periodic benefit costs.</w:t>
      </w:r>
    </w:p>
    <w:p>
      <w:pPr>
        <w:spacing w:after="0" w:line="6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2024, the Company paid $35.5 million into various retirement plans and $13.0 million into postretirement plans. In 2025, the Company is expecting to fund payments of approximately $26.4 million into various retirement plans and $4.2 million for postretirement plans. The Company could be required to make additional and more significant funding payments to retirement plans in future years. Future required payments and the amount of liabilities recorded on the balance sheet associated with the plans could be unfavorably affected if the discount rate declines, the actual return on plan assets falls below the assumed return, or the health care cost trend rate increase is higher than expected.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B</w:t>
      </w:r>
      <w:r>
        <w:rPr>
          <w:rFonts w:ascii="Arial" w:cs="Arial" w:eastAsia="Arial" w:hAnsi="Arial"/>
          <w:sz w:val="18"/>
          <w:szCs w:val="18"/>
          <w:color w:val="auto"/>
        </w:rPr>
        <w:t xml:space="preserve"> in our Consolidated Financial Statements regarding the impact or potential impact of recent accounting pronouncements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Contractual obligations and guarantees </w:t>
      </w:r>
      <w:r>
        <w:rPr>
          <w:rFonts w:ascii="Arial" w:cs="Arial" w:eastAsia="Arial" w:hAnsi="Arial"/>
          <w:sz w:val="18"/>
          <w:szCs w:val="18"/>
          <w:color w:val="auto"/>
        </w:rPr>
        <w:t>– The Company is obligated to make future cash payments under borrowing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leases, purchase obligations primarily associated with existing capital expenditure plans and other long-term liabilities. Total payments due after 2024 under such contractual obligations and arrangements are shown in the table below. Amounts are undiscounted and therefore may differ to those presented in the financial statements.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Amount of Obligations</w:t>
            </w: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94"/>
        </w:trPr>
        <w:tc>
          <w:tcPr>
            <w:tcW w:w="4200" w:type="dxa"/>
            <w:vAlign w:val="bottom"/>
            <w:gridSpan w:val="3"/>
          </w:tcPr>
          <w:p>
            <w:pPr>
              <w:ind w:left="20"/>
              <w:spacing w:after="0" w:line="194" w:lineRule="exact"/>
              <w:rPr>
                <w:sz w:val="20"/>
                <w:szCs w:val="20"/>
                <w:color w:val="auto"/>
              </w:rPr>
            </w:pPr>
            <w:r>
              <w:rPr>
                <w:rFonts w:ascii="Arial" w:cs="Arial" w:eastAsia="Arial" w:hAnsi="Arial"/>
                <w:sz w:val="18"/>
                <w:szCs w:val="18"/>
                <w:i w:val="1"/>
                <w:iCs w:val="1"/>
                <w:color w:val="auto"/>
              </w:rPr>
              <w:t>(Millions of dollars)</w:t>
            </w:r>
          </w:p>
        </w:tc>
        <w:tc>
          <w:tcPr>
            <w:tcW w:w="280" w:type="dxa"/>
            <w:vAlign w:val="bottom"/>
          </w:tcPr>
          <w:p>
            <w:pPr>
              <w:spacing w:after="0"/>
              <w:rPr>
                <w:sz w:val="16"/>
                <w:szCs w:val="16"/>
                <w:color w:val="auto"/>
              </w:rPr>
            </w:pPr>
          </w:p>
        </w:tc>
        <w:tc>
          <w:tcPr>
            <w:tcW w:w="116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6"/>
                <w:szCs w:val="16"/>
                <w:color w:val="auto"/>
              </w:rPr>
            </w:pPr>
          </w:p>
        </w:tc>
        <w:tc>
          <w:tcPr>
            <w:tcW w:w="1040" w:type="dxa"/>
            <w:vAlign w:val="bottom"/>
          </w:tcPr>
          <w:p>
            <w:pPr>
              <w:jc w:val="right"/>
              <w:ind w:right="391"/>
              <w:spacing w:after="0" w:line="194" w:lineRule="exact"/>
              <w:rPr>
                <w:sz w:val="20"/>
                <w:szCs w:val="20"/>
                <w:color w:val="auto"/>
              </w:rPr>
            </w:pPr>
            <w:r>
              <w:rPr>
                <w:rFonts w:ascii="Arial" w:cs="Arial" w:eastAsia="Arial" w:hAnsi="Arial"/>
                <w:sz w:val="18"/>
                <w:szCs w:val="18"/>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1"/>
              <w:spacing w:after="0" w:line="194" w:lineRule="exact"/>
              <w:rPr>
                <w:sz w:val="20"/>
                <w:szCs w:val="20"/>
                <w:color w:val="auto"/>
              </w:rPr>
            </w:pPr>
            <w:r>
              <w:rPr>
                <w:rFonts w:ascii="Arial" w:cs="Arial" w:eastAsia="Arial" w:hAnsi="Arial"/>
                <w:sz w:val="18"/>
                <w:szCs w:val="18"/>
                <w:color w:val="auto"/>
                <w:w w:val="99"/>
              </w:rPr>
              <w:t>2026 - 2027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11"/>
              <w:spacing w:after="0" w:line="194" w:lineRule="exact"/>
              <w:rPr>
                <w:sz w:val="20"/>
                <w:szCs w:val="20"/>
                <w:color w:val="auto"/>
              </w:rPr>
            </w:pPr>
            <w:r>
              <w:rPr>
                <w:rFonts w:ascii="Arial" w:cs="Arial" w:eastAsia="Arial" w:hAnsi="Arial"/>
                <w:sz w:val="18"/>
                <w:szCs w:val="18"/>
                <w:color w:val="auto"/>
                <w:w w:val="99"/>
              </w:rPr>
              <w:t>2028 - 2029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51"/>
              <w:spacing w:after="0" w:line="194" w:lineRule="exact"/>
              <w:rPr>
                <w:sz w:val="20"/>
                <w:szCs w:val="20"/>
                <w:color w:val="auto"/>
              </w:rPr>
            </w:pPr>
            <w:r>
              <w:rPr>
                <w:rFonts w:ascii="Arial" w:cs="Arial" w:eastAsia="Arial" w:hAnsi="Arial"/>
                <w:sz w:val="18"/>
                <w:szCs w:val="18"/>
                <w:color w:val="auto"/>
              </w:rPr>
              <w:t>After 2029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0"/>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Debt, excluding interest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r>
      <w:tr>
        <w:trPr>
          <w:trHeight w:val="227"/>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Operating and finance leases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1,009.6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407.4</w:t>
            </w:r>
          </w:p>
        </w:tc>
      </w:tr>
      <w:tr>
        <w:trPr>
          <w:trHeight w:val="227"/>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Capital expenditures, drilling rigs and other ¹</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7"/>
        </w:trPr>
        <w:tc>
          <w:tcPr>
            <w:tcW w:w="4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long-term liabilities, including debt interest ²</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1,963.9</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right="240" w:hanging="147"/>
        <w:spacing w:after="0" w:line="230" w:lineRule="auto"/>
        <w:tabs>
          <w:tab w:leader="none" w:pos="108"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Capital expenditures, drilling rigs and other includes $25.3 million, $13.7 million, $7.3 million and $1.1 million, in 2025 for approved capital projects in non-operated interests in the Gulf of America, U.S. Onshore, Canada Offshore and Other Offshore, respectively. Capital expenditures, drilling rigs and other includes $4.7 million in 2026 for approved capital projects in non-operated interests in the Gulf of America.</w:t>
      </w:r>
    </w:p>
    <w:p>
      <w:pPr>
        <w:spacing w:after="0" w:line="17" w:lineRule="exact"/>
        <w:rPr>
          <w:sz w:val="20"/>
          <w:szCs w:val="20"/>
          <w:color w:val="auto"/>
        </w:rPr>
      </w:pPr>
    </w:p>
    <w:p>
      <w:pPr>
        <w:ind w:left="160" w:right="580" w:hanging="153"/>
        <w:spacing w:after="0" w:line="278" w:lineRule="auto"/>
        <w:rPr>
          <w:sz w:val="20"/>
          <w:szCs w:val="20"/>
          <w:color w:val="auto"/>
        </w:rPr>
      </w:pPr>
      <w:r>
        <w:rPr>
          <w:rFonts w:ascii="Arial" w:cs="Arial" w:eastAsia="Arial" w:hAnsi="Arial"/>
          <w:sz w:val="16"/>
          <w:szCs w:val="16"/>
          <w:color w:val="auto"/>
        </w:rPr>
        <w:t>Also includes $73.1 million (2025), $138.4 million (2026 - 2027), $114.0 million (2028 - 2029) and $256.5 million (After 2029) for pipeline transportation commitments in Canada.</w:t>
      </w:r>
    </w:p>
    <w:p>
      <w:pPr>
        <w:spacing w:after="0" w:line="1" w:lineRule="exact"/>
        <w:rPr>
          <w:sz w:val="20"/>
          <w:szCs w:val="20"/>
          <w:color w:val="auto"/>
        </w:rPr>
      </w:pPr>
    </w:p>
    <w:p>
      <w:pPr>
        <w:ind w:left="160" w:right="180" w:hanging="153"/>
        <w:spacing w:after="0" w:line="270" w:lineRule="auto"/>
        <w:rPr>
          <w:sz w:val="20"/>
          <w:szCs w:val="20"/>
          <w:color w:val="auto"/>
        </w:rPr>
      </w:pPr>
      <w:r>
        <w:rPr>
          <w:rFonts w:ascii="Arial" w:cs="Arial" w:eastAsia="Arial" w:hAnsi="Arial"/>
          <w:sz w:val="16"/>
          <w:szCs w:val="16"/>
          <w:color w:val="auto"/>
        </w:rPr>
        <w:t>Also includes $3.6 million (2025), $7.1 million (2026 - 2027), $7.1 million (2028 - 2029) and $17.2 million (After 2029) for long-term take or pay commitments relating to natural gas processing in Canada.</w:t>
      </w:r>
    </w:p>
    <w:p>
      <w:pPr>
        <w:ind w:left="160" w:right="80" w:hanging="153"/>
        <w:spacing w:after="0" w:line="278" w:lineRule="auto"/>
        <w:rPr>
          <w:sz w:val="20"/>
          <w:szCs w:val="20"/>
          <w:color w:val="auto"/>
        </w:rPr>
      </w:pPr>
      <w:r>
        <w:rPr>
          <w:rFonts w:ascii="Arial" w:cs="Arial" w:eastAsia="Arial" w:hAnsi="Arial"/>
          <w:sz w:val="16"/>
          <w:szCs w:val="16"/>
          <w:color w:val="auto"/>
        </w:rPr>
        <w:t>Also includes approximately $7.2 million (2025), $25.5 million (2026 - 2027), $25.3 million (2028 - 2029) and $120.0 million (After 2029) for Other Offshore for the purpose of supporting future development activities in Vietnam.</w:t>
      </w:r>
    </w:p>
    <w:p>
      <w:pPr>
        <w:ind w:left="120" w:hanging="107"/>
        <w:spacing w:after="0" w:line="210" w:lineRule="auto"/>
        <w:tabs>
          <w:tab w:leader="none" w:pos="12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Other long-term liabilities, including debt interest, includes future cash outflows for ARO liabilities.</w:t>
      </w:r>
    </w:p>
    <w:p>
      <w:pPr>
        <w:spacing w:after="0" w:line="81" w:lineRule="exact"/>
        <w:rPr>
          <w:sz w:val="20"/>
          <w:szCs w:val="20"/>
          <w:color w:val="auto"/>
        </w:rPr>
      </w:pPr>
    </w:p>
    <w:p>
      <w:pPr>
        <w:jc w:val="both"/>
        <w:ind w:right="380"/>
        <w:spacing w:after="0" w:line="262" w:lineRule="auto"/>
        <w:rPr>
          <w:sz w:val="20"/>
          <w:szCs w:val="20"/>
          <w:color w:val="auto"/>
        </w:rPr>
      </w:pPr>
      <w:r>
        <w:rPr>
          <w:rFonts w:ascii="Arial" w:cs="Arial" w:eastAsia="Arial" w:hAnsi="Arial"/>
          <w:sz w:val="18"/>
          <w:szCs w:val="18"/>
          <w:color w:val="auto"/>
        </w:rPr>
        <w:t>The Company has entered into agreements to lease production facilities for various producing oil fields as well as other arrangements that require future payments as described in the following section. The Company’s share of the contractual obligations under these leases and other arrangements has been included in the table above.</w:t>
      </w:r>
    </w:p>
    <w:p>
      <w:pPr>
        <w:spacing w:after="0" w:line="7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the normal course of its business, the Company is required under certain contracts with various governmental authorities and others to provide letters of credit that may be drawn upon if the Company fails to perform under those contracts. Total outstanding letters of credit were $189.7 million as of December 31, 2024.</w:t>
      </w:r>
    </w:p>
    <w:p>
      <w:pPr>
        <w:spacing w:after="0" w:line="2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 xml:space="preserve">Material off-balance sheet arrangements </w:t>
      </w:r>
      <w:r>
        <w:rPr>
          <w:rFonts w:ascii="Arial" w:cs="Arial" w:eastAsia="Arial" w:hAnsi="Arial"/>
          <w:sz w:val="18"/>
          <w:szCs w:val="18"/>
          <w:color w:val="auto"/>
        </w:rPr>
        <w:t>– Certain U.S. transportation contracts require minimum monthly payments through 2045, while</w:t>
      </w:r>
      <w:r>
        <w:rPr>
          <w:rFonts w:ascii="Arial" w:cs="Arial" w:eastAsia="Arial" w:hAnsi="Arial"/>
          <w:sz w:val="18"/>
          <w:szCs w:val="18"/>
          <w:b w:val="1"/>
          <w:bCs w:val="1"/>
          <w:color w:val="auto"/>
        </w:rPr>
        <w:t xml:space="preserve"> </w:t>
      </w:r>
      <w:r>
        <w:rPr>
          <w:rFonts w:ascii="Arial" w:cs="Arial" w:eastAsia="Arial" w:hAnsi="Arial"/>
          <w:sz w:val="18"/>
          <w:szCs w:val="18"/>
          <w:color w:val="auto"/>
        </w:rPr>
        <w:t>Canada Onshore transportation and processing contracts call for minimum monthly payments through 2051. Future required minimum annual payments under these arrangements are included in the contractual obligation table above.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16"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The oil and natural gas industry is impacted by global commodity pricing. As a result, the prices for the Company’s primary products are often volatile and are affected by the levels of supply and demand for energy. As discussed in the “</w:t>
      </w:r>
      <w:r>
        <w:rPr>
          <w:rFonts w:ascii="Arial" w:cs="Arial" w:eastAsia="Arial" w:hAnsi="Arial"/>
          <w:sz w:val="18"/>
          <w:szCs w:val="18"/>
          <w:u w:val="single" w:color="auto"/>
          <w:color w:val="0000FF"/>
        </w:rPr>
        <w:t>Results of Operations</w:t>
      </w:r>
      <w:r>
        <w:rPr>
          <w:rFonts w:ascii="Arial" w:cs="Arial" w:eastAsia="Arial" w:hAnsi="Arial"/>
          <w:sz w:val="18"/>
          <w:szCs w:val="18"/>
          <w:color w:val="auto"/>
        </w:rPr>
        <w:t xml:space="preserve">” section on revenues, on page </w:t>
      </w:r>
      <w:r>
        <w:rPr>
          <w:rFonts w:ascii="Arial" w:cs="Arial" w:eastAsia="Arial" w:hAnsi="Arial"/>
          <w:sz w:val="18"/>
          <w:szCs w:val="18"/>
          <w:u w:val="single" w:color="auto"/>
          <w:color w:val="0000FF"/>
        </w:rPr>
        <w:t>37</w:t>
      </w:r>
      <w:r>
        <w:rPr>
          <w:rFonts w:ascii="Arial" w:cs="Arial" w:eastAsia="Arial" w:hAnsi="Arial"/>
          <w:sz w:val="18"/>
          <w:szCs w:val="18"/>
          <w:color w:val="auto"/>
        </w:rPr>
        <w:t>, lower average crude oil price during 2024 directly impacted the Company’s product sales revenue.</w:t>
      </w:r>
    </w:p>
    <w:p>
      <w:pPr>
        <w:spacing w:after="0" w:line="70"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color w:val="auto"/>
        </w:rPr>
        <w:t>As of close on February 25, 2025, forward price curves for existing forward contracts for the remainder of 2025 and 2026 are shown in the table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jc w:val="right"/>
              <w:ind w:right="731"/>
              <w:spacing w:after="0"/>
              <w:rPr>
                <w:sz w:val="20"/>
                <w:szCs w:val="20"/>
                <w:color w:val="auto"/>
              </w:rPr>
            </w:pPr>
            <w:r>
              <w:rPr>
                <w:rFonts w:ascii="Arial" w:cs="Arial" w:eastAsia="Arial" w:hAnsi="Arial"/>
                <w:sz w:val="18"/>
                <w:szCs w:val="18"/>
                <w:b w:val="1"/>
                <w:bCs w:val="1"/>
                <w:color w:val="auto"/>
              </w:rPr>
              <w:t>2026</w:t>
            </w:r>
          </w:p>
        </w:tc>
      </w:tr>
      <w:tr>
        <w:trPr>
          <w:trHeight w:val="220"/>
        </w:trPr>
        <w:tc>
          <w:tcPr>
            <w:tcW w:w="7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WTI ($/BBL)</w:t>
            </w:r>
          </w:p>
        </w:tc>
        <w:tc>
          <w:tcPr>
            <w:tcW w:w="1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r>
      <w:tr>
        <w:trPr>
          <w:trHeight w:val="227"/>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NYMEX ($/MMBTU)</w:t>
            </w:r>
          </w:p>
        </w:tc>
        <w:tc>
          <w:tcPr>
            <w:tcW w:w="6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27"/>
        </w:trPr>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AECO (US$ Equivalent/MCF)</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bl>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2024, liquids from continuing operations represented approximately 56% of total hydrocarbons produced on a barrels of oil equivalent basis. In 2025, the Company’s ratio of hydrocarbon production represented by liquids is expected to be 57%. If the prices for crude oil and natural gas are lower in 2025 or beyond, this will have an unfavorable impact on the Company’s operating profits; likewise, if prices are higher, this will have a favorable impact. The Company, from time to time, may choose to use a variety of commodity hedge instruments to reduce commodity price risk, including forward sale fixed financial swaps and long-term fixed-price physical commodity sales.</w:t>
      </w:r>
    </w:p>
    <w:p>
      <w:pPr>
        <w:spacing w:after="0" w:line="7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Company currently expects average daily production in 2025 to be between 181,100 and 189,100 BOEPD (including a noncontrolling interest of 6,600 BOEPD). If significant price declines occur, the Company will review the option of production curtailments to avoid incurring losses on certain produced barrels.</w:t>
      </w:r>
    </w:p>
    <w:p>
      <w:pPr>
        <w:spacing w:after="0" w:line="7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Similar to the overall inflation and higher interest rates in the wider economy, the oil and natural gas industry and the Company are observing higher costs for goods and services used in E&amp;P operations. Murphy continues to manage input costs through its dedicated procurement department focused on managing supply chain and other costs to deliver cash flow from operations.</w:t>
      </w:r>
    </w:p>
    <w:p>
      <w:pPr>
        <w:spacing w:after="0" w:line="70"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We cannot predict what impact economic factors (including, but not limited to, inflation, global conflicts and possible economic recession) may have on future commodity pricing. Lower prices, should they occur, will result in lower profits and operating cash flows.</w:t>
      </w:r>
    </w:p>
    <w:p>
      <w:pPr>
        <w:spacing w:after="0" w:line="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capital expenditure spend for 2025 is expected to be between $1,135 million and $1,285 million, excluding noncontrolling interest. Capital and other expenditures are routinely reviewed and planned capital expenditures may be adjusted to reflect differences between budgeted and forecast cash flow during the year. Capital expenditures may also be affected by asset purchases or sales, which often are not anticipated at the time a budget is prepared. The Company will primarily fund its capital program in 2025 using operating cash flow and available cash. If oil and/or natural gas prices weaken, actual cash flow generated from operations could be reduced such that capital spending reductions are required and/or borrowings under available credit facilities might be required during the year to maintain funding of the Company’s ongoing development projects.</w:t>
      </w:r>
    </w:p>
    <w:p>
      <w:pPr>
        <w:spacing w:after="0" w:line="82" w:lineRule="exact"/>
        <w:rPr>
          <w:sz w:val="20"/>
          <w:szCs w:val="20"/>
          <w:color w:val="auto"/>
        </w:rPr>
      </w:pPr>
    </w:p>
    <w:p>
      <w:pPr>
        <w:ind w:right="2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Company plans to utilize surplus cash (not planned to be used by operations, investing activities, dividends or payment to noncontrolling interests), in accordance with the Company’s capital allocation framework designed to allow for additional shareholder returns and debt reduction. Details of the framework can be found in the “Capital Allocation Framework” section of the Company’s </w:t>
      </w:r>
      <w:hyperlink r:id="rId44">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August 4, 2022 and </w:t>
      </w:r>
      <w:hyperlink r:id="rId45">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August 8, 2024. The Board has authorized a share repurchase program whereby the Company can repurchase up to $1,100 million of the Company’s common stock. As of December 31, 2024, the Company had $650.1 million of its common stock remaining available to repurchase under the program.</w:t>
      </w:r>
    </w:p>
    <w:p>
      <w:pPr>
        <w:spacing w:after="0" w:line="80"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Subsequent to year end, as of February 25, 2025, the Company repurchased 3.4 million shares of its common stock in open-market transactions for $95.1 million, excluding taxes and fees. As of this date, the Company had $555.0 million of its common stock remaining available to repurchase under the program.</w:t>
      </w:r>
    </w:p>
    <w:p>
      <w:pPr>
        <w:spacing w:after="0" w:line="70"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color w:val="auto"/>
        </w:rPr>
        <w:t>In addition, subsequent to the balance sheet date, on January 30, 2025, the Board of Directors declared a quarterly cash dividend on the Common Stock of Murphy Oil Corporation of $0.325 per share, or $1.30 per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share on an annualized basis. The dividend is payable on March 3, 2025, to stockholders of record as of February 18, 2025.</w:t>
      </w:r>
    </w:p>
    <w:p>
      <w:pPr>
        <w:spacing w:after="0" w:line="11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 xml:space="preserve">The Company continues to monitor the impact of commodity prices on its financial position and is currently in compliance with the covenants related to the RCF (see </w:t>
      </w:r>
      <w:r>
        <w:rPr>
          <w:rFonts w:ascii="Arial" w:cs="Arial" w:eastAsia="Arial" w:hAnsi="Arial"/>
          <w:sz w:val="18"/>
          <w:szCs w:val="18"/>
          <w:u w:val="single" w:color="auto"/>
          <w:color w:val="0000FF"/>
        </w:rPr>
        <w:t>Note F</w:t>
      </w:r>
      <w:r>
        <w:rPr>
          <w:rFonts w:ascii="Arial" w:cs="Arial" w:eastAsia="Arial" w:hAnsi="Arial"/>
          <w:sz w:val="18"/>
          <w:szCs w:val="18"/>
          <w:color w:val="auto"/>
        </w:rPr>
        <w:t>).</w:t>
      </w:r>
    </w:p>
    <w:p>
      <w:pPr>
        <w:spacing w:after="0" w:line="55"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As of February 25, 2025, the Company has entered into forward fixed-price delivery contracts to manage risk associated with certain future oil and natural gas sales prices,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Volumes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6"/>
          </w:tcPr>
          <w:p>
            <w:pPr>
              <w:ind w:left="460"/>
              <w:spacing w:after="0"/>
              <w:rPr>
                <w:sz w:val="20"/>
                <w:szCs w:val="20"/>
                <w:color w:val="auto"/>
              </w:rPr>
            </w:pPr>
            <w:r>
              <w:rPr>
                <w:rFonts w:ascii="Arial" w:cs="Arial" w:eastAsia="Arial" w:hAnsi="Arial"/>
                <w:sz w:val="18"/>
                <w:szCs w:val="18"/>
                <w:b w:val="1"/>
                <w:bCs w:val="1"/>
                <w:color w:val="auto"/>
              </w:rPr>
              <w:t>Remaining Period</w:t>
            </w:r>
          </w:p>
        </w:tc>
      </w:tr>
      <w:tr>
        <w:trPr>
          <w:trHeight w:val="220"/>
        </w:trPr>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Area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ind w:left="1040"/>
              <w:spacing w:after="0"/>
              <w:rPr>
                <w:sz w:val="20"/>
                <w:szCs w:val="20"/>
                <w:color w:val="auto"/>
              </w:rPr>
            </w:pPr>
            <w:r>
              <w:rPr>
                <w:rFonts w:ascii="Arial" w:cs="Arial" w:eastAsia="Arial" w:hAnsi="Arial"/>
                <w:sz w:val="18"/>
                <w:szCs w:val="18"/>
                <w:b w:val="1"/>
                <w:bCs w:val="1"/>
                <w:color w:val="auto"/>
              </w:rPr>
              <w:t>Type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(MMCF/d)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Price/MCF</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Start Date</w:t>
            </w:r>
          </w:p>
        </w:tc>
        <w:tc>
          <w:tcPr>
            <w:tcW w:w="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End Date</w:t>
            </w:r>
          </w:p>
        </w:tc>
        <w:tc>
          <w:tcPr>
            <w:tcW w:w="160" w:type="dxa"/>
            <w:vAlign w:val="bottom"/>
          </w:tcPr>
          <w:p>
            <w:pPr>
              <w:spacing w:after="0"/>
              <w:rPr>
                <w:sz w:val="19"/>
                <w:szCs w:val="19"/>
                <w:color w:val="auto"/>
              </w:rPr>
            </w:pPr>
          </w:p>
        </w:tc>
      </w:tr>
      <w:tr>
        <w:trPr>
          <w:trHeight w:val="220"/>
        </w:trPr>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Fixed price forward sales</w:t>
            </w: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71"/>
              <w:spacing w:after="0"/>
              <w:rPr>
                <w:sz w:val="20"/>
                <w:szCs w:val="20"/>
                <w:color w:val="auto"/>
              </w:rPr>
            </w:pPr>
            <w:r>
              <w:rPr>
                <w:rFonts w:ascii="Arial" w:cs="Arial" w:eastAsia="Arial" w:hAnsi="Arial"/>
                <w:sz w:val="18"/>
                <w:szCs w:val="18"/>
                <w:color w:val="auto"/>
                <w:w w:val="96"/>
              </w:rPr>
              <w:t>C$2.75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3"/>
            <w:shd w:val="clear" w:color="auto" w:fill="CCEEFF"/>
          </w:tcPr>
          <w:p>
            <w:pPr>
              <w:ind w:left="640"/>
              <w:spacing w:after="0"/>
              <w:rPr>
                <w:sz w:val="20"/>
                <w:szCs w:val="20"/>
                <w:color w:val="auto"/>
              </w:rPr>
            </w:pPr>
            <w:r>
              <w:rPr>
                <w:rFonts w:ascii="Arial" w:cs="Arial" w:eastAsia="Arial" w:hAnsi="Arial"/>
                <w:sz w:val="18"/>
                <w:szCs w:val="18"/>
                <w:color w:val="auto"/>
                <w:w w:val="99"/>
              </w:rPr>
              <w:t>1/1/2025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97"/>
              </w:rPr>
              <w:t>12/31/2025</w:t>
            </w:r>
          </w:p>
        </w:tc>
        <w:tc>
          <w:tcPr>
            <w:tcW w:w="160" w:type="dxa"/>
            <w:vAlign w:val="bottom"/>
          </w:tcPr>
          <w:p>
            <w:pPr>
              <w:spacing w:after="0"/>
              <w:rPr>
                <w:sz w:val="19"/>
                <w:szCs w:val="19"/>
                <w:color w:val="auto"/>
              </w:rPr>
            </w:pPr>
          </w:p>
        </w:tc>
      </w:tr>
      <w:tr>
        <w:trPr>
          <w:trHeight w:val="233"/>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420" w:type="dxa"/>
            <w:vAlign w:val="bottom"/>
            <w:gridSpan w:val="4"/>
          </w:tcPr>
          <w:p>
            <w:pPr>
              <w:ind w:left="20"/>
              <w:spacing w:after="0"/>
              <w:rPr>
                <w:sz w:val="20"/>
                <w:szCs w:val="20"/>
                <w:color w:val="auto"/>
              </w:rPr>
            </w:pPr>
            <w:r>
              <w:rPr>
                <w:rFonts w:ascii="Arial" w:cs="Arial" w:eastAsia="Arial" w:hAnsi="Arial"/>
                <w:sz w:val="18"/>
                <w:szCs w:val="18"/>
                <w:color w:val="auto"/>
              </w:rPr>
              <w:t>Natural Gas</w:t>
            </w:r>
          </w:p>
        </w:tc>
        <w:tc>
          <w:tcPr>
            <w:tcW w:w="2480" w:type="dxa"/>
            <w:vAlign w:val="bottom"/>
            <w:gridSpan w:val="3"/>
          </w:tcPr>
          <w:p>
            <w:pPr>
              <w:ind w:left="20"/>
              <w:spacing w:after="0"/>
              <w:rPr>
                <w:sz w:val="20"/>
                <w:szCs w:val="20"/>
                <w:color w:val="auto"/>
              </w:rPr>
            </w:pPr>
            <w:r>
              <w:rPr>
                <w:rFonts w:ascii="Arial" w:cs="Arial" w:eastAsia="Arial" w:hAnsi="Arial"/>
                <w:sz w:val="18"/>
                <w:szCs w:val="18"/>
                <w:color w:val="auto"/>
              </w:rPr>
              <w:t>Fixed price forward sales</w:t>
            </w:r>
          </w:p>
        </w:tc>
        <w:tc>
          <w:tcPr>
            <w:tcW w:w="1580" w:type="dxa"/>
            <w:vAlign w:val="bottom"/>
            <w:gridSpan w:val="5"/>
          </w:tcPr>
          <w:p>
            <w:pPr>
              <w:jc w:val="center"/>
              <w:ind w:left="291"/>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C$3.03</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w w:val="99"/>
              </w:rPr>
              <w:t>1/1/2026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w w:val="97"/>
              </w:rPr>
              <w:t>12/31/2026</w:t>
            </w:r>
          </w:p>
        </w:tc>
        <w:tc>
          <w:tcPr>
            <w:tcW w:w="160" w:type="dxa"/>
            <w:vAlign w:val="bottom"/>
          </w:tcPr>
          <w:p>
            <w:pPr>
              <w:spacing w:after="0"/>
              <w:rPr>
                <w:sz w:val="20"/>
                <w:szCs w:val="20"/>
                <w:color w:val="auto"/>
              </w:rPr>
            </w:pPr>
          </w:p>
        </w:tc>
      </w:tr>
      <w:tr>
        <w:trPr>
          <w:trHeight w:val="4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Volumes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b w:val="1"/>
                <w:bCs w:val="1"/>
                <w:color w:val="auto"/>
              </w:rPr>
              <w:t>Remaining Period</w:t>
            </w:r>
          </w:p>
        </w:tc>
      </w:tr>
      <w:tr>
        <w:trPr>
          <w:trHeight w:val="247"/>
        </w:trPr>
        <w:tc>
          <w:tcPr>
            <w:tcW w:w="1440" w:type="dxa"/>
            <w:vAlign w:val="bottom"/>
            <w:gridSpan w:val="2"/>
          </w:tcPr>
          <w:p>
            <w:pPr>
              <w:ind w:left="540"/>
              <w:spacing w:after="0"/>
              <w:rPr>
                <w:sz w:val="20"/>
                <w:szCs w:val="20"/>
                <w:color w:val="auto"/>
              </w:rPr>
            </w:pPr>
            <w:r>
              <w:rPr>
                <w:rFonts w:ascii="Arial" w:cs="Arial" w:eastAsia="Arial" w:hAnsi="Arial"/>
                <w:sz w:val="18"/>
                <w:szCs w:val="18"/>
                <w:b w:val="1"/>
                <w:bCs w:val="1"/>
                <w:color w:val="auto"/>
              </w:rPr>
              <w:t>Area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Commodity</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ind w:left="1180"/>
              <w:spacing w:after="0"/>
              <w:rPr>
                <w:sz w:val="20"/>
                <w:szCs w:val="20"/>
                <w:color w:val="auto"/>
              </w:rPr>
            </w:pPr>
            <w:r>
              <w:rPr>
                <w:rFonts w:ascii="Arial" w:cs="Arial" w:eastAsia="Arial" w:hAnsi="Arial"/>
                <w:sz w:val="18"/>
                <w:szCs w:val="18"/>
                <w:b w:val="1"/>
                <w:bCs w:val="1"/>
                <w:color w:val="auto"/>
              </w:rPr>
              <w:t>Type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(MMCF/d)</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Price/MCF</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ind w:left="220"/>
              <w:spacing w:after="0"/>
              <w:rPr>
                <w:sz w:val="20"/>
                <w:szCs w:val="20"/>
                <w:color w:val="auto"/>
              </w:rPr>
            </w:pPr>
            <w:r>
              <w:rPr>
                <w:rFonts w:ascii="Arial" w:cs="Arial" w:eastAsia="Arial" w:hAnsi="Arial"/>
                <w:sz w:val="18"/>
                <w:szCs w:val="18"/>
                <w:b w:val="1"/>
                <w:bCs w:val="1"/>
                <w:color w:val="auto"/>
              </w:rPr>
              <w:t>Start Date</w:t>
            </w:r>
          </w:p>
        </w:tc>
        <w:tc>
          <w:tcPr>
            <w:tcW w:w="8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End Date</w:t>
            </w:r>
          </w:p>
        </w:tc>
      </w:tr>
      <w:tr>
        <w:trPr>
          <w:trHeight w:val="220"/>
        </w:trPr>
        <w:tc>
          <w:tcPr>
            <w:tcW w:w="14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price derivative swap</w:t>
            </w:r>
          </w:p>
        </w:tc>
        <w:tc>
          <w:tcPr>
            <w:tcW w:w="420" w:type="dxa"/>
            <w:vAlign w:val="bottom"/>
            <w:tcBorders>
              <w:top w:val="single" w:sz="8" w:color="auto"/>
            </w:tcBorders>
            <w:gridSpan w:val="3"/>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left="71"/>
              <w:spacing w:after="0"/>
              <w:rPr>
                <w:sz w:val="20"/>
                <w:szCs w:val="20"/>
                <w:color w:val="auto"/>
              </w:rPr>
            </w:pPr>
            <w:r>
              <w:rPr>
                <w:rFonts w:ascii="Arial" w:cs="Arial" w:eastAsia="Arial" w:hAnsi="Arial"/>
                <w:sz w:val="18"/>
                <w:szCs w:val="18"/>
                <w:color w:val="auto"/>
                <w:w w:val="99"/>
              </w:rPr>
              <w:t>40</w:t>
            </w: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7"/>
              </w:rPr>
              <w:t>US$3.58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2/1/2025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6/30/2025</w:t>
            </w:r>
          </w:p>
        </w:tc>
      </w:tr>
      <w:tr>
        <w:trPr>
          <w:trHeight w:val="227"/>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Natural Gas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Fixed price derivative swap</w:t>
            </w:r>
          </w:p>
        </w:tc>
        <w:tc>
          <w:tcPr>
            <w:tcW w:w="1580" w:type="dxa"/>
            <w:vAlign w:val="bottom"/>
            <w:gridSpan w:val="5"/>
          </w:tcPr>
          <w:p>
            <w:pPr>
              <w:jc w:val="center"/>
              <w:ind w:left="611"/>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7"/>
              </w:rPr>
              <w:t>US$3.65</w:t>
            </w:r>
          </w:p>
        </w:tc>
        <w:tc>
          <w:tcPr>
            <w:tcW w:w="1420" w:type="dxa"/>
            <w:vAlign w:val="bottom"/>
            <w:gridSpan w:val="4"/>
          </w:tcPr>
          <w:p>
            <w:pPr>
              <w:jc w:val="right"/>
              <w:ind w:right="20"/>
              <w:spacing w:after="0"/>
              <w:rPr>
                <w:sz w:val="20"/>
                <w:szCs w:val="20"/>
                <w:color w:val="auto"/>
              </w:rPr>
            </w:pPr>
            <w:r>
              <w:rPr>
                <w:rFonts w:ascii="Arial" w:cs="Arial" w:eastAsia="Arial" w:hAnsi="Arial"/>
                <w:sz w:val="18"/>
                <w:szCs w:val="18"/>
                <w:color w:val="auto"/>
              </w:rPr>
              <w:t>7/1/2025</w:t>
            </w:r>
          </w:p>
        </w:tc>
        <w:tc>
          <w:tcPr>
            <w:tcW w:w="4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9/30/2025</w:t>
            </w:r>
          </w:p>
        </w:tc>
      </w:tr>
      <w:tr>
        <w:trPr>
          <w:trHeight w:val="227"/>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price derivative swap</w:t>
            </w:r>
          </w:p>
        </w:tc>
        <w:tc>
          <w:tcPr>
            <w:tcW w:w="1580" w:type="dxa"/>
            <w:vAlign w:val="bottom"/>
            <w:gridSpan w:val="5"/>
            <w:shd w:val="clear" w:color="auto" w:fill="CCEEFF"/>
          </w:tcPr>
          <w:p>
            <w:pPr>
              <w:jc w:val="center"/>
              <w:ind w:left="611"/>
              <w:spacing w:after="0"/>
              <w:rPr>
                <w:sz w:val="20"/>
                <w:szCs w:val="20"/>
                <w:color w:val="auto"/>
              </w:rPr>
            </w:pPr>
            <w:r>
              <w:rPr>
                <w:rFonts w:ascii="Arial" w:cs="Arial" w:eastAsia="Arial" w:hAnsi="Arial"/>
                <w:sz w:val="18"/>
                <w:szCs w:val="18"/>
                <w:color w:val="auto"/>
                <w:w w:val="99"/>
              </w:rPr>
              <w:t>60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US$3.74</w:t>
            </w: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10/1/2025</w:t>
            </w:r>
          </w:p>
        </w:tc>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12/31/2025</w:t>
            </w:r>
          </w:p>
        </w:tc>
      </w:tr>
      <w:tr>
        <w:trPr>
          <w:trHeight w:val="88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13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This Form 10-K contains forward-looking statements within the meaning of the Private Securities Litigation Reform Act of 1995. Forward-looking statements are generally identified through the inclusion of words such as “aim”, “anticipate”, “believe”, “drive”, “estimate”, “expect”, “expressed confidence”,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decisions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ESG (environmental/social/governance) matters, make capital expenditures or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supply/demand levels, actions taken by major oil exporters and the resulting impacts on commodity prices; geopolitical concerns;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 of health pandemics such as COVID-19 and related government responses; other natural hazards impacting our operations or markets; any other deterioration in our business, markets or prospects; any failure to obtain necessary regulatory approvals; any inability to service or refinance our outstanding debt or to access debt markets at acceptable prices; or adverse developments in the U.S. or global capital markets, credit markets, banking system or economies in general, including inflation and trade policies. For further discussion of factors that could cause one or more of these future events or results not to occur as implied by any forward-looking statement, see “</w:t>
      </w:r>
      <w:r>
        <w:rPr>
          <w:rFonts w:ascii="Arial" w:cs="Arial" w:eastAsia="Arial" w:hAnsi="Arial"/>
          <w:sz w:val="18"/>
          <w:szCs w:val="18"/>
          <w:u w:val="single" w:color="auto"/>
          <w:color w:val="0000FF"/>
        </w:rPr>
        <w:t>Item 1A. Risk Factors</w:t>
      </w:r>
      <w:r>
        <w:rPr>
          <w:rFonts w:ascii="Arial" w:cs="Arial" w:eastAsia="Arial" w:hAnsi="Arial"/>
          <w:sz w:val="18"/>
          <w:szCs w:val="18"/>
          <w:color w:val="auto"/>
        </w:rPr>
        <w:t xml:space="preserve">”, which begins on page </w:t>
      </w:r>
      <w:r>
        <w:rPr>
          <w:rFonts w:ascii="Arial" w:cs="Arial" w:eastAsia="Arial" w:hAnsi="Arial"/>
          <w:sz w:val="18"/>
          <w:szCs w:val="18"/>
          <w:u w:val="single" w:color="auto"/>
          <w:color w:val="0000FF"/>
        </w:rPr>
        <w:t>13</w:t>
      </w:r>
      <w:r>
        <w:rPr>
          <w:rFonts w:ascii="Arial" w:cs="Arial" w:eastAsia="Arial" w:hAnsi="Arial"/>
          <w:sz w:val="18"/>
          <w:szCs w:val="18"/>
          <w:color w:val="auto"/>
        </w:rPr>
        <w:t xml:space="preserve"> of this Annual Report on Form 10-K.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Murphy Oil Corporation undertakes no duty to publicly update or revise any forward-looking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 xml:space="preserve">The Company is exposed to market risks associated with prices of crude oil, natural gas and petroleum products, foreign currency exchange rates and interest rates. As described in </w:t>
      </w:r>
      <w:r>
        <w:rPr>
          <w:rFonts w:ascii="Arial" w:cs="Arial" w:eastAsia="Arial" w:hAnsi="Arial"/>
          <w:sz w:val="18"/>
          <w:szCs w:val="18"/>
          <w:u w:val="single" w:color="auto"/>
          <w:color w:val="0000FF"/>
        </w:rPr>
        <w:t>Note K</w:t>
      </w:r>
      <w:r>
        <w:rPr>
          <w:rFonts w:ascii="Arial" w:cs="Arial" w:eastAsia="Arial" w:hAnsi="Arial"/>
          <w:sz w:val="18"/>
          <w:szCs w:val="18"/>
          <w:color w:val="auto"/>
        </w:rPr>
        <w:t>, Murphy periodically makes use of derivative financial and commodity instruments to manage risks associated with existing or anticipated transactions.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Risk</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were commodity transactions in place as of December 31, 2024, covering certain future U.S. natural gas sales volumes in 2025. A 10% increase in the respective benchmark price of these commodities would have increased the net payable associated with these derivative contracts by approximately $2.5 million, while a 10% decrease would have decreased the recorded payable by a similar amount, resulting in a receivable.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Risk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 foreign exchange contracts in place as of December 31, 2024.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11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December 31, 2024, long-term debt was $1,274.5 million. The fixed-rate notes have a weighted average coupon of 6.1%. The Company’s RCF provides for variable interest rate borrowings; however, we did not have any borrowings outstanding as of December 31, 2024 and, therefore, no related exposure to interest rate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required by this item appears on pages </w:t>
      </w:r>
      <w:r>
        <w:rPr>
          <w:rFonts w:ascii="Arial" w:cs="Arial" w:eastAsia="Arial" w:hAnsi="Arial"/>
          <w:sz w:val="18"/>
          <w:szCs w:val="18"/>
          <w:u w:val="single" w:color="auto"/>
          <w:color w:val="0000FF"/>
        </w:rPr>
        <w:t>66</w:t>
      </w:r>
      <w:r>
        <w:rPr>
          <w:rFonts w:ascii="Arial" w:cs="Arial" w:eastAsia="Arial" w:hAnsi="Arial"/>
          <w:sz w:val="18"/>
          <w:szCs w:val="18"/>
          <w:color w:val="auto"/>
        </w:rPr>
        <w:t xml:space="preserve"> through </w:t>
      </w:r>
      <w:r>
        <w:rPr>
          <w:rFonts w:ascii="Arial" w:cs="Arial" w:eastAsia="Arial" w:hAnsi="Arial"/>
          <w:sz w:val="18"/>
          <w:szCs w:val="18"/>
          <w:u w:val="single" w:color="auto"/>
          <w:color w:val="0000FF"/>
        </w:rPr>
        <w:t>123</w:t>
      </w:r>
      <w:r>
        <w:rPr>
          <w:rFonts w:ascii="Arial" w:cs="Arial" w:eastAsia="Arial" w:hAnsi="Arial"/>
          <w:sz w:val="18"/>
          <w:szCs w:val="18"/>
          <w:color w:val="auto"/>
        </w:rPr>
        <w:t xml:space="preserve"> of this Form 10-K report.</w:t>
      </w:r>
    </w:p>
    <w:p>
      <w:pPr>
        <w:spacing w:after="0" w:line="325" w:lineRule="exact"/>
        <w:rPr>
          <w:sz w:val="20"/>
          <w:szCs w:val="20"/>
          <w:color w:val="auto"/>
        </w:rPr>
      </w:pPr>
    </w:p>
    <w:p>
      <w:pPr>
        <w:ind w:right="1280"/>
        <w:spacing w:after="0" w:line="404"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on their evaluation, with the participation of the Company’s management, as of December 31, 2024, the principal executive officer and principal financial officer of Murphy Oil Corporation have concluded that the Company’s disclosure controls and procedures (as defined in Rules 13a-15(e) and 15d-15(e) under the Securities Exchange Act of 1934) were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spacing w:after="0" w:line="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Murphy’s management is responsible for establishing and maintaining adequate internal control over financial reporting, as such term is defined in Exchange Act Rules 13a-15(f). Management has conducted an evaluation of the effectiveness of the Company’s internal control over financial reporting based on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Based on the results of this evaluation, management concluded that the Company’s internal control over financial reporting was effective as of December 31, 2024. KPMG LLP, an independent registered public accounting firm, has made an independent assessment of the effectiveness of the Company’s internal control over financial reporting as of December 31, 2024 and their report is included on page </w:t>
      </w:r>
      <w:r>
        <w:rPr>
          <w:rFonts w:ascii="Arial" w:cs="Arial" w:eastAsia="Arial" w:hAnsi="Arial"/>
          <w:sz w:val="18"/>
          <w:szCs w:val="18"/>
          <w:u w:val="single" w:color="auto"/>
          <w:color w:val="0000FF"/>
        </w:rPr>
        <w:t>65</w:t>
      </w:r>
      <w:r>
        <w:rPr>
          <w:rFonts w:ascii="Arial" w:cs="Arial" w:eastAsia="Arial" w:hAnsi="Arial"/>
          <w:sz w:val="18"/>
          <w:szCs w:val="18"/>
          <w:color w:val="auto"/>
        </w:rPr>
        <w:t xml:space="preserve"> of this Form 10-K report.</w:t>
      </w:r>
    </w:p>
    <w:p>
      <w:pPr>
        <w:spacing w:after="0" w:line="82"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fourth quarter of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267" w:lineRule="exact"/>
        <w:rPr>
          <w:sz w:val="20"/>
          <w:szCs w:val="20"/>
          <w:color w:val="auto"/>
        </w:rPr>
      </w:pPr>
    </w:p>
    <w:p>
      <w:pPr>
        <w:ind w:right="2680"/>
        <w:spacing w:after="0" w:line="404"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680"/>
          </w:cols>
          <w:pgMar w:left="320" w:top="230" w:right="8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Certain information regarding executive officers of the Company is included on page </w:t>
      </w:r>
      <w:r>
        <w:rPr>
          <w:rFonts w:ascii="Arial" w:cs="Arial" w:eastAsia="Arial" w:hAnsi="Arial"/>
          <w:sz w:val="18"/>
          <w:szCs w:val="18"/>
          <w:u w:val="single" w:color="auto"/>
          <w:color w:val="0000FF"/>
        </w:rPr>
        <w:t>28</w:t>
      </w:r>
      <w:r>
        <w:rPr>
          <w:rFonts w:ascii="Arial" w:cs="Arial" w:eastAsia="Arial" w:hAnsi="Arial"/>
          <w:sz w:val="18"/>
          <w:szCs w:val="18"/>
          <w:color w:val="auto"/>
        </w:rPr>
        <w:t xml:space="preserve"> of this Form 10-K report. Other information required by this item is incorporated by reference to the Registrant’s definitive Proxy Statement for the Annual Meeting of Stockholders on May 14, 2025 under the captions “Election of Directors” and “The Board and Committees.”</w:t>
      </w:r>
    </w:p>
    <w:p>
      <w:pPr>
        <w:spacing w:after="0" w:line="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Murphy Oil has adopted a Code of Ethical Conduct for Executive Management, which can be found under the Corporate Governance tab at ir.murphyoilcorp.com. Stockholders may also obtain, free of charge, a copy of the Code of Ethical Conduct for Executive Management by writing to the Corporate Secretary at 9805 Katy Fwy, Suite G-200, Houston, TX 77024. Any future amendments to or waivers of the Code of Ethical Conduct for Executive Management will be posted on the Company’s Website.</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Murphy Oil has also adopted an insider trading policy governing the purchase, sale, and/or other dispositions of our securities by our directors, officers, employees and contractors and consultants who have access to material nonpublic information, as well as the Company itself, that we believe is reasonably designed to promote compliance with insider trading laws, rules and regulations, and the exchange listing standards applicable to us. A copy of our insider trading policy, including any amendments thereto, is filed as </w:t>
      </w:r>
      <w:r>
        <w:rPr>
          <w:rFonts w:ascii="Arial" w:cs="Arial" w:eastAsia="Arial" w:hAnsi="Arial"/>
          <w:sz w:val="18"/>
          <w:szCs w:val="18"/>
          <w:u w:val="single" w:color="auto"/>
          <w:color w:val="0000FF"/>
        </w:rPr>
        <w:t>Exhibit 19.1</w:t>
      </w:r>
      <w:r>
        <w:rPr>
          <w:rFonts w:ascii="Arial" w:cs="Arial" w:eastAsia="Arial" w:hAnsi="Arial"/>
          <w:sz w:val="18"/>
          <w:szCs w:val="18"/>
          <w:color w:val="auto"/>
        </w:rPr>
        <w:t xml:space="preserve"> to this Form 10-K.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Information required by this item is incorporated by reference to Murphy’s definitive Proxy Statement for the Annual Meeting of Stockholders on May 14, 2025 under the captions “Compensation Discussion and Analysis” and “How We Are Compensated” and in various compensation schedules.</w:t>
      </w:r>
    </w:p>
    <w:p>
      <w:pPr>
        <w:spacing w:after="0" w:line="70" w:lineRule="exact"/>
        <w:rPr>
          <w:sz w:val="20"/>
          <w:szCs w:val="20"/>
          <w:color w:val="auto"/>
        </w:rPr>
      </w:pPr>
    </w:p>
    <w:p>
      <w:pPr>
        <w:ind w:right="28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required by U.S. federal securities laws, the Company implemented its incentive-based compensation recoupment (clawback) policy providing for the recovery of erroneously awarded incentive-based compensation received by current or former executive officers. We have filed our written recoupment policy as </w:t>
      </w:r>
      <w:hyperlink r:id="rId73">
        <w:r>
          <w:rPr>
            <w:rFonts w:ascii="Arial" w:cs="Arial" w:eastAsia="Arial" w:hAnsi="Arial"/>
            <w:sz w:val="18"/>
            <w:szCs w:val="18"/>
            <w:u w:val="single" w:color="auto"/>
            <w:color w:val="0000FF"/>
          </w:rPr>
          <w:t>Exhibit 97.1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Form 10-K report and as of December 31, 2024, there have been no accounting restatements requiring compensation recoupment.</w:t>
      </w:r>
    </w:p>
    <w:p>
      <w:pPr>
        <w:spacing w:after="0" w:line="287"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3"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Information required by this item is incorporated by reference to Murphy’s definitive Proxy Statement for the Annual Meeting of Stockholders on May 14, 2025 under the caption “Our Stockholders” and in the “Equity Compensation Plan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6"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Information required by this item is incorporated by reference to Murphy’s definitive Proxy Statement for the Annual Meeting of Stockholders on May 14, 2025 under the caption “Election of Directors”.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KPMG LLP, Houston, TX, Auditor Firm ID: 185.</w:t>
      </w:r>
    </w:p>
    <w:p>
      <w:pPr>
        <w:spacing w:after="0" w:line="114"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Information required by this item is incorporated by reference to Murphy’s definitive Proxy Statement for the Annual Meeting of Stockholders on May 14, 2025 under the caption “Audit Committee Report”.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27" w:lineRule="exact"/>
        <w:rPr>
          <w:sz w:val="20"/>
          <w:szCs w:val="20"/>
          <w:color w:val="auto"/>
        </w:rPr>
      </w:pPr>
    </w:p>
    <w:p>
      <w:pPr>
        <w:ind w:left="320" w:right="100" w:hanging="313"/>
        <w:spacing w:after="0" w:line="280" w:lineRule="auto"/>
        <w:tabs>
          <w:tab w:leader="none" w:pos="41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Financial Statements </w:t>
      </w:r>
      <w:r>
        <w:rPr>
          <w:rFonts w:ascii="Arial" w:cs="Arial" w:eastAsia="Arial" w:hAnsi="Arial"/>
          <w:sz w:val="18"/>
          <w:szCs w:val="18"/>
          <w:color w:val="auto"/>
        </w:rPr>
        <w:t>– The consolidated financial statements of Murphy Oil Corporation and consolidated subsidiaries are located</w:t>
      </w:r>
      <w:r>
        <w:rPr>
          <w:rFonts w:ascii="Arial" w:cs="Arial" w:eastAsia="Arial" w:hAnsi="Arial"/>
          <w:sz w:val="18"/>
          <w:szCs w:val="18"/>
          <w:b w:val="1"/>
          <w:bCs w:val="1"/>
          <w:color w:val="auto"/>
        </w:rPr>
        <w:t xml:space="preserve"> </w:t>
      </w:r>
      <w:r>
        <w:rPr>
          <w:rFonts w:ascii="Arial" w:cs="Arial" w:eastAsia="Arial" w:hAnsi="Arial"/>
          <w:sz w:val="18"/>
          <w:szCs w:val="18"/>
          <w:color w:val="auto"/>
        </w:rPr>
        <w:t>or begin on the pages of this Form 10-K report as indicated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Page No.</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0000FF"/>
            </w:tcBorders>
            <w:gridSpan w:val="29"/>
            <w:shd w:val="clear" w:color="auto" w:fill="CCEEFF"/>
          </w:tcPr>
          <w:p>
            <w:pPr>
              <w:spacing w:after="0" w:line="201" w:lineRule="exact"/>
              <w:rPr>
                <w:sz w:val="20"/>
                <w:szCs w:val="20"/>
                <w:color w:val="auto"/>
              </w:rPr>
            </w:pPr>
            <w:r>
              <w:rPr>
                <w:rFonts w:ascii="Arial" w:cs="Arial" w:eastAsia="Arial" w:hAnsi="Arial"/>
                <w:sz w:val="18"/>
                <w:szCs w:val="18"/>
                <w:color w:val="0000FF"/>
                <w:w w:val="98"/>
              </w:rPr>
              <w:t>Report of Management – Consolidated Financial Statements</w:t>
            </w:r>
          </w:p>
        </w:tc>
        <w:tc>
          <w:tcPr>
            <w:tcW w:w="5160" w:type="dxa"/>
            <w:vAlign w:val="bottom"/>
            <w:tcBorders>
              <w:bottom w:val="single" w:sz="8" w:color="CCEEFF"/>
            </w:tcBorders>
            <w:gridSpan w:val="5"/>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242424"/>
              </w:rPr>
              <w:t>62</w:t>
            </w: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9940" w:type="dxa"/>
            <w:vAlign w:val="bottom"/>
            <w:gridSpan w:val="34"/>
          </w:tcPr>
          <w:p>
            <w:pPr>
              <w:spacing w:after="0" w:line="201" w:lineRule="exact"/>
              <w:rPr>
                <w:sz w:val="20"/>
                <w:szCs w:val="20"/>
                <w:color w:val="auto"/>
              </w:rPr>
            </w:pPr>
            <w:r>
              <w:rPr>
                <w:rFonts w:ascii="Arial" w:cs="Arial" w:eastAsia="Arial" w:hAnsi="Arial"/>
                <w:sz w:val="18"/>
                <w:szCs w:val="18"/>
                <w:color w:val="0000FF"/>
              </w:rPr>
              <w:t>Report of Management – Internal Control Over Financial Reporting</w:t>
            </w:r>
          </w:p>
        </w:tc>
        <w:tc>
          <w:tcPr>
            <w:tcW w:w="7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242424"/>
              </w:rPr>
              <w:t>62</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 w:type="dxa"/>
            <w:vAlign w:val="bottom"/>
            <w:shd w:val="clear" w:color="auto" w:fill="CCEEFF"/>
          </w:tcPr>
          <w:p>
            <w:pPr>
              <w:spacing w:after="0"/>
              <w:rPr>
                <w:sz w:val="17"/>
                <w:szCs w:val="17"/>
                <w:color w:val="auto"/>
              </w:rPr>
            </w:pPr>
          </w:p>
        </w:tc>
        <w:tc>
          <w:tcPr>
            <w:tcW w:w="9940" w:type="dxa"/>
            <w:vAlign w:val="bottom"/>
            <w:gridSpan w:val="34"/>
            <w:shd w:val="clear" w:color="auto" w:fill="CCEEFF"/>
          </w:tcPr>
          <w:p>
            <w:pPr>
              <w:spacing w:after="0" w:line="201" w:lineRule="exact"/>
              <w:rPr>
                <w:sz w:val="20"/>
                <w:szCs w:val="20"/>
                <w:color w:val="auto"/>
              </w:rPr>
            </w:pPr>
            <w:r>
              <w:rPr>
                <w:rFonts w:ascii="Arial" w:cs="Arial" w:eastAsia="Arial" w:hAnsi="Arial"/>
                <w:sz w:val="18"/>
                <w:szCs w:val="18"/>
                <w:color w:val="0000FF"/>
              </w:rPr>
              <w:t>Report of Independent Registered Public Accounting Firm on Consolidated Financial Statements</w:t>
            </w: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242424"/>
              </w:rPr>
              <w:t>63</w:t>
            </w:r>
          </w:p>
        </w:tc>
        <w:tc>
          <w:tcPr>
            <w:tcW w:w="0" w:type="dxa"/>
            <w:vAlign w:val="bottom"/>
          </w:tcPr>
          <w:p>
            <w:pPr>
              <w:spacing w:after="0"/>
              <w:rPr>
                <w:sz w:val="1"/>
                <w:szCs w:val="1"/>
                <w:color w:val="auto"/>
              </w:rPr>
            </w:pPr>
          </w:p>
        </w:tc>
      </w:tr>
      <w:tr>
        <w:trPr>
          <w:trHeight w:val="130"/>
        </w:trPr>
        <w:tc>
          <w:tcPr>
            <w:tcW w:w="540" w:type="dxa"/>
            <w:vAlign w:val="bottom"/>
            <w:tcBorders>
              <w:top w:val="single" w:sz="8" w:color="CCEEFF"/>
            </w:tcBorders>
            <w:shd w:val="clear" w:color="auto" w:fill="CCEEFF"/>
          </w:tcPr>
          <w:p>
            <w:pPr>
              <w:spacing w:after="0"/>
              <w:rPr>
                <w:sz w:val="11"/>
                <w:szCs w:val="11"/>
                <w:color w:val="auto"/>
              </w:rPr>
            </w:pPr>
          </w:p>
        </w:tc>
        <w:tc>
          <w:tcPr>
            <w:tcW w:w="7600" w:type="dxa"/>
            <w:vAlign w:val="bottom"/>
            <w:tcBorders>
              <w:top w:val="single" w:sz="8" w:color="0000FF"/>
            </w:tcBorders>
            <w:gridSpan w:val="32"/>
            <w:vMerge w:val="restart"/>
            <w:shd w:val="clear" w:color="auto" w:fill="CCEEFF"/>
          </w:tcPr>
          <w:p>
            <w:pPr>
              <w:spacing w:after="0"/>
              <w:rPr>
                <w:sz w:val="20"/>
                <w:szCs w:val="20"/>
                <w:color w:val="auto"/>
              </w:rPr>
            </w:pPr>
            <w:r>
              <w:rPr>
                <w:rFonts w:ascii="Arial" w:cs="Arial" w:eastAsia="Arial" w:hAnsi="Arial"/>
                <w:sz w:val="18"/>
                <w:szCs w:val="18"/>
                <w:color w:val="0E32E1"/>
              </w:rPr>
              <w:t>(KPMG LLP , Houston, TX, Auditor Firm ID: 185)</w:t>
            </w:r>
          </w:p>
        </w:tc>
        <w:tc>
          <w:tcPr>
            <w:tcW w:w="2340" w:type="dxa"/>
            <w:vAlign w:val="bottom"/>
            <w:tcBorders>
              <w:top w:val="single" w:sz="8" w:color="CCEEFF"/>
            </w:tcBorders>
            <w:gridSpan w:val="2"/>
            <w:vMerge w:val="restart"/>
            <w:shd w:val="clear" w:color="auto" w:fill="CCEEFF"/>
          </w:tcPr>
          <w:p>
            <w:pPr>
              <w:spacing w:after="0"/>
              <w:rPr>
                <w:sz w:val="11"/>
                <w:szCs w:val="11"/>
                <w:color w:val="auto"/>
              </w:rPr>
            </w:pPr>
          </w:p>
        </w:tc>
        <w:tc>
          <w:tcPr>
            <w:tcW w:w="760" w:type="dxa"/>
            <w:vAlign w:val="bottom"/>
            <w:tcBorders>
              <w:top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40" w:type="dxa"/>
            <w:vAlign w:val="bottom"/>
            <w:tcBorders>
              <w:bottom w:val="single" w:sz="8" w:color="CCEEFF"/>
            </w:tcBorders>
            <w:shd w:val="clear" w:color="auto" w:fill="CCEEFF"/>
          </w:tcPr>
          <w:p>
            <w:pPr>
              <w:spacing w:after="0"/>
              <w:rPr>
                <w:sz w:val="9"/>
                <w:szCs w:val="9"/>
                <w:color w:val="auto"/>
              </w:rPr>
            </w:pPr>
          </w:p>
        </w:tc>
        <w:tc>
          <w:tcPr>
            <w:tcW w:w="7600" w:type="dxa"/>
            <w:vAlign w:val="bottom"/>
            <w:tcBorders>
              <w:bottom w:val="single" w:sz="8" w:color="CCEEFF"/>
            </w:tcBorders>
            <w:gridSpan w:val="32"/>
            <w:vMerge w:val="continue"/>
            <w:shd w:val="clear" w:color="auto" w:fill="CCEEFF"/>
          </w:tcPr>
          <w:p>
            <w:pPr>
              <w:spacing w:after="0"/>
              <w:rPr>
                <w:sz w:val="9"/>
                <w:szCs w:val="9"/>
                <w:color w:val="auto"/>
              </w:rPr>
            </w:pPr>
          </w:p>
        </w:tc>
        <w:tc>
          <w:tcPr>
            <w:tcW w:w="2340" w:type="dxa"/>
            <w:vAlign w:val="bottom"/>
            <w:tcBorders>
              <w:bottom w:val="single" w:sz="8" w:color="CCEEFF"/>
            </w:tcBorders>
            <w:gridSpan w:val="2"/>
            <w:vMerge w:val="continue"/>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9940" w:type="dxa"/>
            <w:vAlign w:val="bottom"/>
            <w:gridSpan w:val="34"/>
          </w:tcPr>
          <w:p>
            <w:pPr>
              <w:spacing w:after="0" w:line="201" w:lineRule="exact"/>
              <w:rPr>
                <w:sz w:val="20"/>
                <w:szCs w:val="20"/>
                <w:color w:val="auto"/>
              </w:rPr>
            </w:pPr>
            <w:r>
              <w:rPr>
                <w:rFonts w:ascii="Arial" w:cs="Arial" w:eastAsia="Arial" w:hAnsi="Arial"/>
                <w:sz w:val="18"/>
                <w:szCs w:val="18"/>
                <w:color w:val="0000FF"/>
              </w:rPr>
              <w:t xml:space="preserve">Report of Independent Registered Public Accounting Firm on Internal Control over Financial Reporting </w:t>
            </w:r>
            <w:r>
              <w:rPr>
                <w:rFonts w:ascii="Arial" w:cs="Arial" w:eastAsia="Arial" w:hAnsi="Arial"/>
                <w:sz w:val="18"/>
                <w:szCs w:val="18"/>
                <w:color w:val="0E32E1"/>
              </w:rPr>
              <w:t>(KPMG LLP,</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242424"/>
              </w:rPr>
              <w:t>65</w:t>
            </w: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8060" w:type="dxa"/>
            <w:vAlign w:val="bottom"/>
            <w:tcBorders>
              <w:top w:val="single" w:sz="8" w:color="0000FF"/>
            </w:tcBorders>
            <w:gridSpan w:val="33"/>
            <w:vMerge w:val="restart"/>
          </w:tcPr>
          <w:p>
            <w:pPr>
              <w:spacing w:after="0"/>
              <w:rPr>
                <w:sz w:val="20"/>
                <w:szCs w:val="20"/>
                <w:color w:val="auto"/>
              </w:rPr>
            </w:pPr>
            <w:r>
              <w:rPr>
                <w:rFonts w:ascii="Arial" w:cs="Arial" w:eastAsia="Arial" w:hAnsi="Arial"/>
                <w:sz w:val="18"/>
                <w:szCs w:val="18"/>
                <w:color w:val="0E32E1"/>
              </w:rPr>
              <w:t>Houston, TX, Auditor Firm ID: 185)</w:t>
            </w:r>
          </w:p>
        </w:tc>
        <w:tc>
          <w:tcPr>
            <w:tcW w:w="1880" w:type="dxa"/>
            <w:vAlign w:val="bottom"/>
            <w:vMerge w:val="restart"/>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8060" w:type="dxa"/>
            <w:vAlign w:val="bottom"/>
            <w:gridSpan w:val="33"/>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540" w:type="dxa"/>
            <w:vAlign w:val="bottom"/>
            <w:shd w:val="clear" w:color="auto" w:fill="CCEEFF"/>
          </w:tcPr>
          <w:p>
            <w:pPr>
              <w:spacing w:after="0"/>
              <w:rPr>
                <w:sz w:val="17"/>
                <w:szCs w:val="17"/>
                <w:color w:val="auto"/>
              </w:rPr>
            </w:pPr>
          </w:p>
        </w:tc>
        <w:tc>
          <w:tcPr>
            <w:tcW w:w="9940" w:type="dxa"/>
            <w:vAlign w:val="bottom"/>
            <w:gridSpan w:val="34"/>
            <w:shd w:val="clear" w:color="auto" w:fill="CCEEFF"/>
          </w:tcPr>
          <w:p>
            <w:pPr>
              <w:spacing w:after="0" w:line="201" w:lineRule="exact"/>
              <w:rPr>
                <w:sz w:val="20"/>
                <w:szCs w:val="20"/>
                <w:color w:val="auto"/>
              </w:rPr>
            </w:pPr>
            <w:r>
              <w:rPr>
                <w:rFonts w:ascii="Arial" w:cs="Arial" w:eastAsia="Arial" w:hAnsi="Arial"/>
                <w:sz w:val="18"/>
                <w:szCs w:val="18"/>
                <w:color w:val="0000FF"/>
              </w:rPr>
              <w:t>Consolidated Balance Sheets</w:t>
            </w:r>
          </w:p>
        </w:tc>
        <w:tc>
          <w:tcPr>
            <w:tcW w:w="7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242424"/>
              </w:rPr>
              <w:t>66</w:t>
            </w:r>
          </w:p>
        </w:tc>
        <w:tc>
          <w:tcPr>
            <w:tcW w:w="0" w:type="dxa"/>
            <w:vAlign w:val="bottom"/>
          </w:tcPr>
          <w:p>
            <w:pPr>
              <w:spacing w:after="0"/>
              <w:rPr>
                <w:sz w:val="1"/>
                <w:szCs w:val="1"/>
                <w:color w:val="auto"/>
              </w:rPr>
            </w:pPr>
          </w:p>
        </w:tc>
      </w:tr>
      <w:tr>
        <w:trPr>
          <w:trHeight w:val="47"/>
        </w:trPr>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9940" w:type="dxa"/>
            <w:vAlign w:val="bottom"/>
            <w:gridSpan w:val="34"/>
          </w:tcPr>
          <w:p>
            <w:pPr>
              <w:spacing w:after="0" w:line="201" w:lineRule="exact"/>
              <w:rPr>
                <w:sz w:val="20"/>
                <w:szCs w:val="20"/>
                <w:color w:val="auto"/>
              </w:rPr>
            </w:pPr>
            <w:r>
              <w:rPr>
                <w:rFonts w:ascii="Arial" w:cs="Arial" w:eastAsia="Arial" w:hAnsi="Arial"/>
                <w:sz w:val="18"/>
                <w:szCs w:val="18"/>
                <w:color w:val="0000FF"/>
              </w:rPr>
              <w:t>Consolidated Statements of Operations</w:t>
            </w:r>
          </w:p>
        </w:tc>
        <w:tc>
          <w:tcPr>
            <w:tcW w:w="7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242424"/>
              </w:rPr>
              <w:t>67</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540" w:type="dxa"/>
            <w:vAlign w:val="bottom"/>
            <w:shd w:val="clear" w:color="auto" w:fill="CCEEFF"/>
          </w:tcPr>
          <w:p>
            <w:pPr>
              <w:spacing w:after="0"/>
              <w:rPr>
                <w:sz w:val="21"/>
                <w:szCs w:val="21"/>
                <w:color w:val="auto"/>
              </w:rPr>
            </w:pPr>
          </w:p>
        </w:tc>
        <w:tc>
          <w:tcPr>
            <w:tcW w:w="9940" w:type="dxa"/>
            <w:vAlign w:val="bottom"/>
            <w:gridSpan w:val="34"/>
            <w:shd w:val="clear" w:color="auto" w:fill="CCEEFF"/>
          </w:tcPr>
          <w:p>
            <w:pPr>
              <w:spacing w:after="0" w:line="201" w:lineRule="exact"/>
              <w:rPr>
                <w:sz w:val="20"/>
                <w:szCs w:val="20"/>
                <w:color w:val="auto"/>
              </w:rPr>
            </w:pPr>
            <w:r>
              <w:rPr>
                <w:rFonts w:ascii="Arial" w:cs="Arial" w:eastAsia="Arial" w:hAnsi="Arial"/>
                <w:sz w:val="18"/>
                <w:szCs w:val="18"/>
                <w:color w:val="0000FF"/>
              </w:rPr>
              <w:t>Consolidated Statements of Comprehensive Income (Loss)</w:t>
            </w:r>
          </w:p>
        </w:tc>
        <w:tc>
          <w:tcPr>
            <w:tcW w:w="7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242424"/>
              </w:rPr>
              <w:t>68</w:t>
            </w:r>
          </w:p>
        </w:tc>
        <w:tc>
          <w:tcPr>
            <w:tcW w:w="0" w:type="dxa"/>
            <w:vAlign w:val="bottom"/>
          </w:tcPr>
          <w:p>
            <w:pPr>
              <w:spacing w:after="0"/>
              <w:rPr>
                <w:sz w:val="1"/>
                <w:szCs w:val="1"/>
                <w:color w:val="auto"/>
              </w:rPr>
            </w:pPr>
          </w:p>
        </w:tc>
      </w:tr>
      <w:tr>
        <w:trPr>
          <w:trHeight w:val="200"/>
        </w:trPr>
        <w:tc>
          <w:tcPr>
            <w:tcW w:w="540" w:type="dxa"/>
            <w:vAlign w:val="bottom"/>
            <w:tcBorders>
              <w:top w:val="single" w:sz="8" w:color="CCEEFF"/>
            </w:tcBorders>
          </w:tcPr>
          <w:p>
            <w:pPr>
              <w:spacing w:after="0"/>
              <w:rPr>
                <w:sz w:val="17"/>
                <w:szCs w:val="17"/>
                <w:color w:val="auto"/>
              </w:rPr>
            </w:pPr>
          </w:p>
        </w:tc>
        <w:tc>
          <w:tcPr>
            <w:tcW w:w="4660" w:type="dxa"/>
            <w:vAlign w:val="bottom"/>
            <w:tcBorders>
              <w:top w:val="single" w:sz="8" w:color="0000FF"/>
            </w:tcBorders>
            <w:gridSpan w:val="26"/>
          </w:tcPr>
          <w:p>
            <w:pPr>
              <w:spacing w:after="0" w:line="201" w:lineRule="exact"/>
              <w:rPr>
                <w:sz w:val="20"/>
                <w:szCs w:val="20"/>
                <w:color w:val="auto"/>
              </w:rPr>
            </w:pPr>
            <w:r>
              <w:rPr>
                <w:rFonts w:ascii="Arial" w:cs="Arial" w:eastAsia="Arial" w:hAnsi="Arial"/>
                <w:sz w:val="18"/>
                <w:szCs w:val="18"/>
                <w:color w:val="0000FF"/>
              </w:rPr>
              <w:t>Consolidated Statements of Cash Flows</w:t>
            </w:r>
          </w:p>
        </w:tc>
        <w:tc>
          <w:tcPr>
            <w:tcW w:w="5280" w:type="dxa"/>
            <w:vAlign w:val="bottom"/>
            <w:tcBorders>
              <w:top w:val="single" w:sz="8" w:color="CCEEFF"/>
            </w:tcBorders>
            <w:gridSpan w:val="8"/>
          </w:tcPr>
          <w:p>
            <w:pPr>
              <w:spacing w:after="0"/>
              <w:rPr>
                <w:sz w:val="17"/>
                <w:szCs w:val="17"/>
                <w:color w:val="auto"/>
              </w:rPr>
            </w:pPr>
          </w:p>
        </w:tc>
        <w:tc>
          <w:tcPr>
            <w:tcW w:w="760" w:type="dxa"/>
            <w:vAlign w:val="bottom"/>
            <w:tcBorders>
              <w:top w:val="single" w:sz="8" w:color="CCEEFF"/>
            </w:tcBorders>
            <w:gridSpan w:val="2"/>
          </w:tcPr>
          <w:p>
            <w:pPr>
              <w:jc w:val="right"/>
              <w:ind w:right="20"/>
              <w:spacing w:after="0" w:line="201" w:lineRule="exact"/>
              <w:rPr>
                <w:sz w:val="20"/>
                <w:szCs w:val="20"/>
                <w:color w:val="auto"/>
              </w:rPr>
            </w:pPr>
            <w:r>
              <w:rPr>
                <w:rFonts w:ascii="Arial" w:cs="Arial" w:eastAsia="Arial" w:hAnsi="Arial"/>
                <w:sz w:val="18"/>
                <w:szCs w:val="18"/>
                <w:color w:val="242424"/>
              </w:rPr>
              <w:t>69</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5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0000FF"/>
            </w:tcBorders>
            <w:gridSpan w:val="17"/>
            <w:shd w:val="clear" w:color="auto" w:fill="CCEEFF"/>
          </w:tcPr>
          <w:p>
            <w:pPr>
              <w:spacing w:after="0" w:line="201" w:lineRule="exact"/>
              <w:rPr>
                <w:sz w:val="20"/>
                <w:szCs w:val="20"/>
                <w:color w:val="auto"/>
              </w:rPr>
            </w:pPr>
            <w:r>
              <w:rPr>
                <w:rFonts w:ascii="Arial" w:cs="Arial" w:eastAsia="Arial" w:hAnsi="Arial"/>
                <w:sz w:val="18"/>
                <w:szCs w:val="18"/>
                <w:color w:val="0000FF"/>
                <w:w w:val="98"/>
              </w:rPr>
              <w:t>Consolidated Statements of Stockholders’ Equity</w:t>
            </w:r>
          </w:p>
        </w:tc>
        <w:tc>
          <w:tcPr>
            <w:tcW w:w="6080" w:type="dxa"/>
            <w:vAlign w:val="bottom"/>
            <w:tcBorders>
              <w:bottom w:val="single" w:sz="8" w:color="CCEEFF"/>
            </w:tcBorders>
            <w:gridSpan w:val="17"/>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242424"/>
              </w:rPr>
              <w:t>70</w:t>
            </w: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9940" w:type="dxa"/>
            <w:vAlign w:val="bottom"/>
            <w:gridSpan w:val="34"/>
          </w:tcPr>
          <w:p>
            <w:pPr>
              <w:spacing w:after="0" w:line="201" w:lineRule="exact"/>
              <w:rPr>
                <w:sz w:val="20"/>
                <w:szCs w:val="20"/>
                <w:color w:val="auto"/>
              </w:rPr>
            </w:pPr>
            <w:r>
              <w:rPr>
                <w:rFonts w:ascii="Arial" w:cs="Arial" w:eastAsia="Arial" w:hAnsi="Arial"/>
                <w:sz w:val="18"/>
                <w:szCs w:val="18"/>
                <w:color w:val="0000FF"/>
              </w:rPr>
              <w:t>Notes to Consolidated Financial Statements</w:t>
            </w:r>
          </w:p>
        </w:tc>
        <w:tc>
          <w:tcPr>
            <w:tcW w:w="7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242424"/>
              </w:rPr>
              <w:t>71</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500" w:type="dxa"/>
            <w:vAlign w:val="bottom"/>
            <w:gridSpan w:val="33"/>
            <w:shd w:val="clear" w:color="auto" w:fill="CCEEFF"/>
          </w:tcPr>
          <w:p>
            <w:pPr>
              <w:spacing w:after="0" w:line="187" w:lineRule="exact"/>
              <w:rPr>
                <w:sz w:val="20"/>
                <w:szCs w:val="20"/>
                <w:color w:val="auto"/>
              </w:rPr>
            </w:pPr>
            <w:r>
              <w:rPr>
                <w:rFonts w:ascii="Arial" w:cs="Arial" w:eastAsia="Arial" w:hAnsi="Arial"/>
                <w:sz w:val="18"/>
                <w:szCs w:val="18"/>
                <w:color w:val="0000FF"/>
              </w:rPr>
              <w:t>Note A – Significant Accounting Policies</w:t>
            </w:r>
          </w:p>
        </w:tc>
        <w:tc>
          <w:tcPr>
            <w:tcW w:w="7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71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00" w:type="dxa"/>
            <w:vAlign w:val="bottom"/>
            <w:gridSpan w:val="33"/>
          </w:tcPr>
          <w:p>
            <w:pPr>
              <w:spacing w:after="0" w:line="187" w:lineRule="exact"/>
              <w:rPr>
                <w:sz w:val="20"/>
                <w:szCs w:val="20"/>
                <w:color w:val="auto"/>
              </w:rPr>
            </w:pPr>
            <w:r>
              <w:rPr>
                <w:rFonts w:ascii="Arial" w:cs="Arial" w:eastAsia="Arial" w:hAnsi="Arial"/>
                <w:sz w:val="18"/>
                <w:szCs w:val="18"/>
                <w:color w:val="0000FF"/>
              </w:rPr>
              <w:t>Note B – New Accounting Principles and Recent Accounting Pronouncements</w:t>
            </w:r>
          </w:p>
        </w:tc>
        <w:tc>
          <w:tcPr>
            <w:tcW w:w="76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242424"/>
              </w:rPr>
              <w:t>74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500" w:type="dxa"/>
            <w:vAlign w:val="bottom"/>
            <w:gridSpan w:val="33"/>
            <w:shd w:val="clear" w:color="auto" w:fill="CCEEFF"/>
          </w:tcPr>
          <w:p>
            <w:pPr>
              <w:spacing w:after="0" w:line="187" w:lineRule="exact"/>
              <w:rPr>
                <w:sz w:val="20"/>
                <w:szCs w:val="20"/>
                <w:color w:val="auto"/>
              </w:rPr>
            </w:pPr>
            <w:r>
              <w:rPr>
                <w:rFonts w:ascii="Arial" w:cs="Arial" w:eastAsia="Arial" w:hAnsi="Arial"/>
                <w:sz w:val="18"/>
                <w:szCs w:val="18"/>
                <w:color w:val="0000FF"/>
              </w:rPr>
              <w:t>Note C – Revenue from Contracts with Customers</w:t>
            </w:r>
          </w:p>
        </w:tc>
        <w:tc>
          <w:tcPr>
            <w:tcW w:w="7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75</w:t>
            </w:r>
          </w:p>
        </w:tc>
        <w:tc>
          <w:tcPr>
            <w:tcW w:w="0" w:type="dxa"/>
            <w:vAlign w:val="bottom"/>
          </w:tcPr>
          <w:p>
            <w:pPr>
              <w:spacing w:after="0"/>
              <w:rPr>
                <w:sz w:val="1"/>
                <w:szCs w:val="1"/>
                <w:color w:val="auto"/>
              </w:rPr>
            </w:pPr>
          </w:p>
        </w:tc>
      </w:tr>
      <w:tr>
        <w:trPr>
          <w:trHeight w:val="187"/>
        </w:trPr>
        <w:tc>
          <w:tcPr>
            <w:tcW w:w="5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3960" w:type="dxa"/>
            <w:vAlign w:val="bottom"/>
            <w:tcBorders>
              <w:top w:val="single" w:sz="8" w:color="0000FF"/>
            </w:tcBorders>
            <w:gridSpan w:val="23"/>
          </w:tcPr>
          <w:p>
            <w:pPr>
              <w:spacing w:after="0" w:line="187" w:lineRule="exact"/>
              <w:rPr>
                <w:sz w:val="20"/>
                <w:szCs w:val="20"/>
                <w:color w:val="auto"/>
              </w:rPr>
            </w:pPr>
            <w:r>
              <w:rPr>
                <w:rFonts w:ascii="Arial" w:cs="Arial" w:eastAsia="Arial" w:hAnsi="Arial"/>
                <w:sz w:val="18"/>
                <w:szCs w:val="18"/>
                <w:color w:val="0000FF"/>
              </w:rPr>
              <w:t>Note D – Property, Plant and Equipment</w:t>
            </w:r>
          </w:p>
        </w:tc>
        <w:tc>
          <w:tcPr>
            <w:tcW w:w="5540" w:type="dxa"/>
            <w:vAlign w:val="bottom"/>
            <w:tcBorders>
              <w:top w:val="single" w:sz="8" w:color="CCEEFF"/>
            </w:tcBorders>
            <w:gridSpan w:val="10"/>
          </w:tcPr>
          <w:p>
            <w:pPr>
              <w:spacing w:after="0"/>
              <w:rPr>
                <w:sz w:val="16"/>
                <w:szCs w:val="16"/>
                <w:color w:val="auto"/>
              </w:rPr>
            </w:pPr>
          </w:p>
        </w:tc>
        <w:tc>
          <w:tcPr>
            <w:tcW w:w="760" w:type="dxa"/>
            <w:vAlign w:val="bottom"/>
            <w:tcBorders>
              <w:top w:val="single" w:sz="8" w:color="CCEEFF"/>
            </w:tcBorders>
            <w:gridSpan w:val="2"/>
          </w:tcPr>
          <w:p>
            <w:pPr>
              <w:jc w:val="right"/>
              <w:ind w:right="20"/>
              <w:spacing w:after="0" w:line="187" w:lineRule="exact"/>
              <w:rPr>
                <w:sz w:val="20"/>
                <w:szCs w:val="20"/>
                <w:color w:val="auto"/>
              </w:rPr>
            </w:pPr>
            <w:r>
              <w:rPr>
                <w:rFonts w:ascii="Arial" w:cs="Arial" w:eastAsia="Arial" w:hAnsi="Arial"/>
                <w:sz w:val="18"/>
                <w:szCs w:val="18"/>
                <w:color w:val="242424"/>
              </w:rPr>
              <w:t>77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0000FF"/>
            </w:tcBorders>
            <w:gridSpan w:val="2"/>
            <w:shd w:val="clear" w:color="auto" w:fill="CCEEFF"/>
          </w:tcPr>
          <w:p>
            <w:pPr>
              <w:spacing w:after="0" w:line="187" w:lineRule="exact"/>
              <w:rPr>
                <w:sz w:val="20"/>
                <w:szCs w:val="20"/>
                <w:color w:val="auto"/>
              </w:rPr>
            </w:pPr>
            <w:r>
              <w:rPr>
                <w:rFonts w:ascii="Arial" w:cs="Arial" w:eastAsia="Arial" w:hAnsi="Arial"/>
                <w:sz w:val="18"/>
                <w:szCs w:val="18"/>
                <w:color w:val="0000FF"/>
                <w:w w:val="98"/>
              </w:rPr>
              <w:t>Note E – Inventories</w:t>
            </w:r>
          </w:p>
        </w:tc>
        <w:tc>
          <w:tcPr>
            <w:tcW w:w="7880" w:type="dxa"/>
            <w:vAlign w:val="bottom"/>
            <w:tcBorders>
              <w:bottom w:val="single" w:sz="8" w:color="CCEEFF"/>
            </w:tcBorders>
            <w:gridSpan w:val="31"/>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79</w:t>
            </w: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00" w:type="dxa"/>
            <w:vAlign w:val="bottom"/>
            <w:gridSpan w:val="33"/>
          </w:tcPr>
          <w:p>
            <w:pPr>
              <w:spacing w:after="0" w:line="187" w:lineRule="exact"/>
              <w:rPr>
                <w:sz w:val="20"/>
                <w:szCs w:val="20"/>
                <w:color w:val="auto"/>
              </w:rPr>
            </w:pPr>
            <w:r>
              <w:rPr>
                <w:rFonts w:ascii="Arial" w:cs="Arial" w:eastAsia="Arial" w:hAnsi="Arial"/>
                <w:sz w:val="18"/>
                <w:szCs w:val="18"/>
                <w:color w:val="0000FF"/>
              </w:rPr>
              <w:t>Note F – Financing Arrangements and Debt</w:t>
            </w:r>
          </w:p>
        </w:tc>
        <w:tc>
          <w:tcPr>
            <w:tcW w:w="76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242424"/>
              </w:rPr>
              <w:t>80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0000FF"/>
            </w:tcBorders>
            <w:gridSpan w:val="13"/>
            <w:shd w:val="clear" w:color="auto" w:fill="CCEEFF"/>
          </w:tcPr>
          <w:p>
            <w:pPr>
              <w:spacing w:after="0" w:line="187" w:lineRule="exact"/>
              <w:rPr>
                <w:sz w:val="20"/>
                <w:szCs w:val="20"/>
                <w:color w:val="auto"/>
              </w:rPr>
            </w:pPr>
            <w:r>
              <w:rPr>
                <w:rFonts w:ascii="Arial" w:cs="Arial" w:eastAsia="Arial" w:hAnsi="Arial"/>
                <w:sz w:val="18"/>
                <w:szCs w:val="18"/>
                <w:color w:val="0000FF"/>
                <w:w w:val="98"/>
              </w:rPr>
              <w:t>Note G – Asset Retirement Obligations</w:t>
            </w:r>
          </w:p>
        </w:tc>
        <w:tc>
          <w:tcPr>
            <w:tcW w:w="6420" w:type="dxa"/>
            <w:vAlign w:val="bottom"/>
            <w:tcBorders>
              <w:bottom w:val="single" w:sz="8" w:color="CCEEFF"/>
            </w:tcBorders>
            <w:gridSpan w:val="20"/>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81</w:t>
            </w: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00" w:type="dxa"/>
            <w:vAlign w:val="bottom"/>
            <w:gridSpan w:val="33"/>
          </w:tcPr>
          <w:p>
            <w:pPr>
              <w:spacing w:after="0" w:line="187" w:lineRule="exact"/>
              <w:rPr>
                <w:sz w:val="20"/>
                <w:szCs w:val="20"/>
                <w:color w:val="auto"/>
              </w:rPr>
            </w:pPr>
            <w:r>
              <w:rPr>
                <w:rFonts w:ascii="Arial" w:cs="Arial" w:eastAsia="Arial" w:hAnsi="Arial"/>
                <w:sz w:val="18"/>
                <w:szCs w:val="18"/>
                <w:color w:val="0000FF"/>
              </w:rPr>
              <w:t>Note H – Income Taxes</w:t>
            </w:r>
          </w:p>
        </w:tc>
        <w:tc>
          <w:tcPr>
            <w:tcW w:w="76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242424"/>
              </w:rPr>
              <w:t>82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500" w:type="dxa"/>
            <w:vAlign w:val="bottom"/>
            <w:gridSpan w:val="33"/>
            <w:shd w:val="clear" w:color="auto" w:fill="CCEEFF"/>
          </w:tcPr>
          <w:p>
            <w:pPr>
              <w:spacing w:after="0" w:line="187" w:lineRule="exact"/>
              <w:rPr>
                <w:sz w:val="20"/>
                <w:szCs w:val="20"/>
                <w:color w:val="auto"/>
              </w:rPr>
            </w:pPr>
            <w:r>
              <w:rPr>
                <w:rFonts w:ascii="Arial" w:cs="Arial" w:eastAsia="Arial" w:hAnsi="Arial"/>
                <w:sz w:val="18"/>
                <w:szCs w:val="18"/>
                <w:color w:val="0000FF"/>
              </w:rPr>
              <w:t>Note I – Incentive Plans</w:t>
            </w:r>
          </w:p>
        </w:tc>
        <w:tc>
          <w:tcPr>
            <w:tcW w:w="7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84</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00" w:type="dxa"/>
            <w:vAlign w:val="bottom"/>
            <w:gridSpan w:val="33"/>
          </w:tcPr>
          <w:p>
            <w:pPr>
              <w:spacing w:after="0" w:line="187" w:lineRule="exact"/>
              <w:rPr>
                <w:sz w:val="20"/>
                <w:szCs w:val="20"/>
                <w:color w:val="auto"/>
              </w:rPr>
            </w:pPr>
            <w:r>
              <w:rPr>
                <w:rFonts w:ascii="Arial" w:cs="Arial" w:eastAsia="Arial" w:hAnsi="Arial"/>
                <w:sz w:val="18"/>
                <w:szCs w:val="18"/>
                <w:color w:val="0000FF"/>
              </w:rPr>
              <w:t>Note J – Employee and Retiree Benefit Plans</w:t>
            </w:r>
          </w:p>
        </w:tc>
        <w:tc>
          <w:tcPr>
            <w:tcW w:w="76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242424"/>
              </w:rPr>
              <w:t>87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0000FF"/>
            </w:tcBorders>
            <w:gridSpan w:val="26"/>
            <w:shd w:val="clear" w:color="auto" w:fill="CCEEFF"/>
          </w:tcPr>
          <w:p>
            <w:pPr>
              <w:spacing w:after="0" w:line="187" w:lineRule="exact"/>
              <w:rPr>
                <w:sz w:val="20"/>
                <w:szCs w:val="20"/>
                <w:color w:val="auto"/>
              </w:rPr>
            </w:pPr>
            <w:r>
              <w:rPr>
                <w:rFonts w:ascii="Arial" w:cs="Arial" w:eastAsia="Arial" w:hAnsi="Arial"/>
                <w:sz w:val="18"/>
                <w:szCs w:val="18"/>
                <w:color w:val="0000FF"/>
                <w:w w:val="98"/>
              </w:rPr>
              <w:t>Note K – Financial Instruments and Risk Management</w:t>
            </w:r>
          </w:p>
        </w:tc>
        <w:tc>
          <w:tcPr>
            <w:tcW w:w="5220" w:type="dxa"/>
            <w:vAlign w:val="bottom"/>
            <w:tcBorders>
              <w:bottom w:val="single" w:sz="8" w:color="CCEEFF"/>
            </w:tcBorders>
            <w:gridSpan w:val="7"/>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93</w:t>
            </w: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00" w:type="dxa"/>
            <w:vAlign w:val="bottom"/>
            <w:gridSpan w:val="33"/>
          </w:tcPr>
          <w:p>
            <w:pPr>
              <w:spacing w:after="0" w:line="187" w:lineRule="exact"/>
              <w:rPr>
                <w:sz w:val="20"/>
                <w:szCs w:val="20"/>
                <w:color w:val="auto"/>
              </w:rPr>
            </w:pPr>
            <w:r>
              <w:rPr>
                <w:rFonts w:ascii="Arial" w:cs="Arial" w:eastAsia="Arial" w:hAnsi="Arial"/>
                <w:sz w:val="18"/>
                <w:szCs w:val="18"/>
                <w:color w:val="0000FF"/>
              </w:rPr>
              <w:t>Note L – Net Income (Loss) Per Common Share</w:t>
            </w:r>
          </w:p>
        </w:tc>
        <w:tc>
          <w:tcPr>
            <w:tcW w:w="76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242424"/>
              </w:rPr>
              <w:t>94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500" w:type="dxa"/>
            <w:vAlign w:val="bottom"/>
            <w:gridSpan w:val="33"/>
            <w:shd w:val="clear" w:color="auto" w:fill="CCEEFF"/>
          </w:tcPr>
          <w:p>
            <w:pPr>
              <w:spacing w:after="0" w:line="187" w:lineRule="exact"/>
              <w:rPr>
                <w:sz w:val="20"/>
                <w:szCs w:val="20"/>
                <w:color w:val="auto"/>
              </w:rPr>
            </w:pPr>
            <w:r>
              <w:rPr>
                <w:rFonts w:ascii="Arial" w:cs="Arial" w:eastAsia="Arial" w:hAnsi="Arial"/>
                <w:sz w:val="18"/>
                <w:szCs w:val="18"/>
                <w:color w:val="0000FF"/>
              </w:rPr>
              <w:t>Note M – Other Financial Information</w:t>
            </w:r>
          </w:p>
        </w:tc>
        <w:tc>
          <w:tcPr>
            <w:tcW w:w="7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95</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00" w:type="dxa"/>
            <w:vAlign w:val="bottom"/>
            <w:gridSpan w:val="33"/>
          </w:tcPr>
          <w:p>
            <w:pPr>
              <w:spacing w:after="0" w:line="187" w:lineRule="exact"/>
              <w:rPr>
                <w:sz w:val="20"/>
                <w:szCs w:val="20"/>
                <w:color w:val="auto"/>
              </w:rPr>
            </w:pPr>
            <w:r>
              <w:rPr>
                <w:rFonts w:ascii="Arial" w:cs="Arial" w:eastAsia="Arial" w:hAnsi="Arial"/>
                <w:sz w:val="18"/>
                <w:szCs w:val="18"/>
                <w:color w:val="0000FF"/>
              </w:rPr>
              <w:t>Note N – Accumulated Other Comprehensive Loss</w:t>
            </w:r>
          </w:p>
        </w:tc>
        <w:tc>
          <w:tcPr>
            <w:tcW w:w="76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242424"/>
              </w:rPr>
              <w:t>95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27"/>
            <w:shd w:val="clear" w:color="auto" w:fill="CCEEFF"/>
          </w:tcPr>
          <w:p>
            <w:pPr>
              <w:spacing w:after="0" w:line="187" w:lineRule="exact"/>
              <w:rPr>
                <w:sz w:val="20"/>
                <w:szCs w:val="20"/>
                <w:color w:val="auto"/>
              </w:rPr>
            </w:pPr>
            <w:r>
              <w:rPr>
                <w:rFonts w:ascii="Arial" w:cs="Arial" w:eastAsia="Arial" w:hAnsi="Arial"/>
                <w:sz w:val="18"/>
                <w:szCs w:val="18"/>
                <w:color w:val="0000FF"/>
                <w:w w:val="98"/>
              </w:rPr>
              <w:t>Note O – Assets and Liabilities Measured at Fair Value</w:t>
            </w:r>
          </w:p>
        </w:tc>
        <w:tc>
          <w:tcPr>
            <w:tcW w:w="5180" w:type="dxa"/>
            <w:vAlign w:val="bottom"/>
            <w:tcBorders>
              <w:bottom w:val="single" w:sz="8" w:color="CCEEFF"/>
            </w:tcBorders>
            <w:gridSpan w:val="6"/>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96</w:t>
            </w: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500" w:type="dxa"/>
            <w:vAlign w:val="bottom"/>
            <w:gridSpan w:val="33"/>
          </w:tcPr>
          <w:p>
            <w:pPr>
              <w:spacing w:after="0" w:line="187" w:lineRule="exact"/>
              <w:rPr>
                <w:sz w:val="20"/>
                <w:szCs w:val="20"/>
                <w:color w:val="auto"/>
              </w:rPr>
            </w:pPr>
            <w:r>
              <w:rPr>
                <w:rFonts w:ascii="Arial" w:cs="Arial" w:eastAsia="Arial" w:hAnsi="Arial"/>
                <w:sz w:val="18"/>
                <w:szCs w:val="18"/>
                <w:color w:val="0000FF"/>
              </w:rPr>
              <w:t>Note P – Commitments</w:t>
            </w:r>
          </w:p>
        </w:tc>
        <w:tc>
          <w:tcPr>
            <w:tcW w:w="760" w:type="dxa"/>
            <w:vAlign w:val="bottom"/>
            <w:gridSpan w:val="2"/>
          </w:tcPr>
          <w:p>
            <w:pPr>
              <w:jc w:val="right"/>
              <w:ind w:right="20"/>
              <w:spacing w:after="0" w:line="187" w:lineRule="exact"/>
              <w:rPr>
                <w:sz w:val="20"/>
                <w:szCs w:val="20"/>
                <w:color w:val="auto"/>
              </w:rPr>
            </w:pPr>
            <w:r>
              <w:rPr>
                <w:rFonts w:ascii="Arial" w:cs="Arial" w:eastAsia="Arial" w:hAnsi="Arial"/>
                <w:sz w:val="18"/>
                <w:szCs w:val="18"/>
                <w:color w:val="242424"/>
              </w:rPr>
              <w:t>97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500" w:type="dxa"/>
            <w:vAlign w:val="bottom"/>
            <w:gridSpan w:val="33"/>
            <w:shd w:val="clear" w:color="auto" w:fill="CCEEFF"/>
          </w:tcPr>
          <w:p>
            <w:pPr>
              <w:spacing w:after="0" w:line="187" w:lineRule="exact"/>
              <w:rPr>
                <w:sz w:val="20"/>
                <w:szCs w:val="20"/>
                <w:color w:val="auto"/>
              </w:rPr>
            </w:pPr>
            <w:r>
              <w:rPr>
                <w:rFonts w:ascii="Arial" w:cs="Arial" w:eastAsia="Arial" w:hAnsi="Arial"/>
                <w:sz w:val="18"/>
                <w:szCs w:val="18"/>
                <w:color w:val="0000FF"/>
              </w:rPr>
              <w:t>Note Q – Environmental and Other Contingencies</w:t>
            </w:r>
          </w:p>
        </w:tc>
        <w:tc>
          <w:tcPr>
            <w:tcW w:w="7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98</w:t>
            </w:r>
          </w:p>
        </w:tc>
        <w:tc>
          <w:tcPr>
            <w:tcW w:w="0" w:type="dxa"/>
            <w:vAlign w:val="bottom"/>
          </w:tcPr>
          <w:p>
            <w:pPr>
              <w:spacing w:after="0"/>
              <w:rPr>
                <w:sz w:val="1"/>
                <w:szCs w:val="1"/>
                <w:color w:val="auto"/>
              </w:rPr>
            </w:pPr>
          </w:p>
        </w:tc>
      </w:tr>
      <w:tr>
        <w:trPr>
          <w:trHeight w:val="187"/>
        </w:trPr>
        <w:tc>
          <w:tcPr>
            <w:tcW w:w="5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3920" w:type="dxa"/>
            <w:vAlign w:val="bottom"/>
            <w:tcBorders>
              <w:top w:val="single" w:sz="8" w:color="0000FF"/>
            </w:tcBorders>
            <w:gridSpan w:val="22"/>
          </w:tcPr>
          <w:p>
            <w:pPr>
              <w:spacing w:after="0" w:line="187" w:lineRule="exact"/>
              <w:rPr>
                <w:sz w:val="20"/>
                <w:szCs w:val="20"/>
                <w:color w:val="auto"/>
              </w:rPr>
            </w:pPr>
            <w:r>
              <w:rPr>
                <w:rFonts w:ascii="Arial" w:cs="Arial" w:eastAsia="Arial" w:hAnsi="Arial"/>
                <w:sz w:val="18"/>
                <w:szCs w:val="18"/>
                <w:color w:val="0000FF"/>
                <w:w w:val="98"/>
              </w:rPr>
              <w:t>Note R – Common Stock Issued and Outstanding</w:t>
            </w:r>
          </w:p>
        </w:tc>
        <w:tc>
          <w:tcPr>
            <w:tcW w:w="5580" w:type="dxa"/>
            <w:vAlign w:val="bottom"/>
            <w:tcBorders>
              <w:top w:val="single" w:sz="8" w:color="CCEEFF"/>
            </w:tcBorders>
            <w:gridSpan w:val="11"/>
          </w:tcPr>
          <w:p>
            <w:pPr>
              <w:spacing w:after="0"/>
              <w:rPr>
                <w:sz w:val="16"/>
                <w:szCs w:val="16"/>
                <w:color w:val="auto"/>
              </w:rPr>
            </w:pPr>
          </w:p>
        </w:tc>
        <w:tc>
          <w:tcPr>
            <w:tcW w:w="760" w:type="dxa"/>
            <w:vAlign w:val="bottom"/>
            <w:tcBorders>
              <w:top w:val="single" w:sz="8" w:color="CCEEFF"/>
            </w:tcBorders>
            <w:gridSpan w:val="2"/>
          </w:tcPr>
          <w:p>
            <w:pPr>
              <w:jc w:val="right"/>
              <w:ind w:right="20"/>
              <w:spacing w:after="0" w:line="187" w:lineRule="exact"/>
              <w:rPr>
                <w:sz w:val="20"/>
                <w:szCs w:val="20"/>
                <w:color w:val="auto"/>
              </w:rPr>
            </w:pPr>
            <w:r>
              <w:rPr>
                <w:rFonts w:ascii="Arial" w:cs="Arial" w:eastAsia="Arial" w:hAnsi="Arial"/>
                <w:sz w:val="18"/>
                <w:szCs w:val="18"/>
                <w:color w:val="242424"/>
              </w:rPr>
              <w:t>99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500" w:type="dxa"/>
            <w:vAlign w:val="bottom"/>
            <w:gridSpan w:val="33"/>
            <w:shd w:val="clear" w:color="auto" w:fill="CCEEFF"/>
          </w:tcPr>
          <w:p>
            <w:pPr>
              <w:spacing w:after="0" w:line="187" w:lineRule="exact"/>
              <w:rPr>
                <w:sz w:val="20"/>
                <w:szCs w:val="20"/>
                <w:color w:val="auto"/>
              </w:rPr>
            </w:pPr>
            <w:r>
              <w:rPr>
                <w:rFonts w:ascii="Arial" w:cs="Arial" w:eastAsia="Arial" w:hAnsi="Arial"/>
                <w:sz w:val="18"/>
                <w:szCs w:val="18"/>
                <w:color w:val="0000FF"/>
              </w:rPr>
              <w:t>Note S – Business Segments</w:t>
            </w:r>
          </w:p>
        </w:tc>
        <w:tc>
          <w:tcPr>
            <w:tcW w:w="7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100</w:t>
            </w:r>
          </w:p>
        </w:tc>
        <w:tc>
          <w:tcPr>
            <w:tcW w:w="0" w:type="dxa"/>
            <w:vAlign w:val="bottom"/>
          </w:tcPr>
          <w:p>
            <w:pPr>
              <w:spacing w:after="0"/>
              <w:rPr>
                <w:sz w:val="1"/>
                <w:szCs w:val="1"/>
                <w:color w:val="auto"/>
              </w:rPr>
            </w:pPr>
          </w:p>
        </w:tc>
      </w:tr>
      <w:tr>
        <w:trPr>
          <w:trHeight w:val="187"/>
        </w:trPr>
        <w:tc>
          <w:tcPr>
            <w:tcW w:w="5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8"/>
          </w:tcPr>
          <w:p>
            <w:pPr>
              <w:spacing w:after="0" w:line="187" w:lineRule="exact"/>
              <w:rPr>
                <w:sz w:val="20"/>
                <w:szCs w:val="20"/>
                <w:color w:val="auto"/>
              </w:rPr>
            </w:pPr>
            <w:r>
              <w:rPr>
                <w:rFonts w:ascii="Arial" w:cs="Arial" w:eastAsia="Arial" w:hAnsi="Arial"/>
                <w:sz w:val="18"/>
                <w:szCs w:val="18"/>
                <w:color w:val="0000FF"/>
              </w:rPr>
              <w:t>Note T – Leases</w:t>
            </w:r>
          </w:p>
        </w:tc>
        <w:tc>
          <w:tcPr>
            <w:tcW w:w="7180" w:type="dxa"/>
            <w:vAlign w:val="bottom"/>
            <w:tcBorders>
              <w:top w:val="single" w:sz="8" w:color="CCEEFF"/>
            </w:tcBorders>
            <w:gridSpan w:val="25"/>
          </w:tcPr>
          <w:p>
            <w:pPr>
              <w:spacing w:after="0"/>
              <w:rPr>
                <w:sz w:val="16"/>
                <w:szCs w:val="16"/>
                <w:color w:val="auto"/>
              </w:rPr>
            </w:pPr>
          </w:p>
        </w:tc>
        <w:tc>
          <w:tcPr>
            <w:tcW w:w="760" w:type="dxa"/>
            <w:vAlign w:val="bottom"/>
            <w:tcBorders>
              <w:top w:val="single" w:sz="8" w:color="CCEEFF"/>
            </w:tcBorders>
            <w:gridSpan w:val="2"/>
          </w:tcPr>
          <w:p>
            <w:pPr>
              <w:jc w:val="right"/>
              <w:ind w:right="20"/>
              <w:spacing w:after="0" w:line="187" w:lineRule="exact"/>
              <w:rPr>
                <w:sz w:val="20"/>
                <w:szCs w:val="20"/>
                <w:color w:val="auto"/>
              </w:rPr>
            </w:pPr>
            <w:r>
              <w:rPr>
                <w:rFonts w:ascii="Arial" w:cs="Arial" w:eastAsia="Arial" w:hAnsi="Arial"/>
                <w:sz w:val="18"/>
                <w:szCs w:val="18"/>
                <w:color w:val="242424"/>
              </w:rPr>
              <w:t>104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 w:type="dxa"/>
            <w:vAlign w:val="bottom"/>
            <w:shd w:val="clear" w:color="auto" w:fill="CCEEFF"/>
          </w:tcPr>
          <w:p>
            <w:pPr>
              <w:spacing w:after="0"/>
              <w:rPr>
                <w:sz w:val="16"/>
                <w:szCs w:val="16"/>
                <w:color w:val="auto"/>
              </w:rPr>
            </w:pPr>
          </w:p>
        </w:tc>
        <w:tc>
          <w:tcPr>
            <w:tcW w:w="9940" w:type="dxa"/>
            <w:vAlign w:val="bottom"/>
            <w:gridSpan w:val="34"/>
            <w:shd w:val="clear" w:color="auto" w:fill="CCEEFF"/>
          </w:tcPr>
          <w:p>
            <w:pPr>
              <w:ind w:left="440"/>
              <w:spacing w:after="0" w:line="187" w:lineRule="exact"/>
              <w:rPr>
                <w:sz w:val="20"/>
                <w:szCs w:val="20"/>
                <w:color w:val="auto"/>
              </w:rPr>
            </w:pPr>
            <w:r>
              <w:rPr>
                <w:rFonts w:ascii="Arial" w:cs="Arial" w:eastAsia="Arial" w:hAnsi="Arial"/>
                <w:sz w:val="18"/>
                <w:szCs w:val="18"/>
                <w:color w:val="0000FF"/>
              </w:rPr>
              <w:t>Note U – Subsequent Event</w:t>
            </w:r>
          </w:p>
        </w:tc>
        <w:tc>
          <w:tcPr>
            <w:tcW w:w="760" w:type="dxa"/>
            <w:vAlign w:val="bottom"/>
            <w:gridSpan w:val="2"/>
            <w:shd w:val="clear" w:color="auto" w:fill="CCEEFF"/>
          </w:tcPr>
          <w:p>
            <w:pPr>
              <w:jc w:val="right"/>
              <w:ind w:right="20"/>
              <w:spacing w:after="0" w:line="187" w:lineRule="exact"/>
              <w:rPr>
                <w:sz w:val="20"/>
                <w:szCs w:val="20"/>
                <w:color w:val="auto"/>
              </w:rPr>
            </w:pPr>
            <w:r>
              <w:rPr>
                <w:rFonts w:ascii="Arial" w:cs="Arial" w:eastAsia="Arial" w:hAnsi="Arial"/>
                <w:sz w:val="18"/>
                <w:szCs w:val="18"/>
                <w:color w:val="242424"/>
              </w:rPr>
              <w:t>105</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40" w:type="dxa"/>
            <w:vAlign w:val="bottom"/>
          </w:tcPr>
          <w:p>
            <w:pPr>
              <w:spacing w:after="0"/>
              <w:rPr>
                <w:sz w:val="17"/>
                <w:szCs w:val="17"/>
                <w:color w:val="auto"/>
              </w:rPr>
            </w:pPr>
          </w:p>
        </w:tc>
        <w:tc>
          <w:tcPr>
            <w:tcW w:w="9940" w:type="dxa"/>
            <w:vAlign w:val="bottom"/>
            <w:gridSpan w:val="34"/>
          </w:tcPr>
          <w:p>
            <w:pPr>
              <w:spacing w:after="0" w:line="201" w:lineRule="exact"/>
              <w:rPr>
                <w:sz w:val="20"/>
                <w:szCs w:val="20"/>
                <w:color w:val="auto"/>
              </w:rPr>
            </w:pPr>
            <w:r>
              <w:rPr>
                <w:rFonts w:ascii="Arial" w:cs="Arial" w:eastAsia="Arial" w:hAnsi="Arial"/>
                <w:sz w:val="18"/>
                <w:szCs w:val="18"/>
                <w:color w:val="0000FF"/>
              </w:rPr>
              <w:t>Supplemental Oil and Gas Information (unaudited)</w:t>
            </w:r>
          </w:p>
        </w:tc>
        <w:tc>
          <w:tcPr>
            <w:tcW w:w="7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242424"/>
              </w:rPr>
              <w:t>106</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540" w:type="dxa"/>
            <w:vAlign w:val="bottom"/>
            <w:shd w:val="clear" w:color="auto" w:fill="CCEEFF"/>
          </w:tcPr>
          <w:p>
            <w:pPr>
              <w:spacing w:after="0"/>
              <w:rPr>
                <w:sz w:val="21"/>
                <w:szCs w:val="21"/>
                <w:color w:val="auto"/>
              </w:rPr>
            </w:pPr>
          </w:p>
        </w:tc>
        <w:tc>
          <w:tcPr>
            <w:tcW w:w="9940" w:type="dxa"/>
            <w:vAlign w:val="bottom"/>
            <w:gridSpan w:val="34"/>
            <w:shd w:val="clear" w:color="auto" w:fill="CCEEFF"/>
          </w:tcPr>
          <w:p>
            <w:pPr>
              <w:spacing w:after="0" w:line="201" w:lineRule="exact"/>
              <w:rPr>
                <w:sz w:val="20"/>
                <w:szCs w:val="20"/>
                <w:color w:val="auto"/>
              </w:rPr>
            </w:pPr>
            <w:r>
              <w:rPr>
                <w:rFonts w:ascii="Arial" w:cs="Arial" w:eastAsia="Arial" w:hAnsi="Arial"/>
                <w:sz w:val="18"/>
                <w:szCs w:val="18"/>
                <w:color w:val="0000FF"/>
              </w:rPr>
              <w:t>Supplemental Quarterly Information (unaudited)</w:t>
            </w:r>
          </w:p>
        </w:tc>
        <w:tc>
          <w:tcPr>
            <w:tcW w:w="7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242424"/>
              </w:rPr>
              <w:t>122</w:t>
            </w:r>
          </w:p>
        </w:tc>
        <w:tc>
          <w:tcPr>
            <w:tcW w:w="0" w:type="dxa"/>
            <w:vAlign w:val="bottom"/>
          </w:tcPr>
          <w:p>
            <w:pPr>
              <w:spacing w:after="0"/>
              <w:rPr>
                <w:sz w:val="1"/>
                <w:szCs w:val="1"/>
                <w:color w:val="auto"/>
              </w:rPr>
            </w:pPr>
          </w:p>
        </w:tc>
      </w:tr>
      <w:tr>
        <w:trPr>
          <w:trHeight w:val="898"/>
        </w:trPr>
        <w:tc>
          <w:tcPr>
            <w:tcW w:w="540" w:type="dxa"/>
            <w:vAlign w:val="bottom"/>
            <w:tcBorders>
              <w:top w:val="single" w:sz="8" w:color="CCEEFF"/>
            </w:tcBorders>
          </w:tcPr>
          <w:p>
            <w:pPr>
              <w:spacing w:after="0"/>
              <w:rPr>
                <w:sz w:val="24"/>
                <w:szCs w:val="24"/>
                <w:color w:val="auto"/>
              </w:rPr>
            </w:pPr>
          </w:p>
        </w:tc>
        <w:tc>
          <w:tcPr>
            <w:tcW w:w="3760" w:type="dxa"/>
            <w:vAlign w:val="bottom"/>
            <w:tcBorders>
              <w:top w:val="single" w:sz="8" w:color="0000FF"/>
            </w:tcBorders>
            <w:gridSpan w:val="16"/>
          </w:tcPr>
          <w:p>
            <w:pPr>
              <w:spacing w:after="0"/>
              <w:rPr>
                <w:sz w:val="24"/>
                <w:szCs w:val="24"/>
                <w:color w:val="auto"/>
              </w:rPr>
            </w:pPr>
          </w:p>
        </w:tc>
        <w:tc>
          <w:tcPr>
            <w:tcW w:w="1500" w:type="dxa"/>
            <w:vAlign w:val="bottom"/>
            <w:tcBorders>
              <w:top w:val="single" w:sz="8" w:color="CCEEFF"/>
            </w:tcBorders>
            <w:gridSpan w:val="14"/>
          </w:tcPr>
          <w:p>
            <w:pPr>
              <w:jc w:val="right"/>
              <w:ind w:right="80"/>
              <w:spacing w:after="0"/>
              <w:rPr>
                <w:sz w:val="20"/>
                <w:szCs w:val="20"/>
                <w:color w:val="auto"/>
              </w:rPr>
            </w:pPr>
            <w:r>
              <w:rPr>
                <w:rFonts w:ascii="Arial" w:cs="Arial" w:eastAsia="Arial" w:hAnsi="Arial"/>
                <w:sz w:val="18"/>
                <w:szCs w:val="18"/>
                <w:color w:val="auto"/>
              </w:rPr>
              <w:t>57</w:t>
            </w:r>
          </w:p>
        </w:tc>
        <w:tc>
          <w:tcPr>
            <w:tcW w:w="13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80" w:hanging="353"/>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shd w:val="clear" w:color="auto" w:fill="CCEEFF"/>
          </w:tcPr>
          <w:p>
            <w:pPr>
              <w:spacing w:after="0"/>
              <w:rPr>
                <w:sz w:val="17"/>
                <w:szCs w:val="17"/>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0000FF"/>
              </w:rPr>
              <w:t>Schedule II – Valuation Accounts and Reserves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0000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ind w:left="640" w:right="280"/>
        <w:spacing w:after="0" w:line="278" w:lineRule="auto"/>
        <w:rPr>
          <w:sz w:val="20"/>
          <w:szCs w:val="20"/>
          <w:color w:val="auto"/>
        </w:rPr>
      </w:pPr>
      <w:r>
        <w:rPr>
          <w:rFonts w:ascii="Arial" w:cs="Arial" w:eastAsia="Arial" w:hAnsi="Arial"/>
          <w:sz w:val="18"/>
          <w:szCs w:val="18"/>
          <w:color w:val="auto"/>
        </w:rPr>
        <w:t>All other financial statement schedules are omitted because either they are not applicable, or the required information is included in the consolidated financial statements or notes thereto.</w:t>
      </w:r>
    </w:p>
    <w:p>
      <w:pPr>
        <w:spacing w:after="0" w:line="53" w:lineRule="exact"/>
        <w:rPr>
          <w:sz w:val="20"/>
          <w:szCs w:val="20"/>
          <w:color w:val="auto"/>
        </w:rPr>
      </w:pPr>
    </w:p>
    <w:p>
      <w:pPr>
        <w:jc w:val="both"/>
        <w:ind w:left="640" w:right="200" w:hanging="313"/>
        <w:spacing w:after="0" w:line="264" w:lineRule="auto"/>
        <w:tabs>
          <w:tab w:leader="none" w:pos="66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 The following is an index of exhibits that are hereby filed as indicated by asterisk (*), that are considered furnished rather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filed, or that are incorporated by reference. Exhibits other than those listed have been omitted since they either are not required or are not applicable.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8"/>
              </w:rPr>
              <w:t>Incorporated by Reference to the</w:t>
            </w:r>
          </w:p>
        </w:tc>
        <w:tc>
          <w:tcPr>
            <w:tcW w:w="0" w:type="dxa"/>
            <w:vAlign w:val="bottom"/>
          </w:tcPr>
          <w:p>
            <w:pPr>
              <w:spacing w:after="0"/>
              <w:rPr>
                <w:sz w:val="1"/>
                <w:szCs w:val="1"/>
                <w:color w:val="auto"/>
              </w:rPr>
            </w:pPr>
          </w:p>
        </w:tc>
      </w:tr>
      <w:tr>
        <w:trPr>
          <w:trHeight w:val="174"/>
        </w:trPr>
        <w:tc>
          <w:tcPr>
            <w:tcW w:w="11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0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8"/>
              </w:rPr>
              <w:t>Indicated Filing by</w:t>
            </w:r>
          </w:p>
        </w:tc>
        <w:tc>
          <w:tcPr>
            <w:tcW w:w="0" w:type="dxa"/>
            <w:vAlign w:val="bottom"/>
          </w:tcPr>
          <w:p>
            <w:pPr>
              <w:spacing w:after="0"/>
              <w:rPr>
                <w:sz w:val="1"/>
                <w:szCs w:val="1"/>
                <w:color w:val="auto"/>
              </w:rPr>
            </w:pPr>
          </w:p>
        </w:tc>
      </w:tr>
      <w:tr>
        <w:trPr>
          <w:trHeight w:val="240"/>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No.</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8"/>
              </w:rPr>
              <w:t>Murphy Oil Corporation</w:t>
            </w:r>
          </w:p>
        </w:tc>
        <w:tc>
          <w:tcPr>
            <w:tcW w:w="0" w:type="dxa"/>
            <w:vAlign w:val="bottom"/>
          </w:tcPr>
          <w:p>
            <w:pPr>
              <w:spacing w:after="0"/>
              <w:rPr>
                <w:sz w:val="1"/>
                <w:szCs w:val="1"/>
                <w:color w:val="auto"/>
              </w:rPr>
            </w:pPr>
          </w:p>
        </w:tc>
      </w:tr>
      <w:tr>
        <w:trPr>
          <w:trHeight w:val="187"/>
        </w:trPr>
        <w:tc>
          <w:tcPr>
            <w:tcW w:w="116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auto"/>
                <w:w w:val="95"/>
              </w:rPr>
              <w:t>2.1</w:t>
            </w:r>
          </w:p>
        </w:tc>
        <w:tc>
          <w:tcPr>
            <w:tcW w:w="6980" w:type="dxa"/>
            <w:vAlign w:val="bottom"/>
            <w:gridSpan w:val="20"/>
            <w:shd w:val="clear" w:color="auto" w:fill="CCEEFF"/>
          </w:tcPr>
          <w:p>
            <w:pPr>
              <w:spacing w:after="0" w:line="187" w:lineRule="exact"/>
              <w:rPr>
                <w:rFonts w:ascii="Arial" w:cs="Arial" w:eastAsia="Arial" w:hAnsi="Arial"/>
                <w:sz w:val="18"/>
                <w:szCs w:val="18"/>
                <w:color w:val="0000FF"/>
              </w:rPr>
            </w:pPr>
            <w:hyperlink r:id="rId77">
              <w:r>
                <w:rPr>
                  <w:rFonts w:ascii="Arial" w:cs="Arial" w:eastAsia="Arial" w:hAnsi="Arial"/>
                  <w:sz w:val="18"/>
                  <w:szCs w:val="18"/>
                  <w:color w:val="0000FF"/>
                </w:rPr>
                <w:t>Purchase and sale agreement dated as of April 19, 2019 between LLOG Bluewater</w:t>
              </w:r>
            </w:hyperlink>
          </w:p>
        </w:tc>
        <w:tc>
          <w:tcPr>
            <w:tcW w:w="3100" w:type="dxa"/>
            <w:vAlign w:val="bottom"/>
            <w:shd w:val="clear" w:color="auto" w:fill="CCEEFF"/>
          </w:tcPr>
          <w:p>
            <w:pPr>
              <w:ind w:left="40"/>
              <w:spacing w:after="0" w:line="187" w:lineRule="exact"/>
              <w:rPr>
                <w:sz w:val="20"/>
                <w:szCs w:val="20"/>
                <w:color w:val="auto"/>
              </w:rPr>
            </w:pPr>
            <w:r>
              <w:rPr>
                <w:rFonts w:ascii="Arial" w:cs="Arial" w:eastAsia="Arial" w:hAnsi="Arial"/>
                <w:sz w:val="18"/>
                <w:szCs w:val="18"/>
                <w:color w:val="auto"/>
              </w:rPr>
              <w:t>Exhibit 2.1 to Form 8-K filed June 5,</w:t>
            </w:r>
          </w:p>
        </w:tc>
        <w:tc>
          <w:tcPr>
            <w:tcW w:w="0" w:type="dxa"/>
            <w:vAlign w:val="bottom"/>
          </w:tcPr>
          <w:p>
            <w:pPr>
              <w:spacing w:after="0"/>
              <w:rPr>
                <w:sz w:val="1"/>
                <w:szCs w:val="1"/>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160" w:type="dxa"/>
            <w:vAlign w:val="bottom"/>
            <w:shd w:val="clear" w:color="auto" w:fill="CCEEFF"/>
          </w:tcPr>
          <w:p>
            <w:pPr>
              <w:spacing w:after="0"/>
              <w:rPr>
                <w:sz w:val="13"/>
                <w:szCs w:val="13"/>
                <w:color w:val="auto"/>
              </w:rPr>
            </w:pPr>
          </w:p>
        </w:tc>
        <w:tc>
          <w:tcPr>
            <w:tcW w:w="10080" w:type="dxa"/>
            <w:vAlign w:val="bottom"/>
            <w:gridSpan w:val="21"/>
            <w:shd w:val="clear" w:color="auto" w:fill="CCEEFF"/>
          </w:tcPr>
          <w:p>
            <w:pPr>
              <w:spacing w:after="0" w:line="154" w:lineRule="exact"/>
              <w:rPr>
                <w:rFonts w:ascii="Arial" w:cs="Arial" w:eastAsia="Arial" w:hAnsi="Arial"/>
                <w:sz w:val="17"/>
                <w:szCs w:val="17"/>
                <w:color w:val="0000FF"/>
              </w:rPr>
            </w:pPr>
            <w:hyperlink r:id="rId77">
              <w:r>
                <w:rPr>
                  <w:rFonts w:ascii="Arial" w:cs="Arial" w:eastAsia="Arial" w:hAnsi="Arial"/>
                  <w:sz w:val="17"/>
                  <w:szCs w:val="17"/>
                  <w:color w:val="0000FF"/>
                </w:rPr>
                <w:t xml:space="preserve">Holdings, LLC and LLOG Exploration Offshore, LLC, as seller, and Murphy Exploration &amp; </w:t>
              </w:r>
            </w:hyperlink>
            <w:r>
              <w:rPr>
                <w:rFonts w:ascii="Arial" w:cs="Arial" w:eastAsia="Arial" w:hAnsi="Arial"/>
                <w:sz w:val="17"/>
                <w:szCs w:val="17"/>
                <w:color w:val="000000"/>
              </w:rPr>
              <w:t>2019</w:t>
            </w:r>
          </w:p>
        </w:tc>
        <w:tc>
          <w:tcPr>
            <w:tcW w:w="0" w:type="dxa"/>
            <w:vAlign w:val="bottom"/>
          </w:tcPr>
          <w:p>
            <w:pPr>
              <w:spacing w:after="0"/>
              <w:rPr>
                <w:sz w:val="1"/>
                <w:szCs w:val="1"/>
                <w:color w:val="auto"/>
              </w:rPr>
            </w:pPr>
          </w:p>
        </w:tc>
      </w:tr>
      <w:tr>
        <w:trPr>
          <w:trHeight w:val="187"/>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3400" w:type="dxa"/>
            <w:vAlign w:val="bottom"/>
            <w:tcBorders>
              <w:top w:val="single" w:sz="8" w:color="0000FF"/>
              <w:bottom w:val="single" w:sz="8" w:color="0000FF"/>
            </w:tcBorders>
            <w:gridSpan w:val="8"/>
            <w:shd w:val="clear" w:color="auto" w:fill="CCEEFF"/>
          </w:tcPr>
          <w:p>
            <w:pPr>
              <w:spacing w:after="0" w:line="167"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Production Company – USA, as purchaser.</w:t>
              </w:r>
            </w:hyperlink>
          </w:p>
        </w:tc>
        <w:tc>
          <w:tcPr>
            <w:tcW w:w="35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3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5"/>
              </w:rPr>
              <w:t>2.2</w:t>
            </w:r>
          </w:p>
        </w:tc>
        <w:tc>
          <w:tcPr>
            <w:tcW w:w="6980" w:type="dxa"/>
            <w:vAlign w:val="bottom"/>
            <w:gridSpan w:val="20"/>
          </w:tcPr>
          <w:p>
            <w:pPr>
              <w:spacing w:after="0" w:line="174" w:lineRule="exact"/>
              <w:rPr>
                <w:rFonts w:ascii="Arial" w:cs="Arial" w:eastAsia="Arial" w:hAnsi="Arial"/>
                <w:sz w:val="18"/>
                <w:szCs w:val="18"/>
                <w:color w:val="0000FF"/>
              </w:rPr>
            </w:pPr>
            <w:hyperlink r:id="rId78">
              <w:r>
                <w:rPr>
                  <w:rFonts w:ascii="Arial" w:cs="Arial" w:eastAsia="Arial" w:hAnsi="Arial"/>
                  <w:sz w:val="18"/>
                  <w:szCs w:val="18"/>
                  <w:color w:val="0000FF"/>
                </w:rPr>
                <w:t>First Amendment to Purchase and Sale Agreement dated as of May 31, 2019 among</w:t>
              </w:r>
            </w:hyperlink>
          </w:p>
        </w:tc>
        <w:tc>
          <w:tcPr>
            <w:tcW w:w="3100" w:type="dxa"/>
            <w:vAlign w:val="bottom"/>
          </w:tcPr>
          <w:p>
            <w:pPr>
              <w:ind w:left="40"/>
              <w:spacing w:after="0" w:line="174" w:lineRule="exact"/>
              <w:rPr>
                <w:sz w:val="20"/>
                <w:szCs w:val="20"/>
                <w:color w:val="auto"/>
              </w:rPr>
            </w:pPr>
            <w:r>
              <w:rPr>
                <w:rFonts w:ascii="Arial" w:cs="Arial" w:eastAsia="Arial" w:hAnsi="Arial"/>
                <w:sz w:val="18"/>
                <w:szCs w:val="18"/>
                <w:color w:val="auto"/>
              </w:rPr>
              <w:t>Exhibit 2.2 to Form 8-K filed June 5,</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8"/>
          </w:tcPr>
          <w:p>
            <w:pPr>
              <w:spacing w:after="0" w:line="160"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Murphy Exploration &amp; Production Company - USA, LLOG Exploration Offshore, L.L.C.</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00" w:type="dxa"/>
            <w:vAlign w:val="bottom"/>
          </w:tcPr>
          <w:p>
            <w:pPr>
              <w:ind w:left="40"/>
              <w:spacing w:after="0" w:line="160"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840" w:type="dxa"/>
            <w:vAlign w:val="bottom"/>
            <w:gridSpan w:val="18"/>
          </w:tcPr>
          <w:p>
            <w:pPr>
              <w:spacing w:after="0" w:line="167" w:lineRule="exact"/>
              <w:rPr>
                <w:rFonts w:ascii="Arial" w:cs="Arial" w:eastAsia="Arial" w:hAnsi="Arial"/>
                <w:sz w:val="18"/>
                <w:szCs w:val="18"/>
                <w:color w:val="0000FF"/>
              </w:rPr>
            </w:pPr>
            <w:hyperlink r:id="rId78">
              <w:r>
                <w:rPr>
                  <w:rFonts w:ascii="Arial" w:cs="Arial" w:eastAsia="Arial" w:hAnsi="Arial"/>
                  <w:sz w:val="18"/>
                  <w:szCs w:val="18"/>
                  <w:color w:val="0000FF"/>
                </w:rPr>
                <w:t>and LLOG Bluewater Holdings, L.L.C.</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5"/>
              </w:rPr>
              <w:t>2.3</w:t>
            </w:r>
          </w:p>
        </w:tc>
        <w:tc>
          <w:tcPr>
            <w:tcW w:w="6980" w:type="dxa"/>
            <w:vAlign w:val="bottom"/>
            <w:gridSpan w:val="20"/>
            <w:shd w:val="clear" w:color="auto" w:fill="CCEEFF"/>
          </w:tcPr>
          <w:p>
            <w:pPr>
              <w:spacing w:after="0" w:line="174" w:lineRule="exact"/>
              <w:rPr>
                <w:rFonts w:ascii="Arial" w:cs="Arial" w:eastAsia="Arial" w:hAnsi="Arial"/>
                <w:sz w:val="18"/>
                <w:szCs w:val="18"/>
                <w:color w:val="0000FF"/>
              </w:rPr>
            </w:pPr>
            <w:hyperlink r:id="rId79">
              <w:r>
                <w:rPr>
                  <w:rFonts w:ascii="Arial" w:cs="Arial" w:eastAsia="Arial" w:hAnsi="Arial"/>
                  <w:sz w:val="18"/>
                  <w:szCs w:val="18"/>
                  <w:color w:val="0000FF"/>
                </w:rPr>
                <w:t>Contribution Agreement dated as of October 10, 2018 among Murphy Exploration &amp;</w:t>
              </w:r>
            </w:hyperlink>
          </w:p>
        </w:tc>
        <w:tc>
          <w:tcPr>
            <w:tcW w:w="310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Exhibit 2.1 to Form 10-K filed</w:t>
            </w:r>
          </w:p>
        </w:tc>
        <w:tc>
          <w:tcPr>
            <w:tcW w:w="0" w:type="dxa"/>
            <w:vAlign w:val="bottom"/>
          </w:tcPr>
          <w:p>
            <w:pPr>
              <w:spacing w:after="0"/>
              <w:rPr>
                <w:sz w:val="1"/>
                <w:szCs w:val="1"/>
                <w:color w:val="auto"/>
              </w:rPr>
            </w:pPr>
          </w:p>
        </w:tc>
      </w:tr>
      <w:tr>
        <w:trPr>
          <w:trHeight w:val="194"/>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6420" w:type="dxa"/>
            <w:vAlign w:val="bottom"/>
            <w:tcBorders>
              <w:top w:val="single" w:sz="8" w:color="0000FF"/>
              <w:bottom w:val="single" w:sz="8" w:color="0000FF"/>
            </w:tcBorders>
            <w:gridSpan w:val="16"/>
            <w:shd w:val="clear" w:color="auto" w:fill="CCEEFF"/>
          </w:tcPr>
          <w:p>
            <w:pPr>
              <w:spacing w:after="0" w:line="160" w:lineRule="exact"/>
              <w:rPr>
                <w:rFonts w:ascii="Arial" w:cs="Arial" w:eastAsia="Arial" w:hAnsi="Arial"/>
                <w:sz w:val="18"/>
                <w:szCs w:val="18"/>
                <w:color w:val="0000FF"/>
                <w:w w:val="98"/>
              </w:rPr>
            </w:pPr>
            <w:hyperlink r:id="rId79">
              <w:r>
                <w:rPr>
                  <w:rFonts w:ascii="Arial" w:cs="Arial" w:eastAsia="Arial" w:hAnsi="Arial"/>
                  <w:sz w:val="18"/>
                  <w:szCs w:val="18"/>
                  <w:color w:val="0000FF"/>
                  <w:w w:val="98"/>
                </w:rPr>
                <w:t>Production Company – USA, Petrobras America Inc. and MP Gulf of Mexico, LLC</w:t>
              </w:r>
            </w:hyperlink>
          </w:p>
        </w:tc>
        <w:tc>
          <w:tcPr>
            <w:tcW w:w="420" w:type="dxa"/>
            <w:vAlign w:val="bottom"/>
            <w:tcBorders>
              <w:top w:val="single" w:sz="8" w:color="0000FF"/>
              <w:bottom w:val="single" w:sz="8" w:color="CCEEFF"/>
              <w:right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100" w:type="dxa"/>
            <w:vAlign w:val="bottom"/>
            <w:tcBorders>
              <w:top w:val="single" w:sz="8" w:color="CCEEFF"/>
              <w:bottom w:val="single" w:sz="8" w:color="CCEEFF"/>
            </w:tcBorders>
            <w:shd w:val="clear" w:color="auto" w:fill="CCEEFF"/>
          </w:tcPr>
          <w:p>
            <w:pPr>
              <w:ind w:left="40"/>
              <w:spacing w:after="0" w:line="160" w:lineRule="exact"/>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5"/>
              </w:rPr>
              <w:t>3.1</w:t>
            </w:r>
          </w:p>
        </w:tc>
        <w:tc>
          <w:tcPr>
            <w:tcW w:w="6980" w:type="dxa"/>
            <w:vAlign w:val="bottom"/>
            <w:gridSpan w:val="20"/>
          </w:tcPr>
          <w:p>
            <w:pPr>
              <w:spacing w:after="0" w:line="174" w:lineRule="exact"/>
              <w:rPr>
                <w:rFonts w:ascii="Arial" w:cs="Arial" w:eastAsia="Arial" w:hAnsi="Arial"/>
                <w:sz w:val="18"/>
                <w:szCs w:val="18"/>
                <w:color w:val="0000FF"/>
              </w:rPr>
            </w:pPr>
            <w:hyperlink r:id="rId80">
              <w:r>
                <w:rPr>
                  <w:rFonts w:ascii="Arial" w:cs="Arial" w:eastAsia="Arial" w:hAnsi="Arial"/>
                  <w:sz w:val="18"/>
                  <w:szCs w:val="18"/>
                  <w:color w:val="0000FF"/>
                </w:rPr>
                <w:t>Certificate of Incorporation of Murphy Oil Corporation, as amended effective May 11,</w:t>
              </w:r>
            </w:hyperlink>
          </w:p>
        </w:tc>
        <w:tc>
          <w:tcPr>
            <w:tcW w:w="3100" w:type="dxa"/>
            <w:vAlign w:val="bottom"/>
          </w:tcPr>
          <w:p>
            <w:pPr>
              <w:ind w:left="40"/>
              <w:spacing w:after="0" w:line="174" w:lineRule="exact"/>
              <w:rPr>
                <w:sz w:val="20"/>
                <w:szCs w:val="20"/>
                <w:color w:val="auto"/>
              </w:rPr>
            </w:pPr>
            <w:r>
              <w:rPr>
                <w:rFonts w:ascii="Arial" w:cs="Arial" w:eastAsia="Arial" w:hAnsi="Arial"/>
                <w:sz w:val="18"/>
                <w:szCs w:val="18"/>
                <w:color w:val="auto"/>
              </w:rPr>
              <w:t>Exhibit 3.1 to Form 10-K filed</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740" w:type="dxa"/>
            <w:vAlign w:val="bottom"/>
            <w:tcBorders>
              <w:top w:val="single" w:sz="8" w:color="0000FF"/>
            </w:tcBorders>
            <w:gridSpan w:val="2"/>
          </w:tcPr>
          <w:p>
            <w:pPr>
              <w:spacing w:after="0" w:line="160" w:lineRule="exact"/>
              <w:rPr>
                <w:rFonts w:ascii="Arial" w:cs="Arial" w:eastAsia="Arial" w:hAnsi="Arial"/>
                <w:sz w:val="18"/>
                <w:szCs w:val="18"/>
                <w:color w:val="0000FF"/>
              </w:rPr>
            </w:pPr>
            <w:hyperlink r:id="rId80">
              <w:r>
                <w:rPr>
                  <w:rFonts w:ascii="Arial" w:cs="Arial" w:eastAsia="Arial" w:hAnsi="Arial"/>
                  <w:sz w:val="18"/>
                  <w:szCs w:val="18"/>
                  <w:color w:val="0000FF"/>
                </w:rPr>
                <w:t>2005</w:t>
              </w:r>
            </w:hyperlink>
          </w:p>
        </w:tc>
        <w:tc>
          <w:tcPr>
            <w:tcW w:w="1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00" w:type="dxa"/>
            <w:vAlign w:val="bottom"/>
          </w:tcPr>
          <w:p>
            <w:pPr>
              <w:ind w:left="40"/>
              <w:spacing w:after="0" w:line="160" w:lineRule="exact"/>
              <w:rPr>
                <w:sz w:val="20"/>
                <w:szCs w:val="20"/>
                <w:color w:val="auto"/>
              </w:rPr>
            </w:pPr>
            <w:r>
              <w:rPr>
                <w:rFonts w:ascii="Arial" w:cs="Arial" w:eastAsia="Arial" w:hAnsi="Arial"/>
                <w:sz w:val="18"/>
                <w:szCs w:val="18"/>
                <w:color w:val="auto"/>
              </w:rPr>
              <w:t>February 28, 2011</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5"/>
              </w:rPr>
              <w:t>3.2</w:t>
            </w:r>
          </w:p>
        </w:tc>
        <w:tc>
          <w:tcPr>
            <w:tcW w:w="6980" w:type="dxa"/>
            <w:vAlign w:val="bottom"/>
            <w:gridSpan w:val="20"/>
            <w:shd w:val="clear" w:color="auto" w:fill="CCEEFF"/>
          </w:tcPr>
          <w:p>
            <w:pPr>
              <w:spacing w:after="0" w:line="174" w:lineRule="exact"/>
              <w:rPr>
                <w:rFonts w:ascii="Arial" w:cs="Arial" w:eastAsia="Arial" w:hAnsi="Arial"/>
                <w:sz w:val="18"/>
                <w:szCs w:val="18"/>
                <w:color w:val="0000FF"/>
              </w:rPr>
            </w:pPr>
            <w:hyperlink r:id="rId81">
              <w:r>
                <w:rPr>
                  <w:rFonts w:ascii="Arial" w:cs="Arial" w:eastAsia="Arial" w:hAnsi="Arial"/>
                  <w:sz w:val="18"/>
                  <w:szCs w:val="18"/>
                  <w:color w:val="0000FF"/>
                </w:rPr>
                <w:t>By-Laws of Murphy Oil Corporation, as amended effective August 5, 2020</w:t>
              </w:r>
            </w:hyperlink>
          </w:p>
        </w:tc>
        <w:tc>
          <w:tcPr>
            <w:tcW w:w="310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Exhibit 3.2 to Form 10-Q filed August</w:t>
            </w:r>
          </w:p>
        </w:tc>
        <w:tc>
          <w:tcPr>
            <w:tcW w:w="0" w:type="dxa"/>
            <w:vAlign w:val="bottom"/>
          </w:tcPr>
          <w:p>
            <w:pPr>
              <w:spacing w:after="0"/>
              <w:rPr>
                <w:sz w:val="1"/>
                <w:szCs w:val="1"/>
                <w:color w:val="auto"/>
              </w:rPr>
            </w:pPr>
          </w:p>
        </w:tc>
      </w:tr>
      <w:tr>
        <w:trPr>
          <w:trHeight w:val="214"/>
        </w:trPr>
        <w:tc>
          <w:tcPr>
            <w:tcW w:w="1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11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6, 2020</w:t>
            </w:r>
          </w:p>
        </w:tc>
        <w:tc>
          <w:tcPr>
            <w:tcW w:w="0" w:type="dxa"/>
            <w:vAlign w:val="bottom"/>
          </w:tcPr>
          <w:p>
            <w:pPr>
              <w:spacing w:after="0"/>
              <w:rPr>
                <w:sz w:val="1"/>
                <w:szCs w:val="1"/>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5"/>
              </w:rPr>
              <w:t>4.1</w:t>
            </w:r>
          </w:p>
        </w:tc>
        <w:tc>
          <w:tcPr>
            <w:tcW w:w="10080" w:type="dxa"/>
            <w:vAlign w:val="bottom"/>
            <w:gridSpan w:val="21"/>
          </w:tcPr>
          <w:p>
            <w:pPr>
              <w:spacing w:after="0" w:line="174" w:lineRule="exact"/>
              <w:rPr>
                <w:rFonts w:ascii="Arial" w:cs="Arial" w:eastAsia="Arial" w:hAnsi="Arial"/>
                <w:sz w:val="18"/>
                <w:szCs w:val="18"/>
                <w:color w:val="0000FF"/>
              </w:rPr>
            </w:pPr>
            <w:hyperlink r:id="rId82">
              <w:r>
                <w:rPr>
                  <w:rFonts w:ascii="Arial" w:cs="Arial" w:eastAsia="Arial" w:hAnsi="Arial"/>
                  <w:sz w:val="18"/>
                  <w:szCs w:val="18"/>
                  <w:color w:val="0000FF"/>
                </w:rPr>
                <w:t xml:space="preserve">Indenture dated as of May 4, 1999 between Murphy Oil Corporation and SunTrust Bank, </w:t>
              </w:r>
            </w:hyperlink>
            <w:r>
              <w:rPr>
                <w:rFonts w:ascii="Arial" w:cs="Arial" w:eastAsia="Arial" w:hAnsi="Arial"/>
                <w:sz w:val="18"/>
                <w:szCs w:val="18"/>
                <w:color w:val="000000"/>
              </w:rPr>
              <w:t>Exhibit</w:t>
            </w:r>
            <w:r>
              <w:rPr>
                <w:rFonts w:ascii="Arial" w:cs="Arial" w:eastAsia="Arial" w:hAnsi="Arial"/>
                <w:sz w:val="18"/>
                <w:szCs w:val="18"/>
                <w:color w:val="0000FF"/>
              </w:rPr>
              <w:t xml:space="preserve"> </w:t>
            </w:r>
            <w:r>
              <w:rPr>
                <w:rFonts w:ascii="Arial" w:cs="Arial" w:eastAsia="Arial" w:hAnsi="Arial"/>
                <w:sz w:val="18"/>
                <w:szCs w:val="18"/>
                <w:color w:val="000000"/>
              </w:rPr>
              <w:t>4.2 to Form 10-K filed March</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6940" w:type="dxa"/>
            <w:vAlign w:val="bottom"/>
            <w:tcBorders>
              <w:top w:val="single" w:sz="8" w:color="0000FF"/>
            </w:tcBorders>
            <w:gridSpan w:val="19"/>
          </w:tcPr>
          <w:p>
            <w:pPr>
              <w:spacing w:after="0" w:line="160" w:lineRule="exact"/>
              <w:rPr>
                <w:rFonts w:ascii="Arial" w:cs="Arial" w:eastAsia="Arial" w:hAnsi="Arial"/>
                <w:sz w:val="18"/>
                <w:szCs w:val="18"/>
                <w:color w:val="0000FF"/>
              </w:rPr>
            </w:pPr>
            <w:hyperlink r:id="rId82">
              <w:r>
                <w:rPr>
                  <w:rFonts w:ascii="Arial" w:cs="Arial" w:eastAsia="Arial" w:hAnsi="Arial"/>
                  <w:sz w:val="18"/>
                  <w:szCs w:val="18"/>
                  <w:color w:val="0000FF"/>
                </w:rPr>
                <w:t>Nashville, N.A., as trustee</w:t>
              </w:r>
            </w:hyperlink>
          </w:p>
        </w:tc>
        <w:tc>
          <w:tcPr>
            <w:tcW w:w="40" w:type="dxa"/>
            <w:vAlign w:val="bottom"/>
          </w:tcPr>
          <w:p>
            <w:pPr>
              <w:spacing w:after="0"/>
              <w:rPr>
                <w:sz w:val="13"/>
                <w:szCs w:val="13"/>
                <w:color w:val="auto"/>
              </w:rPr>
            </w:pPr>
          </w:p>
        </w:tc>
        <w:tc>
          <w:tcPr>
            <w:tcW w:w="3100" w:type="dxa"/>
            <w:vAlign w:val="bottom"/>
          </w:tcPr>
          <w:p>
            <w:pPr>
              <w:ind w:left="40"/>
              <w:spacing w:after="0" w:line="160" w:lineRule="exact"/>
              <w:rPr>
                <w:sz w:val="20"/>
                <w:szCs w:val="20"/>
                <w:color w:val="auto"/>
              </w:rPr>
            </w:pPr>
            <w:r>
              <w:rPr>
                <w:rFonts w:ascii="Arial" w:cs="Arial" w:eastAsia="Arial" w:hAnsi="Arial"/>
                <w:sz w:val="18"/>
                <w:szCs w:val="18"/>
                <w:color w:val="auto"/>
              </w:rPr>
              <w:t>16, 2005</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5"/>
              </w:rPr>
              <w:t>4.2</w:t>
            </w:r>
          </w:p>
        </w:tc>
        <w:tc>
          <w:tcPr>
            <w:tcW w:w="6980" w:type="dxa"/>
            <w:vAlign w:val="bottom"/>
            <w:gridSpan w:val="20"/>
            <w:shd w:val="clear" w:color="auto" w:fill="CCEEFF"/>
          </w:tcPr>
          <w:p>
            <w:pPr>
              <w:spacing w:after="0" w:line="174" w:lineRule="exact"/>
              <w:rPr>
                <w:rFonts w:ascii="Arial" w:cs="Arial" w:eastAsia="Arial" w:hAnsi="Arial"/>
                <w:sz w:val="18"/>
                <w:szCs w:val="18"/>
                <w:color w:val="0000FF"/>
              </w:rPr>
            </w:pPr>
            <w:hyperlink r:id="rId82">
              <w:r>
                <w:rPr>
                  <w:rFonts w:ascii="Arial" w:cs="Arial" w:eastAsia="Arial" w:hAnsi="Arial"/>
                  <w:sz w:val="18"/>
                  <w:szCs w:val="18"/>
                  <w:color w:val="0000FF"/>
                </w:rPr>
                <w:t>Supplemental Indenture dated as of May 4, 1999 between Murphy Oil Corporation and</w:t>
              </w:r>
            </w:hyperlink>
          </w:p>
        </w:tc>
        <w:tc>
          <w:tcPr>
            <w:tcW w:w="310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Exhibit 4.2 to Form 10-K filed March</w:t>
            </w:r>
          </w:p>
        </w:tc>
        <w:tc>
          <w:tcPr>
            <w:tcW w:w="0" w:type="dxa"/>
            <w:vAlign w:val="bottom"/>
          </w:tcPr>
          <w:p>
            <w:pPr>
              <w:spacing w:after="0"/>
              <w:rPr>
                <w:sz w:val="1"/>
                <w:szCs w:val="1"/>
                <w:color w:val="auto"/>
              </w:rPr>
            </w:pPr>
          </w:p>
        </w:tc>
      </w:tr>
      <w:tr>
        <w:trPr>
          <w:trHeight w:val="194"/>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6060" w:type="dxa"/>
            <w:vAlign w:val="bottom"/>
            <w:tcBorders>
              <w:top w:val="single" w:sz="8" w:color="0000FF"/>
              <w:bottom w:val="single" w:sz="8" w:color="0000FF"/>
            </w:tcBorders>
            <w:gridSpan w:val="13"/>
            <w:shd w:val="clear" w:color="auto" w:fill="CCEEFF"/>
          </w:tcPr>
          <w:p>
            <w:pPr>
              <w:spacing w:after="0" w:line="160" w:lineRule="exact"/>
              <w:rPr>
                <w:rFonts w:ascii="Arial" w:cs="Arial" w:eastAsia="Arial" w:hAnsi="Arial"/>
                <w:sz w:val="18"/>
                <w:szCs w:val="18"/>
                <w:color w:val="0000FF"/>
                <w:w w:val="98"/>
              </w:rPr>
            </w:pPr>
            <w:hyperlink r:id="rId82">
              <w:r>
                <w:rPr>
                  <w:rFonts w:ascii="Arial" w:cs="Arial" w:eastAsia="Arial" w:hAnsi="Arial"/>
                  <w:sz w:val="18"/>
                  <w:szCs w:val="18"/>
                  <w:color w:val="0000FF"/>
                  <w:w w:val="98"/>
                </w:rPr>
                <w:t>SunTrust Bank, Nashville, N.A., as trustee, relating to 7.05% Notes due 2029</w:t>
              </w:r>
            </w:hyperlink>
          </w:p>
        </w:tc>
        <w:tc>
          <w:tcPr>
            <w:tcW w:w="780" w:type="dxa"/>
            <w:vAlign w:val="bottom"/>
            <w:tcBorders>
              <w:top w:val="single" w:sz="8" w:color="0000FF"/>
              <w:bottom w:val="single" w:sz="8" w:color="CCEEFF"/>
              <w:right w:val="single" w:sz="8" w:color="CCEEFF"/>
            </w:tcBorders>
            <w:gridSpan w:val="5"/>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100" w:type="dxa"/>
            <w:vAlign w:val="bottom"/>
            <w:tcBorders>
              <w:top w:val="single" w:sz="8" w:color="CCEEFF"/>
              <w:bottom w:val="single" w:sz="8" w:color="CCEEFF"/>
            </w:tcBorders>
            <w:shd w:val="clear" w:color="auto" w:fill="CCEEFF"/>
          </w:tcPr>
          <w:p>
            <w:pPr>
              <w:ind w:left="40"/>
              <w:spacing w:after="0" w:line="160" w:lineRule="exact"/>
              <w:rPr>
                <w:sz w:val="20"/>
                <w:szCs w:val="20"/>
                <w:color w:val="auto"/>
              </w:rPr>
            </w:pPr>
            <w:r>
              <w:rPr>
                <w:rFonts w:ascii="Arial" w:cs="Arial" w:eastAsia="Arial" w:hAnsi="Arial"/>
                <w:sz w:val="18"/>
                <w:szCs w:val="18"/>
                <w:color w:val="auto"/>
              </w:rPr>
              <w:t>16, 2005</w:t>
            </w:r>
          </w:p>
        </w:tc>
        <w:tc>
          <w:tcPr>
            <w:tcW w:w="0" w:type="dxa"/>
            <w:vAlign w:val="bottom"/>
          </w:tcPr>
          <w:p>
            <w:pPr>
              <w:spacing w:after="0"/>
              <w:rPr>
                <w:sz w:val="1"/>
                <w:szCs w:val="1"/>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5"/>
              </w:rPr>
              <w:t>4.3</w:t>
            </w:r>
          </w:p>
        </w:tc>
        <w:tc>
          <w:tcPr>
            <w:tcW w:w="6980" w:type="dxa"/>
            <w:vAlign w:val="bottom"/>
            <w:gridSpan w:val="20"/>
          </w:tcPr>
          <w:p>
            <w:pPr>
              <w:spacing w:after="0" w:line="174" w:lineRule="exact"/>
              <w:rPr>
                <w:rFonts w:ascii="Arial" w:cs="Arial" w:eastAsia="Arial" w:hAnsi="Arial"/>
                <w:sz w:val="18"/>
                <w:szCs w:val="18"/>
                <w:color w:val="0000FF"/>
              </w:rPr>
            </w:pPr>
            <w:hyperlink r:id="rId83">
              <w:r>
                <w:rPr>
                  <w:rFonts w:ascii="Arial" w:cs="Arial" w:eastAsia="Arial" w:hAnsi="Arial"/>
                  <w:sz w:val="18"/>
                  <w:szCs w:val="18"/>
                  <w:color w:val="0000FF"/>
                </w:rPr>
                <w:t>Indenture dated as of May 18, 2012 between Murphy Oil Corporation and U.S. Bank</w:t>
              </w:r>
            </w:hyperlink>
          </w:p>
        </w:tc>
        <w:tc>
          <w:tcPr>
            <w:tcW w:w="3100" w:type="dxa"/>
            <w:vAlign w:val="bottom"/>
          </w:tcPr>
          <w:p>
            <w:pPr>
              <w:ind w:left="40"/>
              <w:spacing w:after="0" w:line="174" w:lineRule="exact"/>
              <w:rPr>
                <w:sz w:val="20"/>
                <w:szCs w:val="20"/>
                <w:color w:val="auto"/>
              </w:rPr>
            </w:pPr>
            <w:r>
              <w:rPr>
                <w:rFonts w:ascii="Arial" w:cs="Arial" w:eastAsia="Arial" w:hAnsi="Arial"/>
                <w:sz w:val="18"/>
                <w:szCs w:val="18"/>
                <w:color w:val="auto"/>
              </w:rPr>
              <w:t>Exhibit 4.1 to Form 8-K filed May 18,</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6840" w:type="dxa"/>
            <w:vAlign w:val="bottom"/>
            <w:tcBorders>
              <w:top w:val="single" w:sz="8" w:color="0000FF"/>
            </w:tcBorders>
            <w:gridSpan w:val="18"/>
          </w:tcPr>
          <w:p>
            <w:pPr>
              <w:spacing w:after="0" w:line="160" w:lineRule="exact"/>
              <w:rPr>
                <w:rFonts w:ascii="Arial" w:cs="Arial" w:eastAsia="Arial" w:hAnsi="Arial"/>
                <w:sz w:val="18"/>
                <w:szCs w:val="18"/>
                <w:color w:val="0000FF"/>
              </w:rPr>
            </w:pPr>
            <w:hyperlink r:id="rId83">
              <w:r>
                <w:rPr>
                  <w:rFonts w:ascii="Arial" w:cs="Arial" w:eastAsia="Arial" w:hAnsi="Arial"/>
                  <w:sz w:val="18"/>
                  <w:szCs w:val="18"/>
                  <w:color w:val="0000FF"/>
                </w:rPr>
                <w:t>National Association, as trustee</w:t>
              </w:r>
            </w:hyperlink>
          </w:p>
        </w:tc>
        <w:tc>
          <w:tcPr>
            <w:tcW w:w="140" w:type="dxa"/>
            <w:vAlign w:val="bottom"/>
            <w:gridSpan w:val="2"/>
          </w:tcPr>
          <w:p>
            <w:pPr>
              <w:spacing w:after="0"/>
              <w:rPr>
                <w:sz w:val="13"/>
                <w:szCs w:val="13"/>
                <w:color w:val="auto"/>
              </w:rPr>
            </w:pPr>
          </w:p>
        </w:tc>
        <w:tc>
          <w:tcPr>
            <w:tcW w:w="3100" w:type="dxa"/>
            <w:vAlign w:val="bottom"/>
          </w:tcPr>
          <w:p>
            <w:pPr>
              <w:ind w:left="40"/>
              <w:spacing w:after="0" w:line="160"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5"/>
              </w:rPr>
              <w:t>4.4</w:t>
            </w:r>
          </w:p>
        </w:tc>
        <w:tc>
          <w:tcPr>
            <w:tcW w:w="6980" w:type="dxa"/>
            <w:vAlign w:val="bottom"/>
            <w:gridSpan w:val="20"/>
            <w:shd w:val="clear" w:color="auto" w:fill="CCEEFF"/>
          </w:tcPr>
          <w:p>
            <w:pPr>
              <w:spacing w:after="0" w:line="174" w:lineRule="exact"/>
              <w:rPr>
                <w:rFonts w:ascii="Arial" w:cs="Arial" w:eastAsia="Arial" w:hAnsi="Arial"/>
                <w:sz w:val="18"/>
                <w:szCs w:val="18"/>
                <w:color w:val="0000FF"/>
              </w:rPr>
            </w:pPr>
            <w:hyperlink r:id="rId84">
              <w:r>
                <w:rPr>
                  <w:rFonts w:ascii="Arial" w:cs="Arial" w:eastAsia="Arial" w:hAnsi="Arial"/>
                  <w:sz w:val="18"/>
                  <w:szCs w:val="18"/>
                  <w:color w:val="0000FF"/>
                </w:rPr>
                <w:t>Second Supplemental Indenture dated as of November 30, 2012, between Murphy Oil</w:t>
              </w:r>
            </w:hyperlink>
          </w:p>
        </w:tc>
        <w:tc>
          <w:tcPr>
            <w:tcW w:w="310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Exhibit 4.1 to Form 8-K filed</w:t>
            </w:r>
          </w:p>
        </w:tc>
        <w:tc>
          <w:tcPr>
            <w:tcW w:w="0" w:type="dxa"/>
            <w:vAlign w:val="bottom"/>
          </w:tcPr>
          <w:p>
            <w:pPr>
              <w:spacing w:after="0"/>
              <w:rPr>
                <w:sz w:val="1"/>
                <w:szCs w:val="1"/>
                <w:color w:val="auto"/>
              </w:rPr>
            </w:pPr>
          </w:p>
        </w:tc>
      </w:tr>
      <w:tr>
        <w:trPr>
          <w:trHeight w:val="160"/>
        </w:trPr>
        <w:tc>
          <w:tcPr>
            <w:tcW w:w="1160" w:type="dxa"/>
            <w:vAlign w:val="bottom"/>
            <w:tcBorders>
              <w:top w:val="single" w:sz="8" w:color="CCEEFF"/>
            </w:tcBorders>
            <w:shd w:val="clear" w:color="auto" w:fill="CCEEFF"/>
          </w:tcPr>
          <w:p>
            <w:pPr>
              <w:spacing w:after="0"/>
              <w:rPr>
                <w:sz w:val="13"/>
                <w:szCs w:val="13"/>
                <w:color w:val="auto"/>
              </w:rPr>
            </w:pPr>
          </w:p>
        </w:tc>
        <w:tc>
          <w:tcPr>
            <w:tcW w:w="6840" w:type="dxa"/>
            <w:vAlign w:val="bottom"/>
            <w:tcBorders>
              <w:top w:val="single" w:sz="8" w:color="0000FF"/>
              <w:right w:val="single" w:sz="8" w:color="CCEEFF"/>
            </w:tcBorders>
            <w:gridSpan w:val="18"/>
            <w:shd w:val="clear" w:color="auto" w:fill="CCEEFF"/>
          </w:tcPr>
          <w:p>
            <w:pPr>
              <w:spacing w:after="0" w:line="160" w:lineRule="exact"/>
              <w:rPr>
                <w:rFonts w:ascii="Arial" w:cs="Arial" w:eastAsia="Arial" w:hAnsi="Arial"/>
                <w:sz w:val="18"/>
                <w:szCs w:val="18"/>
                <w:color w:val="0000FF"/>
              </w:rPr>
            </w:pPr>
            <w:hyperlink r:id="rId84">
              <w:r>
                <w:rPr>
                  <w:rFonts w:ascii="Arial" w:cs="Arial" w:eastAsia="Arial" w:hAnsi="Arial"/>
                  <w:sz w:val="18"/>
                  <w:szCs w:val="18"/>
                  <w:color w:val="0000FF"/>
                </w:rPr>
                <w:t>Corporation and U.S. Bank National Association, as trustee, relating to 5.125% Notes</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310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8"/>
                <w:szCs w:val="18"/>
                <w:color w:val="auto"/>
              </w:rPr>
              <w:t>November 30, 2012</w:t>
            </w:r>
          </w:p>
        </w:tc>
        <w:tc>
          <w:tcPr>
            <w:tcW w:w="0" w:type="dxa"/>
            <w:vAlign w:val="bottom"/>
          </w:tcPr>
          <w:p>
            <w:pPr>
              <w:spacing w:after="0"/>
              <w:rPr>
                <w:sz w:val="1"/>
                <w:szCs w:val="1"/>
                <w:color w:val="auto"/>
              </w:rPr>
            </w:pPr>
          </w:p>
        </w:tc>
      </w:tr>
      <w:tr>
        <w:trPr>
          <w:trHeight w:val="167"/>
        </w:trPr>
        <w:tc>
          <w:tcPr>
            <w:tcW w:w="1160" w:type="dxa"/>
            <w:vAlign w:val="bottom"/>
            <w:tcBorders>
              <w:top w:val="single" w:sz="8" w:color="CCEEFF"/>
            </w:tcBorders>
            <w:shd w:val="clear" w:color="auto" w:fill="CCEEFF"/>
          </w:tcPr>
          <w:p>
            <w:pPr>
              <w:spacing w:after="0"/>
              <w:rPr>
                <w:sz w:val="14"/>
                <w:szCs w:val="14"/>
                <w:color w:val="auto"/>
              </w:rPr>
            </w:pPr>
          </w:p>
        </w:tc>
        <w:tc>
          <w:tcPr>
            <w:tcW w:w="6840" w:type="dxa"/>
            <w:vAlign w:val="bottom"/>
            <w:tcBorders>
              <w:top w:val="single" w:sz="8" w:color="0000FF"/>
              <w:right w:val="single" w:sz="8" w:color="CCEEFF"/>
            </w:tcBorders>
            <w:gridSpan w:val="18"/>
            <w:shd w:val="clear" w:color="auto" w:fill="CCEEFF"/>
          </w:tcPr>
          <w:p>
            <w:pPr>
              <w:spacing w:after="0" w:line="167" w:lineRule="exact"/>
              <w:rPr>
                <w:rFonts w:ascii="Arial" w:cs="Arial" w:eastAsia="Arial" w:hAnsi="Arial"/>
                <w:sz w:val="18"/>
                <w:szCs w:val="18"/>
                <w:color w:val="0000FF"/>
              </w:rPr>
            </w:pPr>
            <w:hyperlink r:id="rId84">
              <w:r>
                <w:rPr>
                  <w:rFonts w:ascii="Arial" w:cs="Arial" w:eastAsia="Arial" w:hAnsi="Arial"/>
                  <w:sz w:val="18"/>
                  <w:szCs w:val="18"/>
                  <w:color w:val="0000FF"/>
                </w:rPr>
                <w:t>due 2042</w:t>
              </w:r>
            </w:hyperlink>
          </w:p>
        </w:tc>
        <w:tc>
          <w:tcPr>
            <w:tcW w:w="140" w:type="dxa"/>
            <w:vAlign w:val="bottom"/>
            <w:tcBorders>
              <w:top w:val="single" w:sz="8" w:color="CCEEFF"/>
            </w:tcBorders>
            <w:gridSpan w:val="2"/>
            <w:shd w:val="clear" w:color="auto" w:fill="CCEEFF"/>
          </w:tcPr>
          <w:p>
            <w:pPr>
              <w:spacing w:after="0"/>
              <w:rPr>
                <w:sz w:val="14"/>
                <w:szCs w:val="14"/>
                <w:color w:val="auto"/>
              </w:rPr>
            </w:pPr>
          </w:p>
        </w:tc>
        <w:tc>
          <w:tcPr>
            <w:tcW w:w="3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5"/>
              </w:rPr>
              <w:t>4.5</w:t>
            </w:r>
          </w:p>
        </w:tc>
        <w:tc>
          <w:tcPr>
            <w:tcW w:w="6980" w:type="dxa"/>
            <w:vAlign w:val="bottom"/>
            <w:gridSpan w:val="20"/>
          </w:tcPr>
          <w:p>
            <w:pPr>
              <w:spacing w:after="0" w:line="174" w:lineRule="exact"/>
              <w:rPr>
                <w:rFonts w:ascii="Arial" w:cs="Arial" w:eastAsia="Arial" w:hAnsi="Arial"/>
                <w:sz w:val="18"/>
                <w:szCs w:val="18"/>
                <w:color w:val="0000FF"/>
              </w:rPr>
            </w:pPr>
            <w:hyperlink r:id="rId85">
              <w:r>
                <w:rPr>
                  <w:rFonts w:ascii="Arial" w:cs="Arial" w:eastAsia="Arial" w:hAnsi="Arial"/>
                  <w:sz w:val="18"/>
                  <w:szCs w:val="18"/>
                  <w:color w:val="0000FF"/>
                </w:rPr>
                <w:t>Fifth Supplemental Indenture dated as of November 27, 2019, between Murphy Oil</w:t>
              </w:r>
            </w:hyperlink>
          </w:p>
        </w:tc>
        <w:tc>
          <w:tcPr>
            <w:tcW w:w="3100" w:type="dxa"/>
            <w:vAlign w:val="bottom"/>
          </w:tcPr>
          <w:p>
            <w:pPr>
              <w:ind w:left="40"/>
              <w:spacing w:after="0" w:line="174" w:lineRule="exact"/>
              <w:rPr>
                <w:sz w:val="20"/>
                <w:szCs w:val="20"/>
                <w:color w:val="auto"/>
              </w:rPr>
            </w:pPr>
            <w:r>
              <w:rPr>
                <w:rFonts w:ascii="Arial" w:cs="Arial" w:eastAsia="Arial" w:hAnsi="Arial"/>
                <w:sz w:val="18"/>
                <w:szCs w:val="18"/>
                <w:color w:val="auto"/>
              </w:rPr>
              <w:t>Exhibit 4.2 to Form 8-K filed</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8"/>
          </w:tcPr>
          <w:p>
            <w:pPr>
              <w:spacing w:after="0" w:line="160" w:lineRule="exact"/>
              <w:rPr>
                <w:rFonts w:ascii="Arial" w:cs="Arial" w:eastAsia="Arial" w:hAnsi="Arial"/>
                <w:sz w:val="18"/>
                <w:szCs w:val="18"/>
                <w:color w:val="0000FF"/>
              </w:rPr>
            </w:pPr>
            <w:hyperlink r:id="rId85">
              <w:r>
                <w:rPr>
                  <w:rFonts w:ascii="Arial" w:cs="Arial" w:eastAsia="Arial" w:hAnsi="Arial"/>
                  <w:sz w:val="18"/>
                  <w:szCs w:val="18"/>
                  <w:color w:val="0000FF"/>
                </w:rPr>
                <w:t>Corporation and U.S. Bank National Association, as trustee, and Wells Fargo Bank,</w:t>
              </w:r>
            </w:hyperlink>
          </w:p>
        </w:tc>
        <w:tc>
          <w:tcPr>
            <w:tcW w:w="140" w:type="dxa"/>
            <w:vAlign w:val="bottom"/>
            <w:gridSpan w:val="2"/>
          </w:tcPr>
          <w:p>
            <w:pPr>
              <w:spacing w:after="0"/>
              <w:rPr>
                <w:sz w:val="13"/>
                <w:szCs w:val="13"/>
                <w:color w:val="auto"/>
              </w:rPr>
            </w:pPr>
          </w:p>
        </w:tc>
        <w:tc>
          <w:tcPr>
            <w:tcW w:w="3100" w:type="dxa"/>
            <w:vAlign w:val="bottom"/>
          </w:tcPr>
          <w:p>
            <w:pPr>
              <w:ind w:left="40"/>
              <w:spacing w:after="0" w:line="160" w:lineRule="exact"/>
              <w:rPr>
                <w:sz w:val="20"/>
                <w:szCs w:val="20"/>
                <w:color w:val="auto"/>
              </w:rPr>
            </w:pPr>
            <w:r>
              <w:rPr>
                <w:rFonts w:ascii="Arial" w:cs="Arial" w:eastAsia="Arial" w:hAnsi="Arial"/>
                <w:sz w:val="18"/>
                <w:szCs w:val="18"/>
                <w:color w:val="auto"/>
              </w:rPr>
              <w:t>November 27, 2019</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840" w:type="dxa"/>
            <w:vAlign w:val="bottom"/>
            <w:gridSpan w:val="18"/>
          </w:tcPr>
          <w:p>
            <w:pPr>
              <w:spacing w:after="0" w:line="167" w:lineRule="exact"/>
              <w:rPr>
                <w:rFonts w:ascii="Arial" w:cs="Arial" w:eastAsia="Arial" w:hAnsi="Arial"/>
                <w:sz w:val="18"/>
                <w:szCs w:val="18"/>
                <w:color w:val="0000FF"/>
              </w:rPr>
            </w:pPr>
            <w:hyperlink r:id="rId85">
              <w:r>
                <w:rPr>
                  <w:rFonts w:ascii="Arial" w:cs="Arial" w:eastAsia="Arial" w:hAnsi="Arial"/>
                  <w:sz w:val="18"/>
                  <w:szCs w:val="18"/>
                  <w:color w:val="0000FF"/>
                </w:rPr>
                <w:t>National Association, as series trustee, relating to 5.875% Notes due 2027</w:t>
              </w:r>
            </w:hyperlink>
          </w:p>
        </w:tc>
        <w:tc>
          <w:tcPr>
            <w:tcW w:w="140" w:type="dxa"/>
            <w:vAlign w:val="bottom"/>
            <w:gridSpan w:val="2"/>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5"/>
              </w:rPr>
              <w:t>4.6</w:t>
            </w:r>
          </w:p>
        </w:tc>
        <w:tc>
          <w:tcPr>
            <w:tcW w:w="6980" w:type="dxa"/>
            <w:vAlign w:val="bottom"/>
            <w:gridSpan w:val="20"/>
            <w:shd w:val="clear" w:color="auto" w:fill="CCEEFF"/>
          </w:tcPr>
          <w:p>
            <w:pPr>
              <w:spacing w:after="0" w:line="174" w:lineRule="exact"/>
              <w:rPr>
                <w:rFonts w:ascii="Arial" w:cs="Arial" w:eastAsia="Arial" w:hAnsi="Arial"/>
                <w:sz w:val="18"/>
                <w:szCs w:val="18"/>
                <w:color w:val="0000FF"/>
              </w:rPr>
            </w:pPr>
            <w:hyperlink r:id="rId86">
              <w:r>
                <w:rPr>
                  <w:rFonts w:ascii="Arial" w:cs="Arial" w:eastAsia="Arial" w:hAnsi="Arial"/>
                  <w:sz w:val="18"/>
                  <w:szCs w:val="18"/>
                  <w:color w:val="0000FF"/>
                </w:rPr>
                <w:t>Description of Securities Registered Pursuant to Section 12 of the Securities Exchange</w:t>
              </w:r>
            </w:hyperlink>
          </w:p>
        </w:tc>
        <w:tc>
          <w:tcPr>
            <w:tcW w:w="310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Exhibit 4.9 to Form 10-K filed</w:t>
            </w:r>
          </w:p>
        </w:tc>
        <w:tc>
          <w:tcPr>
            <w:tcW w:w="0" w:type="dxa"/>
            <w:vAlign w:val="bottom"/>
          </w:tcPr>
          <w:p>
            <w:pPr>
              <w:spacing w:after="0"/>
              <w:rPr>
                <w:sz w:val="1"/>
                <w:szCs w:val="1"/>
                <w:color w:val="auto"/>
              </w:rPr>
            </w:pPr>
          </w:p>
        </w:tc>
      </w:tr>
      <w:tr>
        <w:trPr>
          <w:trHeight w:val="160"/>
        </w:trPr>
        <w:tc>
          <w:tcPr>
            <w:tcW w:w="1160" w:type="dxa"/>
            <w:vAlign w:val="bottom"/>
            <w:tcBorders>
              <w:top w:val="single" w:sz="8" w:color="CCEEFF"/>
            </w:tcBorders>
            <w:shd w:val="clear" w:color="auto" w:fill="CCEEFF"/>
          </w:tcPr>
          <w:p>
            <w:pPr>
              <w:spacing w:after="0"/>
              <w:rPr>
                <w:sz w:val="13"/>
                <w:szCs w:val="13"/>
                <w:color w:val="auto"/>
              </w:rPr>
            </w:pPr>
          </w:p>
        </w:tc>
        <w:tc>
          <w:tcPr>
            <w:tcW w:w="6840" w:type="dxa"/>
            <w:vAlign w:val="bottom"/>
            <w:tcBorders>
              <w:top w:val="single" w:sz="8" w:color="0000FF"/>
              <w:right w:val="single" w:sz="8" w:color="CCEEFF"/>
            </w:tcBorders>
            <w:gridSpan w:val="18"/>
            <w:shd w:val="clear" w:color="auto" w:fill="CCEEFF"/>
          </w:tcPr>
          <w:p>
            <w:pPr>
              <w:spacing w:after="0" w:line="160" w:lineRule="exact"/>
              <w:rPr>
                <w:rFonts w:ascii="Arial" w:cs="Arial" w:eastAsia="Arial" w:hAnsi="Arial"/>
                <w:sz w:val="18"/>
                <w:szCs w:val="18"/>
                <w:color w:val="0000FF"/>
              </w:rPr>
            </w:pPr>
            <w:hyperlink r:id="rId86">
              <w:r>
                <w:rPr>
                  <w:rFonts w:ascii="Arial" w:cs="Arial" w:eastAsia="Arial" w:hAnsi="Arial"/>
                  <w:sz w:val="18"/>
                  <w:szCs w:val="18"/>
                  <w:color w:val="0000FF"/>
                </w:rPr>
                <w:t>Act of 1934</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310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33"/>
        </w:trPr>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5"/>
              </w:rPr>
              <w:t>4.7</w:t>
            </w:r>
          </w:p>
        </w:tc>
        <w:tc>
          <w:tcPr>
            <w:tcW w:w="6980" w:type="dxa"/>
            <w:vAlign w:val="bottom"/>
            <w:gridSpan w:val="20"/>
          </w:tcPr>
          <w:p>
            <w:pPr>
              <w:spacing w:after="0" w:line="174" w:lineRule="exact"/>
              <w:rPr>
                <w:rFonts w:ascii="Arial" w:cs="Arial" w:eastAsia="Arial" w:hAnsi="Arial"/>
                <w:sz w:val="18"/>
                <w:szCs w:val="18"/>
                <w:color w:val="0000FF"/>
              </w:rPr>
            </w:pPr>
            <w:hyperlink r:id="rId87">
              <w:r>
                <w:rPr>
                  <w:rFonts w:ascii="Arial" w:cs="Arial" w:eastAsia="Arial" w:hAnsi="Arial"/>
                  <w:sz w:val="18"/>
                  <w:szCs w:val="18"/>
                  <w:color w:val="0000FF"/>
                </w:rPr>
                <w:t>Sixth Supplemental Indenture dated as of March 5, 2021, between Murphy Oil</w:t>
              </w:r>
            </w:hyperlink>
          </w:p>
        </w:tc>
        <w:tc>
          <w:tcPr>
            <w:tcW w:w="3100" w:type="dxa"/>
            <w:vAlign w:val="bottom"/>
          </w:tcPr>
          <w:p>
            <w:pPr>
              <w:ind w:left="40"/>
              <w:spacing w:after="0" w:line="174" w:lineRule="exact"/>
              <w:rPr>
                <w:sz w:val="20"/>
                <w:szCs w:val="20"/>
                <w:color w:val="auto"/>
              </w:rPr>
            </w:pPr>
            <w:r>
              <w:rPr>
                <w:rFonts w:ascii="Arial" w:cs="Arial" w:eastAsia="Arial" w:hAnsi="Arial"/>
                <w:sz w:val="18"/>
                <w:szCs w:val="18"/>
                <w:color w:val="auto"/>
              </w:rPr>
              <w:t>Exhibit 4.2 to Form 8-K filed March 5,</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6140" w:type="dxa"/>
            <w:vAlign w:val="bottom"/>
            <w:tcBorders>
              <w:top w:val="single" w:sz="8" w:color="0000FF"/>
            </w:tcBorders>
            <w:gridSpan w:val="14"/>
          </w:tcPr>
          <w:p>
            <w:pPr>
              <w:spacing w:after="0" w:line="160"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Corporation and U.S. Bank National Association, as trustee, and Wells Fargo</w:t>
              </w:r>
            </w:hyperlink>
          </w:p>
        </w:tc>
        <w:tc>
          <w:tcPr>
            <w:tcW w:w="840" w:type="dxa"/>
            <w:vAlign w:val="bottom"/>
            <w:gridSpan w:val="6"/>
          </w:tcPr>
          <w:p>
            <w:pPr>
              <w:spacing w:after="0" w:line="160" w:lineRule="exact"/>
              <w:rPr>
                <w:rFonts w:ascii="Arial" w:cs="Arial" w:eastAsia="Arial" w:hAnsi="Arial"/>
                <w:sz w:val="18"/>
                <w:szCs w:val="18"/>
                <w:color w:val="0000FF"/>
              </w:rPr>
            </w:pPr>
            <w:hyperlink r:id="rId87">
              <w:r>
                <w:rPr>
                  <w:rFonts w:ascii="Arial" w:cs="Arial" w:eastAsia="Arial" w:hAnsi="Arial"/>
                  <w:sz w:val="18"/>
                  <w:szCs w:val="18"/>
                  <w:color w:val="0000FF"/>
                </w:rPr>
                <w:t>Bank,</w:t>
              </w:r>
            </w:hyperlink>
          </w:p>
        </w:tc>
        <w:tc>
          <w:tcPr>
            <w:tcW w:w="3100" w:type="dxa"/>
            <w:vAlign w:val="bottom"/>
          </w:tcPr>
          <w:p>
            <w:pPr>
              <w:ind w:left="40"/>
              <w:spacing w:after="0" w:line="160"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6840" w:type="dxa"/>
            <w:vAlign w:val="bottom"/>
            <w:tcBorders>
              <w:top w:val="single" w:sz="8" w:color="0000FF"/>
            </w:tcBorders>
            <w:gridSpan w:val="18"/>
          </w:tcPr>
          <w:p>
            <w:pPr>
              <w:spacing w:after="0" w:line="167" w:lineRule="exact"/>
              <w:rPr>
                <w:rFonts w:ascii="Arial" w:cs="Arial" w:eastAsia="Arial" w:hAnsi="Arial"/>
                <w:sz w:val="18"/>
                <w:szCs w:val="18"/>
                <w:color w:val="0000FF"/>
              </w:rPr>
            </w:pPr>
            <w:hyperlink r:id="rId87">
              <w:r>
                <w:rPr>
                  <w:rFonts w:ascii="Arial" w:cs="Arial" w:eastAsia="Arial" w:hAnsi="Arial"/>
                  <w:sz w:val="18"/>
                  <w:szCs w:val="18"/>
                  <w:color w:val="0000FF"/>
                </w:rPr>
                <w:t>National Association as series trustee, relating to 6.375% Notes due 2028</w:t>
              </w:r>
            </w:hyperlink>
          </w:p>
        </w:tc>
        <w:tc>
          <w:tcPr>
            <w:tcW w:w="140" w:type="dxa"/>
            <w:vAlign w:val="bottom"/>
            <w:gridSpan w:val="2"/>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5"/>
              </w:rPr>
              <w:t>4.8</w:t>
            </w:r>
          </w:p>
        </w:tc>
        <w:tc>
          <w:tcPr>
            <w:tcW w:w="6980" w:type="dxa"/>
            <w:vAlign w:val="bottom"/>
            <w:gridSpan w:val="20"/>
            <w:shd w:val="clear" w:color="auto" w:fill="CCEEFF"/>
          </w:tcPr>
          <w:p>
            <w:pPr>
              <w:spacing w:after="0" w:line="174" w:lineRule="exact"/>
              <w:rPr>
                <w:rFonts w:ascii="Arial" w:cs="Arial" w:eastAsia="Arial" w:hAnsi="Arial"/>
                <w:sz w:val="18"/>
                <w:szCs w:val="18"/>
                <w:color w:val="0000FF"/>
              </w:rPr>
            </w:pPr>
            <w:hyperlink r:id="rId88">
              <w:r>
                <w:rPr>
                  <w:rFonts w:ascii="Arial" w:cs="Arial" w:eastAsia="Arial" w:hAnsi="Arial"/>
                  <w:sz w:val="18"/>
                  <w:szCs w:val="18"/>
                  <w:color w:val="0000FF"/>
                </w:rPr>
                <w:t>Seventh Supplemental Indenture date</w:t>
              </w:r>
              <w:r>
                <w:rPr>
                  <w:rFonts w:ascii="Arial" w:cs="Arial" w:eastAsia="Arial" w:hAnsi="Arial"/>
                  <w:sz w:val="18"/>
                  <w:szCs w:val="18"/>
                  <w:color w:val="000000"/>
                </w:rPr>
                <w:t>d</w:t>
              </w:r>
              <w:r>
                <w:rPr>
                  <w:rFonts w:ascii="Arial" w:cs="Arial" w:eastAsia="Arial" w:hAnsi="Arial"/>
                  <w:sz w:val="18"/>
                  <w:szCs w:val="18"/>
                  <w:color w:val="0000FF"/>
                </w:rPr>
                <w:t xml:space="preserve"> as of October 3, 2024,between Murphy Oil</w:t>
              </w:r>
            </w:hyperlink>
          </w:p>
        </w:tc>
        <w:tc>
          <w:tcPr>
            <w:tcW w:w="3100" w:type="dxa"/>
            <w:vAlign w:val="bottom"/>
            <w:shd w:val="clear" w:color="auto" w:fill="CCEEFF"/>
          </w:tcPr>
          <w:p>
            <w:pPr>
              <w:ind w:left="40"/>
              <w:spacing w:after="0" w:line="174" w:lineRule="exact"/>
              <w:rPr>
                <w:sz w:val="20"/>
                <w:szCs w:val="20"/>
                <w:color w:val="auto"/>
              </w:rPr>
            </w:pPr>
            <w:r>
              <w:rPr>
                <w:rFonts w:ascii="Arial" w:cs="Arial" w:eastAsia="Arial" w:hAnsi="Arial"/>
                <w:sz w:val="18"/>
                <w:szCs w:val="18"/>
                <w:color w:val="auto"/>
              </w:rPr>
              <w:t>Exhibit 4.2 to Form 8-K filed October</w:t>
            </w: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2980" w:type="dxa"/>
            <w:vAlign w:val="bottom"/>
            <w:gridSpan w:val="6"/>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500" w:type="dxa"/>
            <w:vAlign w:val="bottom"/>
            <w:gridSpan w:val="2"/>
            <w:shd w:val="clear" w:color="auto" w:fill="0000FF"/>
          </w:tcPr>
          <w:p>
            <w:pPr>
              <w:spacing w:after="0"/>
              <w:rPr>
                <w:sz w:val="2"/>
                <w:szCs w:val="2"/>
                <w:color w:val="auto"/>
              </w:rPr>
            </w:pPr>
          </w:p>
        </w:tc>
        <w:tc>
          <w:tcPr>
            <w:tcW w:w="300" w:type="dxa"/>
            <w:vAlign w:val="bottom"/>
            <w:gridSpan w:val="3"/>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500" w:type="dxa"/>
            <w:vAlign w:val="bottom"/>
            <w:gridSpan w:val="3"/>
            <w:shd w:val="clear" w:color="auto" w:fill="CCEEFF"/>
          </w:tcPr>
          <w:p>
            <w:pPr>
              <w:spacing w:after="0"/>
              <w:rPr>
                <w:sz w:val="2"/>
                <w:szCs w:val="2"/>
                <w:color w:val="auto"/>
              </w:rPr>
            </w:pPr>
          </w:p>
        </w:tc>
        <w:tc>
          <w:tcPr>
            <w:tcW w:w="3100" w:type="dxa"/>
            <w:vAlign w:val="bottom"/>
            <w:vMerge w:val="restart"/>
            <w:shd w:val="clear" w:color="auto" w:fill="CCEEFF"/>
          </w:tcPr>
          <w:p>
            <w:pPr>
              <w:ind w:left="40"/>
              <w:spacing w:after="0" w:line="187" w:lineRule="exact"/>
              <w:rPr>
                <w:sz w:val="20"/>
                <w:szCs w:val="20"/>
                <w:color w:val="auto"/>
              </w:rPr>
            </w:pPr>
            <w:r>
              <w:rPr>
                <w:rFonts w:ascii="Arial" w:cs="Arial" w:eastAsia="Arial" w:hAnsi="Arial"/>
                <w:sz w:val="18"/>
                <w:szCs w:val="18"/>
                <w:color w:val="auto"/>
              </w:rPr>
              <w:t>3, 2024</w:t>
            </w:r>
          </w:p>
        </w:tc>
        <w:tc>
          <w:tcPr>
            <w:tcW w:w="0" w:type="dxa"/>
            <w:vAlign w:val="bottom"/>
          </w:tcPr>
          <w:p>
            <w:pPr>
              <w:spacing w:after="0" w:line="20" w:lineRule="exact"/>
              <w:rPr>
                <w:sz w:val="1"/>
                <w:szCs w:val="1"/>
                <w:color w:val="auto"/>
              </w:rPr>
            </w:pPr>
          </w:p>
        </w:tc>
      </w:tr>
      <w:tr>
        <w:trPr>
          <w:trHeight w:val="194"/>
        </w:trPr>
        <w:tc>
          <w:tcPr>
            <w:tcW w:w="1160" w:type="dxa"/>
            <w:vAlign w:val="bottom"/>
            <w:tcBorders>
              <w:bottom w:val="single" w:sz="8" w:color="CCEEFF"/>
            </w:tcBorders>
            <w:shd w:val="clear" w:color="auto" w:fill="CCEEFF"/>
          </w:tcPr>
          <w:p>
            <w:pPr>
              <w:spacing w:after="0"/>
              <w:rPr>
                <w:sz w:val="16"/>
                <w:szCs w:val="16"/>
                <w:color w:val="auto"/>
              </w:rPr>
            </w:pPr>
          </w:p>
        </w:tc>
        <w:tc>
          <w:tcPr>
            <w:tcW w:w="6160" w:type="dxa"/>
            <w:vAlign w:val="bottom"/>
            <w:tcBorders>
              <w:bottom w:val="single" w:sz="8" w:color="0000FF"/>
            </w:tcBorders>
            <w:gridSpan w:val="15"/>
            <w:shd w:val="clear" w:color="auto" w:fill="CCEEFF"/>
          </w:tcPr>
          <w:p>
            <w:pPr>
              <w:spacing w:after="0" w:line="160" w:lineRule="exact"/>
              <w:rPr>
                <w:rFonts w:ascii="Arial" w:cs="Arial" w:eastAsia="Arial" w:hAnsi="Arial"/>
                <w:sz w:val="18"/>
                <w:szCs w:val="18"/>
                <w:color w:val="0000FF"/>
                <w:w w:val="98"/>
              </w:rPr>
            </w:pPr>
            <w:hyperlink r:id="rId88">
              <w:r>
                <w:rPr>
                  <w:rFonts w:ascii="Arial" w:cs="Arial" w:eastAsia="Arial" w:hAnsi="Arial"/>
                  <w:sz w:val="18"/>
                  <w:szCs w:val="18"/>
                  <w:color w:val="0000FF"/>
                  <w:w w:val="98"/>
                </w:rPr>
                <w:t>Corporation and Regions Bank, as trustee, relating to 6.000% Notes due 2032</w:t>
              </w:r>
            </w:hyperlink>
          </w:p>
        </w:tc>
        <w:tc>
          <w:tcPr>
            <w:tcW w:w="820" w:type="dxa"/>
            <w:vAlign w:val="bottom"/>
            <w:tcBorders>
              <w:bottom w:val="single" w:sz="8" w:color="CCEEFF"/>
            </w:tcBorders>
            <w:gridSpan w:val="5"/>
            <w:shd w:val="clear" w:color="auto" w:fill="CCEEFF"/>
          </w:tcPr>
          <w:p>
            <w:pPr>
              <w:spacing w:after="0"/>
              <w:rPr>
                <w:sz w:val="16"/>
                <w:szCs w:val="16"/>
                <w:color w:val="auto"/>
              </w:rPr>
            </w:pPr>
          </w:p>
        </w:tc>
        <w:tc>
          <w:tcPr>
            <w:tcW w:w="31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6"/>
              </w:rPr>
              <w:t>10.1</w:t>
            </w:r>
          </w:p>
        </w:tc>
        <w:tc>
          <w:tcPr>
            <w:tcW w:w="6980" w:type="dxa"/>
            <w:vAlign w:val="bottom"/>
            <w:gridSpan w:val="20"/>
          </w:tcPr>
          <w:p>
            <w:pPr>
              <w:spacing w:after="0" w:line="174" w:lineRule="exact"/>
              <w:rPr>
                <w:rFonts w:ascii="Arial" w:cs="Arial" w:eastAsia="Arial" w:hAnsi="Arial"/>
                <w:sz w:val="18"/>
                <w:szCs w:val="18"/>
                <w:color w:val="0000FF"/>
              </w:rPr>
            </w:pPr>
            <w:hyperlink r:id="rId89">
              <w:r>
                <w:rPr>
                  <w:rFonts w:ascii="Arial" w:cs="Arial" w:eastAsia="Arial" w:hAnsi="Arial"/>
                  <w:sz w:val="18"/>
                  <w:szCs w:val="18"/>
                  <w:color w:val="0000FF"/>
                </w:rPr>
                <w:t>Murphy Oil Corporation Annual Incentive Plan</w:t>
              </w:r>
            </w:hyperlink>
          </w:p>
        </w:tc>
        <w:tc>
          <w:tcPr>
            <w:tcW w:w="3100" w:type="dxa"/>
            <w:vAlign w:val="bottom"/>
          </w:tcPr>
          <w:p>
            <w:pPr>
              <w:ind w:left="40"/>
              <w:spacing w:after="0" w:line="174" w:lineRule="exact"/>
              <w:rPr>
                <w:sz w:val="20"/>
                <w:szCs w:val="20"/>
                <w:color w:val="auto"/>
              </w:rPr>
            </w:pPr>
            <w:r>
              <w:rPr>
                <w:rFonts w:ascii="Arial" w:cs="Arial" w:eastAsia="Arial" w:hAnsi="Arial"/>
                <w:sz w:val="18"/>
                <w:szCs w:val="18"/>
                <w:color w:val="auto"/>
              </w:rPr>
              <w:t>Exhibit 10.3 to Form 10-K filed</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1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ind w:left="40"/>
              <w:spacing w:after="0"/>
              <w:rPr>
                <w:sz w:val="20"/>
                <w:szCs w:val="20"/>
                <w:color w:val="auto"/>
              </w:rPr>
            </w:pPr>
            <w:r>
              <w:rPr>
                <w:rFonts w:ascii="Arial" w:cs="Arial" w:eastAsia="Arial" w:hAnsi="Arial"/>
                <w:sz w:val="18"/>
                <w:szCs w:val="18"/>
                <w:color w:val="auto"/>
              </w:rPr>
              <w:t>February 25, 2022</w:t>
            </w:r>
          </w:p>
        </w:tc>
        <w:tc>
          <w:tcPr>
            <w:tcW w:w="0" w:type="dxa"/>
            <w:vAlign w:val="bottom"/>
          </w:tcPr>
          <w:p>
            <w:pPr>
              <w:spacing w:after="0"/>
              <w:rPr>
                <w:sz w:val="1"/>
                <w:szCs w:val="1"/>
                <w:color w:val="auto"/>
              </w:rPr>
            </w:pPr>
          </w:p>
        </w:tc>
      </w:tr>
      <w:tr>
        <w:trPr>
          <w:trHeight w:val="184"/>
        </w:trPr>
        <w:tc>
          <w:tcPr>
            <w:tcW w:w="11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6"/>
              </w:rPr>
              <w:t>10.2</w:t>
            </w:r>
          </w:p>
        </w:tc>
        <w:tc>
          <w:tcPr>
            <w:tcW w:w="6980" w:type="dxa"/>
            <w:vAlign w:val="bottom"/>
            <w:gridSpan w:val="20"/>
            <w:shd w:val="clear" w:color="auto" w:fill="CCEEFF"/>
          </w:tcPr>
          <w:p>
            <w:pPr>
              <w:spacing w:after="0" w:line="177" w:lineRule="exact"/>
              <w:rPr>
                <w:rFonts w:ascii="Arial" w:cs="Arial" w:eastAsia="Arial" w:hAnsi="Arial"/>
                <w:sz w:val="18"/>
                <w:szCs w:val="18"/>
                <w:color w:val="0000FF"/>
              </w:rPr>
            </w:pPr>
            <w:hyperlink r:id="rId90">
              <w:r>
                <w:rPr>
                  <w:rFonts w:ascii="Arial" w:cs="Arial" w:eastAsia="Arial" w:hAnsi="Arial"/>
                  <w:sz w:val="18"/>
                  <w:szCs w:val="18"/>
                  <w:color w:val="0000FF"/>
                </w:rPr>
                <w:t>Murphy Oil Corporation 2018 Long-Term Incentive Plan</w:t>
              </w:r>
            </w:hyperlink>
          </w:p>
        </w:tc>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8"/>
                <w:szCs w:val="18"/>
                <w:color w:val="auto"/>
              </w:rPr>
              <w:t>Exhibit B to definitive proxy statement</w:t>
            </w:r>
          </w:p>
        </w:tc>
        <w:tc>
          <w:tcPr>
            <w:tcW w:w="0" w:type="dxa"/>
            <w:vAlign w:val="bottom"/>
          </w:tcPr>
          <w:p>
            <w:pPr>
              <w:spacing w:after="0"/>
              <w:rPr>
                <w:sz w:val="1"/>
                <w:szCs w:val="1"/>
                <w:color w:val="auto"/>
              </w:rPr>
            </w:pPr>
          </w:p>
        </w:tc>
      </w:tr>
      <w:tr>
        <w:trPr>
          <w:trHeight w:val="214"/>
        </w:trPr>
        <w:tc>
          <w:tcPr>
            <w:tcW w:w="1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114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filed March 23, 2018</w:t>
            </w:r>
          </w:p>
        </w:tc>
        <w:tc>
          <w:tcPr>
            <w:tcW w:w="0" w:type="dxa"/>
            <w:vAlign w:val="bottom"/>
          </w:tcPr>
          <w:p>
            <w:pPr>
              <w:spacing w:after="0"/>
              <w:rPr>
                <w:sz w:val="1"/>
                <w:szCs w:val="1"/>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6"/>
              </w:rPr>
              <w:t>10.3</w:t>
            </w:r>
          </w:p>
        </w:tc>
        <w:tc>
          <w:tcPr>
            <w:tcW w:w="6980" w:type="dxa"/>
            <w:vAlign w:val="bottom"/>
            <w:gridSpan w:val="20"/>
          </w:tcPr>
          <w:p>
            <w:pPr>
              <w:spacing w:after="0" w:line="174" w:lineRule="exact"/>
              <w:rPr>
                <w:rFonts w:ascii="Arial" w:cs="Arial" w:eastAsia="Arial" w:hAnsi="Arial"/>
                <w:sz w:val="18"/>
                <w:szCs w:val="18"/>
                <w:color w:val="0000FF"/>
              </w:rPr>
            </w:pPr>
            <w:hyperlink r:id="rId91">
              <w:r>
                <w:rPr>
                  <w:rFonts w:ascii="Arial" w:cs="Arial" w:eastAsia="Arial" w:hAnsi="Arial"/>
                  <w:sz w:val="18"/>
                  <w:szCs w:val="18"/>
                  <w:color w:val="0000FF"/>
                </w:rPr>
                <w:t>Amendment to the Murphy Oil Corporation 2018 Long-Term Incentive Plan</w:t>
              </w:r>
            </w:hyperlink>
          </w:p>
        </w:tc>
        <w:tc>
          <w:tcPr>
            <w:tcW w:w="3100" w:type="dxa"/>
            <w:vAlign w:val="bottom"/>
          </w:tcPr>
          <w:p>
            <w:pPr>
              <w:ind w:left="40"/>
              <w:spacing w:after="0" w:line="174" w:lineRule="exact"/>
              <w:rPr>
                <w:sz w:val="20"/>
                <w:szCs w:val="20"/>
                <w:color w:val="auto"/>
              </w:rPr>
            </w:pPr>
            <w:r>
              <w:rPr>
                <w:rFonts w:ascii="Arial" w:cs="Arial" w:eastAsia="Arial" w:hAnsi="Arial"/>
                <w:sz w:val="18"/>
                <w:szCs w:val="18"/>
                <w:color w:val="auto"/>
              </w:rPr>
              <w:t>Exhibit 10.15 to Form 10-K filed</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5800" w:type="dxa"/>
            <w:vAlign w:val="bottom"/>
            <w:tcBorders>
              <w:top w:val="single" w:sz="8" w:color="0000FF"/>
            </w:tcBorders>
            <w:gridSpan w:val="11"/>
            <w:vMerge w:val="restart"/>
          </w:tcPr>
          <w:p>
            <w:pPr>
              <w:ind w:left="4360"/>
              <w:spacing w:after="0"/>
              <w:rPr>
                <w:sz w:val="20"/>
                <w:szCs w:val="20"/>
                <w:color w:val="auto"/>
              </w:rPr>
            </w:pPr>
            <w:r>
              <w:rPr>
                <w:rFonts w:ascii="Arial" w:cs="Arial" w:eastAsia="Arial" w:hAnsi="Arial"/>
                <w:sz w:val="18"/>
                <w:szCs w:val="18"/>
                <w:color w:val="auto"/>
              </w:rPr>
              <w:t>58</w:t>
            </w:r>
          </w:p>
        </w:tc>
        <w:tc>
          <w:tcPr>
            <w:tcW w:w="6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00" w:type="dxa"/>
            <w:vAlign w:val="bottom"/>
          </w:tcPr>
          <w:p>
            <w:pPr>
              <w:ind w:left="4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4"/>
                <w:szCs w:val="24"/>
                <w:color w:val="auto"/>
              </w:rPr>
            </w:pPr>
          </w:p>
        </w:tc>
        <w:tc>
          <w:tcPr>
            <w:tcW w:w="5800" w:type="dxa"/>
            <w:vAlign w:val="bottom"/>
            <w:gridSpan w:val="11"/>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10.4</w:t>
            </w:r>
          </w:p>
        </w:tc>
        <w:tc>
          <w:tcPr>
            <w:tcW w:w="6920" w:type="dxa"/>
            <w:vAlign w:val="bottom"/>
            <w:gridSpan w:val="21"/>
            <w:shd w:val="clear" w:color="auto" w:fill="CCEEFF"/>
          </w:tcPr>
          <w:p>
            <w:pPr>
              <w:spacing w:after="0"/>
              <w:rPr>
                <w:rFonts w:ascii="Arial" w:cs="Arial" w:eastAsia="Arial" w:hAnsi="Arial"/>
                <w:sz w:val="18"/>
                <w:szCs w:val="18"/>
                <w:color w:val="0000FF"/>
              </w:rPr>
            </w:pPr>
            <w:hyperlink r:id="rId94">
              <w:r>
                <w:rPr>
                  <w:rFonts w:ascii="Arial" w:cs="Arial" w:eastAsia="Arial" w:hAnsi="Arial"/>
                  <w:sz w:val="18"/>
                  <w:szCs w:val="18"/>
                  <w:color w:val="0000FF"/>
                </w:rPr>
                <w:t>Form of employee performance-based restricted stock unit – stock settled grant</w:t>
              </w:r>
            </w:hyperlink>
          </w:p>
        </w:tc>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 10.14 to Form 10-K filed</w:t>
            </w:r>
          </w:p>
        </w:tc>
      </w:tr>
      <w:tr>
        <w:trPr>
          <w:trHeight w:val="160"/>
        </w:trPr>
        <w:tc>
          <w:tcPr>
            <w:tcW w:w="1160" w:type="dxa"/>
            <w:vAlign w:val="bottom"/>
            <w:tcBorders>
              <w:top w:val="single" w:sz="8" w:color="CCEEFF"/>
            </w:tcBorders>
            <w:shd w:val="clear" w:color="auto" w:fill="CCEEFF"/>
          </w:tcPr>
          <w:p>
            <w:pPr>
              <w:spacing w:after="0"/>
              <w:rPr>
                <w:sz w:val="13"/>
                <w:szCs w:val="13"/>
                <w:color w:val="auto"/>
              </w:rPr>
            </w:pPr>
          </w:p>
        </w:tc>
        <w:tc>
          <w:tcPr>
            <w:tcW w:w="6260" w:type="dxa"/>
            <w:vAlign w:val="bottom"/>
            <w:tcBorders>
              <w:top w:val="single" w:sz="8" w:color="0000FF"/>
            </w:tcBorders>
            <w:gridSpan w:val="17"/>
            <w:shd w:val="clear" w:color="auto" w:fill="CCEEFF"/>
          </w:tcPr>
          <w:p>
            <w:pPr>
              <w:spacing w:after="0" w:line="160" w:lineRule="exact"/>
              <w:rPr>
                <w:rFonts w:ascii="Arial" w:cs="Arial" w:eastAsia="Arial" w:hAnsi="Arial"/>
                <w:sz w:val="18"/>
                <w:szCs w:val="18"/>
                <w:color w:val="0000FF"/>
              </w:rPr>
            </w:pPr>
            <w:hyperlink r:id="rId94">
              <w:r>
                <w:rPr>
                  <w:rFonts w:ascii="Arial" w:cs="Arial" w:eastAsia="Arial" w:hAnsi="Arial"/>
                  <w:sz w:val="18"/>
                  <w:szCs w:val="18"/>
                  <w:color w:val="0000FF"/>
                </w:rPr>
                <w:t>agreement (2018 Long-Term Incentive Plan)</w:t>
              </w:r>
            </w:hyperlink>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160" w:type="dxa"/>
            <w:vAlign w:val="bottom"/>
            <w:tcBorders>
              <w:top w:val="single" w:sz="8" w:color="CCEEFF"/>
            </w:tcBorders>
            <w:shd w:val="clear" w:color="auto" w:fill="CCEEFF"/>
          </w:tcPr>
          <w:p>
            <w:pPr>
              <w:ind w:left="100"/>
              <w:spacing w:after="0" w:line="160" w:lineRule="exact"/>
              <w:rPr>
                <w:sz w:val="20"/>
                <w:szCs w:val="20"/>
                <w:color w:val="auto"/>
              </w:rPr>
            </w:pPr>
            <w:r>
              <w:rPr>
                <w:rFonts w:ascii="Arial" w:cs="Arial" w:eastAsia="Arial" w:hAnsi="Arial"/>
                <w:sz w:val="18"/>
                <w:szCs w:val="18"/>
                <w:color w:val="auto"/>
              </w:rPr>
              <w:t>February 27, 2019</w:t>
            </w:r>
          </w:p>
        </w:tc>
      </w:tr>
      <w:tr>
        <w:trPr>
          <w:trHeight w:val="33"/>
        </w:trPr>
        <w:tc>
          <w:tcPr>
            <w:tcW w:w="1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CCEEFF"/>
            </w:tcBorders>
            <w:shd w:val="clear" w:color="auto" w:fill="CCEEFF"/>
          </w:tcPr>
          <w:p>
            <w:pPr>
              <w:spacing w:after="0"/>
              <w:rPr>
                <w:sz w:val="2"/>
                <w:szCs w:val="2"/>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6"/>
              </w:rPr>
              <w:t>10.5</w:t>
            </w:r>
          </w:p>
        </w:tc>
        <w:tc>
          <w:tcPr>
            <w:tcW w:w="6920" w:type="dxa"/>
            <w:vAlign w:val="bottom"/>
            <w:gridSpan w:val="21"/>
          </w:tcPr>
          <w:p>
            <w:pPr>
              <w:spacing w:after="0" w:line="174" w:lineRule="exact"/>
              <w:rPr>
                <w:rFonts w:ascii="Arial" w:cs="Arial" w:eastAsia="Arial" w:hAnsi="Arial"/>
                <w:sz w:val="18"/>
                <w:szCs w:val="18"/>
                <w:color w:val="0000FF"/>
              </w:rPr>
            </w:pPr>
            <w:hyperlink r:id="rId95">
              <w:r>
                <w:rPr>
                  <w:rFonts w:ascii="Arial" w:cs="Arial" w:eastAsia="Arial" w:hAnsi="Arial"/>
                  <w:sz w:val="18"/>
                  <w:szCs w:val="18"/>
                  <w:color w:val="0000FF"/>
                </w:rPr>
                <w:t>Form of employee performance-based restricted stock unit – stock settled grant</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10.17 to Form 10-K filed</w:t>
            </w:r>
          </w:p>
        </w:tc>
      </w:tr>
      <w:tr>
        <w:trPr>
          <w:trHeight w:val="160"/>
        </w:trPr>
        <w:tc>
          <w:tcPr>
            <w:tcW w:w="1160" w:type="dxa"/>
            <w:vAlign w:val="bottom"/>
          </w:tcPr>
          <w:p>
            <w:pPr>
              <w:spacing w:after="0"/>
              <w:rPr>
                <w:sz w:val="13"/>
                <w:szCs w:val="13"/>
                <w:color w:val="auto"/>
              </w:rPr>
            </w:pPr>
          </w:p>
        </w:tc>
        <w:tc>
          <w:tcPr>
            <w:tcW w:w="6260" w:type="dxa"/>
            <w:vAlign w:val="bottom"/>
            <w:tcBorders>
              <w:top w:val="single" w:sz="8" w:color="0000FF"/>
            </w:tcBorders>
            <w:gridSpan w:val="17"/>
          </w:tcPr>
          <w:p>
            <w:pPr>
              <w:spacing w:after="0" w:line="160" w:lineRule="exact"/>
              <w:rPr>
                <w:rFonts w:ascii="Arial" w:cs="Arial" w:eastAsia="Arial" w:hAnsi="Arial"/>
                <w:sz w:val="18"/>
                <w:szCs w:val="18"/>
                <w:color w:val="0000FF"/>
              </w:rPr>
            </w:pPr>
            <w:hyperlink r:id="rId95">
              <w:r>
                <w:rPr>
                  <w:rFonts w:ascii="Arial" w:cs="Arial" w:eastAsia="Arial" w:hAnsi="Arial"/>
                  <w:sz w:val="18"/>
                  <w:szCs w:val="18"/>
                  <w:color w:val="0000FF"/>
                </w:rPr>
                <w:t>agreement (2018 Long-Term Incentive Plan)</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ind w:left="100"/>
              <w:spacing w:after="0" w:line="160" w:lineRule="exact"/>
              <w:rPr>
                <w:sz w:val="20"/>
                <w:szCs w:val="20"/>
                <w:color w:val="auto"/>
              </w:rPr>
            </w:pPr>
            <w:r>
              <w:rPr>
                <w:rFonts w:ascii="Arial" w:cs="Arial" w:eastAsia="Arial" w:hAnsi="Arial"/>
                <w:sz w:val="18"/>
                <w:szCs w:val="18"/>
                <w:color w:val="auto"/>
              </w:rPr>
              <w:t>February 27, 2020</w:t>
            </w:r>
          </w:p>
        </w:tc>
      </w:tr>
      <w:tr>
        <w:trPr>
          <w:trHeight w:val="33"/>
        </w:trPr>
        <w:tc>
          <w:tcPr>
            <w:tcW w:w="116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6"/>
              </w:rPr>
              <w:t>10.6</w:t>
            </w:r>
          </w:p>
        </w:tc>
        <w:tc>
          <w:tcPr>
            <w:tcW w:w="6920" w:type="dxa"/>
            <w:vAlign w:val="bottom"/>
            <w:gridSpan w:val="21"/>
            <w:shd w:val="clear" w:color="auto" w:fill="CCEEFF"/>
          </w:tcPr>
          <w:p>
            <w:pPr>
              <w:spacing w:after="0" w:line="174" w:lineRule="exact"/>
              <w:rPr>
                <w:rFonts w:ascii="Arial" w:cs="Arial" w:eastAsia="Arial" w:hAnsi="Arial"/>
                <w:sz w:val="18"/>
                <w:szCs w:val="18"/>
                <w:color w:val="0000FF"/>
              </w:rPr>
            </w:pPr>
            <w:hyperlink r:id="rId96">
              <w:r>
                <w:rPr>
                  <w:rFonts w:ascii="Arial" w:cs="Arial" w:eastAsia="Arial" w:hAnsi="Arial"/>
                  <w:sz w:val="18"/>
                  <w:szCs w:val="18"/>
                  <w:color w:val="0000FF"/>
                </w:rPr>
                <w:t>Form of employee time-based restricted stock unit – stock settled 3-year grant</w:t>
              </w:r>
            </w:hyperlink>
          </w:p>
        </w:tc>
        <w:tc>
          <w:tcPr>
            <w:tcW w:w="31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Exhibit 10.15 to Form 10-K filed</w:t>
            </w:r>
          </w:p>
        </w:tc>
      </w:tr>
      <w:tr>
        <w:trPr>
          <w:trHeight w:val="160"/>
        </w:trPr>
        <w:tc>
          <w:tcPr>
            <w:tcW w:w="1160" w:type="dxa"/>
            <w:vAlign w:val="bottom"/>
            <w:tcBorders>
              <w:top w:val="single" w:sz="8" w:color="CCEEFF"/>
            </w:tcBorders>
            <w:shd w:val="clear" w:color="auto" w:fill="CCEEFF"/>
          </w:tcPr>
          <w:p>
            <w:pPr>
              <w:spacing w:after="0"/>
              <w:rPr>
                <w:sz w:val="13"/>
                <w:szCs w:val="13"/>
                <w:color w:val="auto"/>
              </w:rPr>
            </w:pPr>
          </w:p>
        </w:tc>
        <w:tc>
          <w:tcPr>
            <w:tcW w:w="6140" w:type="dxa"/>
            <w:vAlign w:val="bottom"/>
            <w:tcBorders>
              <w:top w:val="single" w:sz="8" w:color="0000FF"/>
            </w:tcBorders>
            <w:gridSpan w:val="15"/>
            <w:shd w:val="clear" w:color="auto" w:fill="CCEEFF"/>
          </w:tcPr>
          <w:p>
            <w:pPr>
              <w:spacing w:after="0" w:line="160" w:lineRule="exact"/>
              <w:rPr>
                <w:rFonts w:ascii="Arial" w:cs="Arial" w:eastAsia="Arial" w:hAnsi="Arial"/>
                <w:sz w:val="18"/>
                <w:szCs w:val="18"/>
                <w:color w:val="0000FF"/>
              </w:rPr>
            </w:pPr>
            <w:hyperlink r:id="rId96">
              <w:r>
                <w:rPr>
                  <w:rFonts w:ascii="Arial" w:cs="Arial" w:eastAsia="Arial" w:hAnsi="Arial"/>
                  <w:sz w:val="18"/>
                  <w:szCs w:val="18"/>
                  <w:color w:val="0000FF"/>
                </w:rPr>
                <w:t>agreement (2018 Long-Term Incentive Plan)</w:t>
              </w:r>
            </w:hyperlink>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160" w:type="dxa"/>
            <w:vAlign w:val="bottom"/>
            <w:tcBorders>
              <w:top w:val="single" w:sz="8" w:color="CCEEFF"/>
            </w:tcBorders>
            <w:shd w:val="clear" w:color="auto" w:fill="CCEEFF"/>
          </w:tcPr>
          <w:p>
            <w:pPr>
              <w:ind w:left="100"/>
              <w:spacing w:after="0" w:line="160" w:lineRule="exact"/>
              <w:rPr>
                <w:sz w:val="20"/>
                <w:szCs w:val="20"/>
                <w:color w:val="auto"/>
              </w:rPr>
            </w:pPr>
            <w:r>
              <w:rPr>
                <w:rFonts w:ascii="Arial" w:cs="Arial" w:eastAsia="Arial" w:hAnsi="Arial"/>
                <w:sz w:val="18"/>
                <w:szCs w:val="18"/>
                <w:color w:val="auto"/>
              </w:rPr>
              <w:t>February 27, 2019</w:t>
            </w:r>
          </w:p>
        </w:tc>
      </w:tr>
      <w:tr>
        <w:trPr>
          <w:trHeight w:val="33"/>
        </w:trPr>
        <w:tc>
          <w:tcPr>
            <w:tcW w:w="1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CCEEFF"/>
            </w:tcBorders>
            <w:shd w:val="clear" w:color="auto" w:fill="CCEEFF"/>
          </w:tcPr>
          <w:p>
            <w:pPr>
              <w:spacing w:after="0"/>
              <w:rPr>
                <w:sz w:val="2"/>
                <w:szCs w:val="2"/>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6"/>
              </w:rPr>
              <w:t>10.7</w:t>
            </w:r>
          </w:p>
        </w:tc>
        <w:tc>
          <w:tcPr>
            <w:tcW w:w="6920" w:type="dxa"/>
            <w:vAlign w:val="bottom"/>
            <w:gridSpan w:val="21"/>
          </w:tcPr>
          <w:p>
            <w:pPr>
              <w:spacing w:after="0" w:line="174" w:lineRule="exact"/>
              <w:rPr>
                <w:rFonts w:ascii="Arial" w:cs="Arial" w:eastAsia="Arial" w:hAnsi="Arial"/>
                <w:sz w:val="18"/>
                <w:szCs w:val="18"/>
                <w:color w:val="0000FF"/>
              </w:rPr>
            </w:pPr>
            <w:hyperlink r:id="rId97">
              <w:r>
                <w:rPr>
                  <w:rFonts w:ascii="Arial" w:cs="Arial" w:eastAsia="Arial" w:hAnsi="Arial"/>
                  <w:sz w:val="18"/>
                  <w:szCs w:val="18"/>
                  <w:color w:val="0000FF"/>
                </w:rPr>
                <w:t>Form of employee time-based restricted stock unit – stock settled 5-year grant</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10.16 to Form 10-K filed</w:t>
            </w:r>
          </w:p>
        </w:tc>
      </w:tr>
      <w:tr>
        <w:trPr>
          <w:trHeight w:val="160"/>
        </w:trPr>
        <w:tc>
          <w:tcPr>
            <w:tcW w:w="1160" w:type="dxa"/>
            <w:vAlign w:val="bottom"/>
          </w:tcPr>
          <w:p>
            <w:pPr>
              <w:spacing w:after="0"/>
              <w:rPr>
                <w:sz w:val="13"/>
                <w:szCs w:val="13"/>
                <w:color w:val="auto"/>
              </w:rPr>
            </w:pPr>
          </w:p>
        </w:tc>
        <w:tc>
          <w:tcPr>
            <w:tcW w:w="6140" w:type="dxa"/>
            <w:vAlign w:val="bottom"/>
            <w:tcBorders>
              <w:top w:val="single" w:sz="8" w:color="0000FF"/>
            </w:tcBorders>
            <w:gridSpan w:val="15"/>
          </w:tcPr>
          <w:p>
            <w:pPr>
              <w:spacing w:after="0" w:line="160" w:lineRule="exact"/>
              <w:rPr>
                <w:rFonts w:ascii="Arial" w:cs="Arial" w:eastAsia="Arial" w:hAnsi="Arial"/>
                <w:sz w:val="18"/>
                <w:szCs w:val="18"/>
                <w:color w:val="0000FF"/>
              </w:rPr>
            </w:pPr>
            <w:hyperlink r:id="rId97">
              <w:r>
                <w:rPr>
                  <w:rFonts w:ascii="Arial" w:cs="Arial" w:eastAsia="Arial" w:hAnsi="Arial"/>
                  <w:sz w:val="18"/>
                  <w:szCs w:val="18"/>
                  <w:color w:val="0000FF"/>
                </w:rPr>
                <w:t>agreement (2018 Long-Term Incentive Plan)</w:t>
              </w:r>
            </w:hyperlink>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ind w:left="100"/>
              <w:spacing w:after="0" w:line="160" w:lineRule="exact"/>
              <w:rPr>
                <w:sz w:val="20"/>
                <w:szCs w:val="20"/>
                <w:color w:val="auto"/>
              </w:rPr>
            </w:pPr>
            <w:r>
              <w:rPr>
                <w:rFonts w:ascii="Arial" w:cs="Arial" w:eastAsia="Arial" w:hAnsi="Arial"/>
                <w:sz w:val="18"/>
                <w:szCs w:val="18"/>
                <w:color w:val="auto"/>
              </w:rPr>
              <w:t>February 27, 2019</w:t>
            </w:r>
          </w:p>
        </w:tc>
      </w:tr>
      <w:tr>
        <w:trPr>
          <w:trHeight w:val="33"/>
        </w:trPr>
        <w:tc>
          <w:tcPr>
            <w:tcW w:w="116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6"/>
              </w:rPr>
              <w:t>10.8</w:t>
            </w:r>
          </w:p>
        </w:tc>
        <w:tc>
          <w:tcPr>
            <w:tcW w:w="6920" w:type="dxa"/>
            <w:vAlign w:val="bottom"/>
            <w:gridSpan w:val="21"/>
            <w:shd w:val="clear" w:color="auto" w:fill="CCEEFF"/>
          </w:tcPr>
          <w:p>
            <w:pPr>
              <w:spacing w:after="0" w:line="174" w:lineRule="exact"/>
              <w:rPr>
                <w:rFonts w:ascii="Arial" w:cs="Arial" w:eastAsia="Arial" w:hAnsi="Arial"/>
                <w:sz w:val="18"/>
                <w:szCs w:val="18"/>
                <w:color w:val="0000FF"/>
              </w:rPr>
            </w:pPr>
            <w:hyperlink r:id="rId98">
              <w:r>
                <w:rPr>
                  <w:rFonts w:ascii="Arial" w:cs="Arial" w:eastAsia="Arial" w:hAnsi="Arial"/>
                  <w:sz w:val="18"/>
                  <w:szCs w:val="18"/>
                  <w:color w:val="0000FF"/>
                </w:rPr>
                <w:t>Murphy Oil Corporation 2020 Long-Term Incentive Plan</w:t>
              </w:r>
            </w:hyperlink>
          </w:p>
        </w:tc>
        <w:tc>
          <w:tcPr>
            <w:tcW w:w="31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Exhibit A to definitive proxy statement</w:t>
            </w:r>
          </w:p>
        </w:tc>
      </w:tr>
      <w:tr>
        <w:trPr>
          <w:trHeight w:val="214"/>
        </w:trPr>
        <w:tc>
          <w:tcPr>
            <w:tcW w:w="1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March 30, 2020</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6"/>
              </w:rPr>
              <w:t>10.9</w:t>
            </w:r>
          </w:p>
        </w:tc>
        <w:tc>
          <w:tcPr>
            <w:tcW w:w="6920" w:type="dxa"/>
            <w:vAlign w:val="bottom"/>
            <w:gridSpan w:val="21"/>
          </w:tcPr>
          <w:p>
            <w:pPr>
              <w:spacing w:after="0" w:line="174" w:lineRule="exact"/>
              <w:rPr>
                <w:rFonts w:ascii="Arial" w:cs="Arial" w:eastAsia="Arial" w:hAnsi="Arial"/>
                <w:sz w:val="18"/>
                <w:szCs w:val="18"/>
                <w:color w:val="0000FF"/>
              </w:rPr>
            </w:pPr>
            <w:hyperlink r:id="rId99">
              <w:r>
                <w:rPr>
                  <w:rFonts w:ascii="Arial" w:cs="Arial" w:eastAsia="Arial" w:hAnsi="Arial"/>
                  <w:sz w:val="18"/>
                  <w:szCs w:val="18"/>
                  <w:color w:val="0000FF"/>
                </w:rPr>
                <w:t>Form of employee performance-based restricted stock unit – stock settled grant</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10.21 to Form 10-K filed</w:t>
            </w:r>
          </w:p>
        </w:tc>
      </w:tr>
      <w:tr>
        <w:trPr>
          <w:trHeight w:val="160"/>
        </w:trPr>
        <w:tc>
          <w:tcPr>
            <w:tcW w:w="1160" w:type="dxa"/>
            <w:vAlign w:val="bottom"/>
          </w:tcPr>
          <w:p>
            <w:pPr>
              <w:spacing w:after="0"/>
              <w:rPr>
                <w:sz w:val="13"/>
                <w:szCs w:val="13"/>
                <w:color w:val="auto"/>
              </w:rPr>
            </w:pPr>
          </w:p>
        </w:tc>
        <w:tc>
          <w:tcPr>
            <w:tcW w:w="6260" w:type="dxa"/>
            <w:vAlign w:val="bottom"/>
            <w:tcBorders>
              <w:top w:val="single" w:sz="8" w:color="0000FF"/>
            </w:tcBorders>
            <w:gridSpan w:val="17"/>
          </w:tcPr>
          <w:p>
            <w:pPr>
              <w:spacing w:after="0" w:line="160" w:lineRule="exact"/>
              <w:rPr>
                <w:rFonts w:ascii="Arial" w:cs="Arial" w:eastAsia="Arial" w:hAnsi="Arial"/>
                <w:sz w:val="18"/>
                <w:szCs w:val="18"/>
                <w:color w:val="0000FF"/>
              </w:rPr>
            </w:pPr>
            <w:hyperlink r:id="rId99">
              <w:r>
                <w:rPr>
                  <w:rFonts w:ascii="Arial" w:cs="Arial" w:eastAsia="Arial" w:hAnsi="Arial"/>
                  <w:sz w:val="18"/>
                  <w:szCs w:val="18"/>
                  <w:color w:val="0000FF"/>
                </w:rPr>
                <w:t>agreement (2020 LTI Plan)</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ind w:left="100"/>
              <w:spacing w:after="0" w:line="160" w:lineRule="exact"/>
              <w:rPr>
                <w:sz w:val="20"/>
                <w:szCs w:val="20"/>
                <w:color w:val="auto"/>
              </w:rPr>
            </w:pPr>
            <w:r>
              <w:rPr>
                <w:rFonts w:ascii="Arial" w:cs="Arial" w:eastAsia="Arial" w:hAnsi="Arial"/>
                <w:sz w:val="18"/>
                <w:szCs w:val="18"/>
                <w:color w:val="auto"/>
              </w:rPr>
              <w:t>February 26, 2021</w:t>
            </w:r>
          </w:p>
        </w:tc>
      </w:tr>
      <w:tr>
        <w:trPr>
          <w:trHeight w:val="33"/>
        </w:trPr>
        <w:tc>
          <w:tcPr>
            <w:tcW w:w="116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7"/>
              </w:rPr>
              <w:t>10.10</w:t>
            </w:r>
          </w:p>
        </w:tc>
        <w:tc>
          <w:tcPr>
            <w:tcW w:w="6920" w:type="dxa"/>
            <w:vAlign w:val="bottom"/>
            <w:gridSpan w:val="21"/>
            <w:shd w:val="clear" w:color="auto" w:fill="CCEEFF"/>
          </w:tcPr>
          <w:p>
            <w:pPr>
              <w:spacing w:after="0" w:line="174" w:lineRule="exact"/>
              <w:rPr>
                <w:rFonts w:ascii="Arial" w:cs="Arial" w:eastAsia="Arial" w:hAnsi="Arial"/>
                <w:sz w:val="18"/>
                <w:szCs w:val="18"/>
                <w:color w:val="0000FF"/>
              </w:rPr>
            </w:pPr>
            <w:hyperlink r:id="rId100">
              <w:r>
                <w:rPr>
                  <w:rFonts w:ascii="Arial" w:cs="Arial" w:eastAsia="Arial" w:hAnsi="Arial"/>
                  <w:sz w:val="18"/>
                  <w:szCs w:val="18"/>
                  <w:color w:val="0000FF"/>
                </w:rPr>
                <w:t>Form of employee time-based restricted stock unit – stock settled 3-year grant</w:t>
              </w:r>
            </w:hyperlink>
          </w:p>
        </w:tc>
        <w:tc>
          <w:tcPr>
            <w:tcW w:w="31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Exhibit 10.22 to Form 10-K filed</w:t>
            </w:r>
          </w:p>
        </w:tc>
      </w:tr>
      <w:tr>
        <w:trPr>
          <w:trHeight w:val="194"/>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120" w:type="dxa"/>
            <w:vAlign w:val="bottom"/>
            <w:tcBorders>
              <w:top w:val="single" w:sz="8" w:color="0000FF"/>
              <w:bottom w:val="single" w:sz="8" w:color="0000FF"/>
            </w:tcBorders>
            <w:gridSpan w:val="2"/>
            <w:shd w:val="clear" w:color="auto" w:fill="CCEEFF"/>
          </w:tcPr>
          <w:p>
            <w:pPr>
              <w:spacing w:after="0" w:line="160"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agreement (2020 LTI Plan)</w:t>
              </w:r>
            </w:hyperlink>
          </w:p>
        </w:tc>
        <w:tc>
          <w:tcPr>
            <w:tcW w:w="402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160" w:type="dxa"/>
            <w:vAlign w:val="bottom"/>
            <w:tcBorders>
              <w:top w:val="single" w:sz="8" w:color="CCEEFF"/>
              <w:bottom w:val="single" w:sz="8" w:color="CCEEFF"/>
            </w:tcBorders>
            <w:shd w:val="clear" w:color="auto" w:fill="CCEEFF"/>
          </w:tcPr>
          <w:p>
            <w:pPr>
              <w:ind w:left="100"/>
              <w:spacing w:after="0" w:line="160" w:lineRule="exact"/>
              <w:rPr>
                <w:sz w:val="20"/>
                <w:szCs w:val="20"/>
                <w:color w:val="auto"/>
              </w:rPr>
            </w:pPr>
            <w:r>
              <w:rPr>
                <w:rFonts w:ascii="Arial" w:cs="Arial" w:eastAsia="Arial" w:hAnsi="Arial"/>
                <w:sz w:val="18"/>
                <w:szCs w:val="18"/>
                <w:color w:val="auto"/>
              </w:rPr>
              <w:t>February 26, 2021</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10.11</w:t>
            </w:r>
          </w:p>
        </w:tc>
        <w:tc>
          <w:tcPr>
            <w:tcW w:w="6920" w:type="dxa"/>
            <w:vAlign w:val="bottom"/>
            <w:gridSpan w:val="21"/>
          </w:tcPr>
          <w:p>
            <w:pPr>
              <w:spacing w:after="0" w:line="174" w:lineRule="exact"/>
              <w:rPr>
                <w:rFonts w:ascii="Arial" w:cs="Arial" w:eastAsia="Arial" w:hAnsi="Arial"/>
                <w:sz w:val="18"/>
                <w:szCs w:val="18"/>
                <w:color w:val="0000FF"/>
              </w:rPr>
            </w:pPr>
            <w:hyperlink r:id="rId101">
              <w:r>
                <w:rPr>
                  <w:rFonts w:ascii="Arial" w:cs="Arial" w:eastAsia="Arial" w:hAnsi="Arial"/>
                  <w:sz w:val="18"/>
                  <w:szCs w:val="18"/>
                  <w:color w:val="0000FF"/>
                </w:rPr>
                <w:t>Form of employee time-based restricted stock unit – stock settled 5-year grant</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10.23 to Form 10-K filed</w:t>
            </w:r>
          </w:p>
        </w:tc>
      </w:tr>
      <w:tr>
        <w:trPr>
          <w:trHeight w:val="160"/>
        </w:trPr>
        <w:tc>
          <w:tcPr>
            <w:tcW w:w="1160" w:type="dxa"/>
            <w:vAlign w:val="bottom"/>
          </w:tcPr>
          <w:p>
            <w:pPr>
              <w:spacing w:after="0"/>
              <w:rPr>
                <w:sz w:val="13"/>
                <w:szCs w:val="13"/>
                <w:color w:val="auto"/>
              </w:rPr>
            </w:pPr>
          </w:p>
        </w:tc>
        <w:tc>
          <w:tcPr>
            <w:tcW w:w="6140" w:type="dxa"/>
            <w:vAlign w:val="bottom"/>
            <w:tcBorders>
              <w:top w:val="single" w:sz="8" w:color="0000FF"/>
            </w:tcBorders>
            <w:gridSpan w:val="15"/>
          </w:tcPr>
          <w:p>
            <w:pPr>
              <w:spacing w:after="0" w:line="160" w:lineRule="exact"/>
              <w:rPr>
                <w:rFonts w:ascii="Arial" w:cs="Arial" w:eastAsia="Arial" w:hAnsi="Arial"/>
                <w:sz w:val="18"/>
                <w:szCs w:val="18"/>
                <w:color w:val="0000FF"/>
              </w:rPr>
            </w:pPr>
            <w:hyperlink r:id="rId101">
              <w:r>
                <w:rPr>
                  <w:rFonts w:ascii="Arial" w:cs="Arial" w:eastAsia="Arial" w:hAnsi="Arial"/>
                  <w:sz w:val="18"/>
                  <w:szCs w:val="18"/>
                  <w:color w:val="0000FF"/>
                </w:rPr>
                <w:t>agreement (2020 LTI Plan)</w:t>
              </w:r>
            </w:hyperlink>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ind w:left="100"/>
              <w:spacing w:after="0" w:line="160" w:lineRule="exact"/>
              <w:rPr>
                <w:sz w:val="20"/>
                <w:szCs w:val="20"/>
                <w:color w:val="auto"/>
              </w:rPr>
            </w:pPr>
            <w:r>
              <w:rPr>
                <w:rFonts w:ascii="Arial" w:cs="Arial" w:eastAsia="Arial" w:hAnsi="Arial"/>
                <w:sz w:val="18"/>
                <w:szCs w:val="18"/>
                <w:color w:val="auto"/>
              </w:rPr>
              <w:t>February 26, 2021</w:t>
            </w:r>
          </w:p>
        </w:tc>
      </w:tr>
      <w:tr>
        <w:trPr>
          <w:trHeight w:val="33"/>
        </w:trPr>
        <w:tc>
          <w:tcPr>
            <w:tcW w:w="116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7"/>
              </w:rPr>
              <w:t>10.12</w:t>
            </w:r>
          </w:p>
        </w:tc>
        <w:tc>
          <w:tcPr>
            <w:tcW w:w="6920" w:type="dxa"/>
            <w:vAlign w:val="bottom"/>
            <w:gridSpan w:val="21"/>
            <w:shd w:val="clear" w:color="auto" w:fill="CCEEFF"/>
          </w:tcPr>
          <w:p>
            <w:pPr>
              <w:spacing w:after="0" w:line="174" w:lineRule="exact"/>
              <w:rPr>
                <w:rFonts w:ascii="Arial" w:cs="Arial" w:eastAsia="Arial" w:hAnsi="Arial"/>
                <w:sz w:val="18"/>
                <w:szCs w:val="18"/>
                <w:color w:val="0000FF"/>
              </w:rPr>
            </w:pPr>
            <w:hyperlink r:id="rId102">
              <w:r>
                <w:rPr>
                  <w:rFonts w:ascii="Arial" w:cs="Arial" w:eastAsia="Arial" w:hAnsi="Arial"/>
                  <w:sz w:val="18"/>
                  <w:szCs w:val="18"/>
                  <w:color w:val="0000FF"/>
                </w:rPr>
                <w:t>Form of employee time-based restricted stock unit – cash settled 3-year grant</w:t>
              </w:r>
            </w:hyperlink>
          </w:p>
        </w:tc>
        <w:tc>
          <w:tcPr>
            <w:tcW w:w="31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Exhibit 10.24 to Form 10-K filed</w:t>
            </w:r>
          </w:p>
        </w:tc>
      </w:tr>
      <w:tr>
        <w:trPr>
          <w:trHeight w:val="194"/>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120" w:type="dxa"/>
            <w:vAlign w:val="bottom"/>
            <w:tcBorders>
              <w:top w:val="single" w:sz="8" w:color="0000FF"/>
              <w:bottom w:val="single" w:sz="8" w:color="0000FF"/>
            </w:tcBorders>
            <w:gridSpan w:val="2"/>
            <w:shd w:val="clear" w:color="auto" w:fill="CCEEFF"/>
          </w:tcPr>
          <w:p>
            <w:pPr>
              <w:spacing w:after="0" w:line="160" w:lineRule="exact"/>
              <w:rPr>
                <w:rFonts w:ascii="Arial" w:cs="Arial" w:eastAsia="Arial" w:hAnsi="Arial"/>
                <w:sz w:val="18"/>
                <w:szCs w:val="18"/>
                <w:color w:val="0000FF"/>
                <w:w w:val="97"/>
              </w:rPr>
            </w:pPr>
            <w:hyperlink r:id="rId102">
              <w:r>
                <w:rPr>
                  <w:rFonts w:ascii="Arial" w:cs="Arial" w:eastAsia="Arial" w:hAnsi="Arial"/>
                  <w:sz w:val="18"/>
                  <w:szCs w:val="18"/>
                  <w:color w:val="0000FF"/>
                  <w:w w:val="97"/>
                </w:rPr>
                <w:t>agreement (2020 LTI Plan)</w:t>
              </w:r>
            </w:hyperlink>
          </w:p>
        </w:tc>
        <w:tc>
          <w:tcPr>
            <w:tcW w:w="398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160" w:type="dxa"/>
            <w:vAlign w:val="bottom"/>
            <w:tcBorders>
              <w:top w:val="single" w:sz="8" w:color="CCEEFF"/>
              <w:bottom w:val="single" w:sz="8" w:color="CCEEFF"/>
            </w:tcBorders>
            <w:shd w:val="clear" w:color="auto" w:fill="CCEEFF"/>
          </w:tcPr>
          <w:p>
            <w:pPr>
              <w:ind w:left="100"/>
              <w:spacing w:after="0" w:line="160" w:lineRule="exact"/>
              <w:rPr>
                <w:sz w:val="20"/>
                <w:szCs w:val="20"/>
                <w:color w:val="auto"/>
              </w:rPr>
            </w:pPr>
            <w:r>
              <w:rPr>
                <w:rFonts w:ascii="Arial" w:cs="Arial" w:eastAsia="Arial" w:hAnsi="Arial"/>
                <w:sz w:val="18"/>
                <w:szCs w:val="18"/>
                <w:color w:val="auto"/>
              </w:rPr>
              <w:t>February 26, 2021</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10.13</w:t>
            </w:r>
          </w:p>
        </w:tc>
        <w:tc>
          <w:tcPr>
            <w:tcW w:w="6920" w:type="dxa"/>
            <w:vAlign w:val="bottom"/>
            <w:gridSpan w:val="21"/>
          </w:tcPr>
          <w:p>
            <w:pPr>
              <w:spacing w:after="0" w:line="174" w:lineRule="exact"/>
              <w:rPr>
                <w:rFonts w:ascii="Arial" w:cs="Arial" w:eastAsia="Arial" w:hAnsi="Arial"/>
                <w:sz w:val="18"/>
                <w:szCs w:val="18"/>
                <w:color w:val="0000FF"/>
              </w:rPr>
            </w:pPr>
            <w:hyperlink r:id="rId103">
              <w:r>
                <w:rPr>
                  <w:rFonts w:ascii="Arial" w:cs="Arial" w:eastAsia="Arial" w:hAnsi="Arial"/>
                  <w:sz w:val="18"/>
                  <w:szCs w:val="18"/>
                  <w:color w:val="0000FF"/>
                </w:rPr>
                <w:t>Form of employee time-based restricted stock unit – cash settled 5-year grant</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10.25 to Form 10-K filed</w:t>
            </w:r>
          </w:p>
        </w:tc>
      </w:tr>
      <w:tr>
        <w:trPr>
          <w:trHeight w:val="160"/>
        </w:trPr>
        <w:tc>
          <w:tcPr>
            <w:tcW w:w="1160" w:type="dxa"/>
            <w:vAlign w:val="bottom"/>
          </w:tcPr>
          <w:p>
            <w:pPr>
              <w:spacing w:after="0"/>
              <w:rPr>
                <w:sz w:val="13"/>
                <w:szCs w:val="13"/>
                <w:color w:val="auto"/>
              </w:rPr>
            </w:pPr>
          </w:p>
        </w:tc>
        <w:tc>
          <w:tcPr>
            <w:tcW w:w="6100" w:type="dxa"/>
            <w:vAlign w:val="bottom"/>
            <w:tcBorders>
              <w:top w:val="single" w:sz="8" w:color="0000FF"/>
            </w:tcBorders>
            <w:gridSpan w:val="14"/>
          </w:tcPr>
          <w:p>
            <w:pPr>
              <w:spacing w:after="0" w:line="160" w:lineRule="exact"/>
              <w:rPr>
                <w:rFonts w:ascii="Arial" w:cs="Arial" w:eastAsia="Arial" w:hAnsi="Arial"/>
                <w:sz w:val="18"/>
                <w:szCs w:val="18"/>
                <w:color w:val="0000FF"/>
              </w:rPr>
            </w:pPr>
            <w:hyperlink r:id="rId103">
              <w:r>
                <w:rPr>
                  <w:rFonts w:ascii="Arial" w:cs="Arial" w:eastAsia="Arial" w:hAnsi="Arial"/>
                  <w:sz w:val="18"/>
                  <w:szCs w:val="18"/>
                  <w:color w:val="0000FF"/>
                </w:rPr>
                <w:t>agreement (2020 LTI Plan)</w:t>
              </w:r>
            </w:hyperlink>
          </w:p>
        </w:tc>
        <w:tc>
          <w:tcPr>
            <w:tcW w:w="10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ind w:left="100"/>
              <w:spacing w:after="0" w:line="160" w:lineRule="exact"/>
              <w:rPr>
                <w:sz w:val="20"/>
                <w:szCs w:val="20"/>
                <w:color w:val="auto"/>
              </w:rPr>
            </w:pPr>
            <w:r>
              <w:rPr>
                <w:rFonts w:ascii="Arial" w:cs="Arial" w:eastAsia="Arial" w:hAnsi="Arial"/>
                <w:sz w:val="18"/>
                <w:szCs w:val="18"/>
                <w:color w:val="auto"/>
              </w:rPr>
              <w:t>February 26, 2021</w:t>
            </w:r>
          </w:p>
        </w:tc>
      </w:tr>
      <w:tr>
        <w:trPr>
          <w:trHeight w:val="33"/>
        </w:trPr>
        <w:tc>
          <w:tcPr>
            <w:tcW w:w="116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7"/>
              </w:rPr>
              <w:t>10.14</w:t>
            </w:r>
          </w:p>
        </w:tc>
        <w:tc>
          <w:tcPr>
            <w:tcW w:w="6920" w:type="dxa"/>
            <w:vAlign w:val="bottom"/>
            <w:gridSpan w:val="21"/>
            <w:shd w:val="clear" w:color="auto" w:fill="CCEEFF"/>
          </w:tcPr>
          <w:p>
            <w:pPr>
              <w:spacing w:after="0" w:line="174" w:lineRule="exact"/>
              <w:rPr>
                <w:rFonts w:ascii="Arial" w:cs="Arial" w:eastAsia="Arial" w:hAnsi="Arial"/>
                <w:sz w:val="18"/>
                <w:szCs w:val="18"/>
                <w:color w:val="0000FF"/>
              </w:rPr>
            </w:pPr>
            <w:hyperlink r:id="rId104">
              <w:r>
                <w:rPr>
                  <w:rFonts w:ascii="Arial" w:cs="Arial" w:eastAsia="Arial" w:hAnsi="Arial"/>
                  <w:sz w:val="18"/>
                  <w:szCs w:val="18"/>
                  <w:color w:val="0000FF"/>
                </w:rPr>
                <w:t>Murphy Oil Corporation 2018 Stock Plan for Non-Employee Directors</w:t>
              </w:r>
            </w:hyperlink>
          </w:p>
        </w:tc>
        <w:tc>
          <w:tcPr>
            <w:tcW w:w="31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Exhibit A to definitive proxy statement</w:t>
            </w:r>
          </w:p>
        </w:tc>
      </w:tr>
      <w:tr>
        <w:trPr>
          <w:trHeight w:val="214"/>
        </w:trPr>
        <w:tc>
          <w:tcPr>
            <w:tcW w:w="1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10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March 23, 2018</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10.15</w:t>
            </w:r>
          </w:p>
        </w:tc>
        <w:tc>
          <w:tcPr>
            <w:tcW w:w="6920" w:type="dxa"/>
            <w:vAlign w:val="bottom"/>
            <w:gridSpan w:val="21"/>
          </w:tcPr>
          <w:p>
            <w:pPr>
              <w:spacing w:after="0" w:line="174" w:lineRule="exact"/>
              <w:rPr>
                <w:rFonts w:ascii="Arial" w:cs="Arial" w:eastAsia="Arial" w:hAnsi="Arial"/>
                <w:sz w:val="18"/>
                <w:szCs w:val="18"/>
                <w:color w:val="0000FF"/>
              </w:rPr>
            </w:pPr>
            <w:hyperlink r:id="rId105">
              <w:r>
                <w:rPr>
                  <w:rFonts w:ascii="Arial" w:cs="Arial" w:eastAsia="Arial" w:hAnsi="Arial"/>
                  <w:sz w:val="18"/>
                  <w:szCs w:val="18"/>
                  <w:color w:val="0000FF"/>
                </w:rPr>
                <w:t>First Amendment to the 2018 Stock Plan for Non-Employee Directors</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10.1 to Form 8-K filed April 25,</w:t>
            </w:r>
          </w:p>
        </w:tc>
      </w:tr>
      <w:tr>
        <w:trPr>
          <w:trHeight w:val="210"/>
        </w:trPr>
        <w:tc>
          <w:tcPr>
            <w:tcW w:w="116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2018</w:t>
            </w:r>
          </w:p>
        </w:tc>
      </w:tr>
      <w:tr>
        <w:trPr>
          <w:trHeight w:val="184"/>
        </w:trPr>
        <w:tc>
          <w:tcPr>
            <w:tcW w:w="11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7"/>
              </w:rPr>
              <w:t>10.16</w:t>
            </w:r>
          </w:p>
        </w:tc>
        <w:tc>
          <w:tcPr>
            <w:tcW w:w="6920" w:type="dxa"/>
            <w:vAlign w:val="bottom"/>
            <w:gridSpan w:val="21"/>
            <w:shd w:val="clear" w:color="auto" w:fill="CCEEFF"/>
          </w:tcPr>
          <w:p>
            <w:pPr>
              <w:spacing w:after="0" w:line="177" w:lineRule="exact"/>
              <w:rPr>
                <w:rFonts w:ascii="Arial" w:cs="Arial" w:eastAsia="Arial" w:hAnsi="Arial"/>
                <w:sz w:val="18"/>
                <w:szCs w:val="18"/>
                <w:color w:val="0000FF"/>
              </w:rPr>
            </w:pPr>
            <w:hyperlink r:id="rId106">
              <w:r>
                <w:rPr>
                  <w:rFonts w:ascii="Arial" w:cs="Arial" w:eastAsia="Arial" w:hAnsi="Arial"/>
                  <w:sz w:val="18"/>
                  <w:szCs w:val="18"/>
                  <w:color w:val="0000FF"/>
                </w:rPr>
                <w:t>Second Amendment to the 2018 Stock Plan for Non-Employee Directors</w:t>
              </w:r>
            </w:hyperlink>
          </w:p>
        </w:tc>
        <w:tc>
          <w:tcPr>
            <w:tcW w:w="3160" w:type="dxa"/>
            <w:vAlign w:val="bottom"/>
            <w:shd w:val="clear" w:color="auto" w:fill="CCEEFF"/>
          </w:tcPr>
          <w:p>
            <w:pPr>
              <w:ind w:left="100"/>
              <w:spacing w:after="0" w:line="177" w:lineRule="exact"/>
              <w:rPr>
                <w:sz w:val="20"/>
                <w:szCs w:val="20"/>
                <w:color w:val="auto"/>
              </w:rPr>
            </w:pPr>
            <w:r>
              <w:rPr>
                <w:rFonts w:ascii="Arial" w:cs="Arial" w:eastAsia="Arial" w:hAnsi="Arial"/>
                <w:sz w:val="18"/>
                <w:szCs w:val="18"/>
                <w:color w:val="auto"/>
              </w:rPr>
              <w:t>Exhibit 10.24 to Form 10-K filed</w:t>
            </w:r>
          </w:p>
        </w:tc>
      </w:tr>
      <w:tr>
        <w:trPr>
          <w:trHeight w:val="214"/>
        </w:trPr>
        <w:tc>
          <w:tcPr>
            <w:tcW w:w="1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10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February 27, 2020</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10.17</w:t>
            </w:r>
          </w:p>
        </w:tc>
        <w:tc>
          <w:tcPr>
            <w:tcW w:w="6920" w:type="dxa"/>
            <w:vAlign w:val="bottom"/>
            <w:gridSpan w:val="21"/>
          </w:tcPr>
          <w:p>
            <w:pPr>
              <w:spacing w:after="0" w:line="174" w:lineRule="exact"/>
              <w:rPr>
                <w:rFonts w:ascii="Arial" w:cs="Arial" w:eastAsia="Arial" w:hAnsi="Arial"/>
                <w:sz w:val="18"/>
                <w:szCs w:val="18"/>
                <w:color w:val="0000FF"/>
              </w:rPr>
            </w:pPr>
            <w:hyperlink r:id="rId107">
              <w:r>
                <w:rPr>
                  <w:rFonts w:ascii="Arial" w:cs="Arial" w:eastAsia="Arial" w:hAnsi="Arial"/>
                  <w:sz w:val="18"/>
                  <w:szCs w:val="18"/>
                  <w:color w:val="0000FF"/>
                </w:rPr>
                <w:t>Form of non-employee director restricted stock unit award – stock settled grant</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10.20 to Form 10-K filed</w:t>
            </w:r>
          </w:p>
        </w:tc>
      </w:tr>
      <w:tr>
        <w:trPr>
          <w:trHeight w:val="160"/>
        </w:trPr>
        <w:tc>
          <w:tcPr>
            <w:tcW w:w="1160" w:type="dxa"/>
            <w:vAlign w:val="bottom"/>
          </w:tcPr>
          <w:p>
            <w:pPr>
              <w:spacing w:after="0"/>
              <w:rPr>
                <w:sz w:val="13"/>
                <w:szCs w:val="13"/>
                <w:color w:val="auto"/>
              </w:rPr>
            </w:pPr>
          </w:p>
        </w:tc>
        <w:tc>
          <w:tcPr>
            <w:tcW w:w="6200" w:type="dxa"/>
            <w:vAlign w:val="bottom"/>
            <w:tcBorders>
              <w:top w:val="single" w:sz="8" w:color="0000FF"/>
            </w:tcBorders>
            <w:gridSpan w:val="16"/>
          </w:tcPr>
          <w:p>
            <w:pPr>
              <w:spacing w:after="0" w:line="160" w:lineRule="exact"/>
              <w:rPr>
                <w:rFonts w:ascii="Arial" w:cs="Arial" w:eastAsia="Arial" w:hAnsi="Arial"/>
                <w:sz w:val="18"/>
                <w:szCs w:val="18"/>
                <w:color w:val="0000FF"/>
              </w:rPr>
            </w:pPr>
            <w:hyperlink r:id="rId107">
              <w:r>
                <w:rPr>
                  <w:rFonts w:ascii="Arial" w:cs="Arial" w:eastAsia="Arial" w:hAnsi="Arial"/>
                  <w:sz w:val="18"/>
                  <w:szCs w:val="18"/>
                  <w:color w:val="0000FF"/>
                </w:rPr>
                <w:t>agreement (2018 NED Plan)</w:t>
              </w:r>
            </w:hyperlink>
          </w:p>
        </w:tc>
        <w:tc>
          <w:tcPr>
            <w:tcW w:w="2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ind w:left="100"/>
              <w:spacing w:after="0" w:line="160" w:lineRule="exact"/>
              <w:rPr>
                <w:sz w:val="20"/>
                <w:szCs w:val="20"/>
                <w:color w:val="auto"/>
              </w:rPr>
            </w:pPr>
            <w:r>
              <w:rPr>
                <w:rFonts w:ascii="Arial" w:cs="Arial" w:eastAsia="Arial" w:hAnsi="Arial"/>
                <w:sz w:val="18"/>
                <w:szCs w:val="18"/>
                <w:color w:val="auto"/>
              </w:rPr>
              <w:t>February 27, 2019</w:t>
            </w:r>
          </w:p>
        </w:tc>
      </w:tr>
      <w:tr>
        <w:trPr>
          <w:trHeight w:val="33"/>
        </w:trPr>
        <w:tc>
          <w:tcPr>
            <w:tcW w:w="116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7"/>
              </w:rPr>
              <w:t>10.18</w:t>
            </w:r>
          </w:p>
        </w:tc>
        <w:tc>
          <w:tcPr>
            <w:tcW w:w="6920" w:type="dxa"/>
            <w:vAlign w:val="bottom"/>
            <w:gridSpan w:val="21"/>
            <w:shd w:val="clear" w:color="auto" w:fill="CCEEFF"/>
          </w:tcPr>
          <w:p>
            <w:pPr>
              <w:spacing w:after="0" w:line="174" w:lineRule="exact"/>
              <w:rPr>
                <w:rFonts w:ascii="Arial" w:cs="Arial" w:eastAsia="Arial" w:hAnsi="Arial"/>
                <w:sz w:val="18"/>
                <w:szCs w:val="18"/>
                <w:color w:val="0000FF"/>
              </w:rPr>
            </w:pPr>
            <w:hyperlink r:id="rId108">
              <w:r>
                <w:rPr>
                  <w:rFonts w:ascii="Arial" w:cs="Arial" w:eastAsia="Arial" w:hAnsi="Arial"/>
                  <w:sz w:val="18"/>
                  <w:szCs w:val="18"/>
                  <w:color w:val="0000FF"/>
                </w:rPr>
                <w:t>Form of non-employee director restricted stock unit award – stock settled grant</w:t>
              </w:r>
            </w:hyperlink>
          </w:p>
        </w:tc>
        <w:tc>
          <w:tcPr>
            <w:tcW w:w="31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Exhibit 10.26 to Form 10-K filed</w:t>
            </w:r>
          </w:p>
        </w:tc>
      </w:tr>
      <w:tr>
        <w:trPr>
          <w:trHeight w:val="160"/>
        </w:trPr>
        <w:tc>
          <w:tcPr>
            <w:tcW w:w="1160" w:type="dxa"/>
            <w:vAlign w:val="bottom"/>
            <w:tcBorders>
              <w:top w:val="single" w:sz="8" w:color="CCEEFF"/>
            </w:tcBorders>
            <w:shd w:val="clear" w:color="auto" w:fill="CCEEFF"/>
          </w:tcPr>
          <w:p>
            <w:pPr>
              <w:spacing w:after="0"/>
              <w:rPr>
                <w:sz w:val="13"/>
                <w:szCs w:val="13"/>
                <w:color w:val="auto"/>
              </w:rPr>
            </w:pPr>
          </w:p>
        </w:tc>
        <w:tc>
          <w:tcPr>
            <w:tcW w:w="6200" w:type="dxa"/>
            <w:vAlign w:val="bottom"/>
            <w:tcBorders>
              <w:top w:val="single" w:sz="8" w:color="0000FF"/>
            </w:tcBorders>
            <w:gridSpan w:val="16"/>
            <w:shd w:val="clear" w:color="auto" w:fill="CCEEFF"/>
          </w:tcPr>
          <w:p>
            <w:pPr>
              <w:spacing w:after="0" w:line="160" w:lineRule="exact"/>
              <w:rPr>
                <w:rFonts w:ascii="Arial" w:cs="Arial" w:eastAsia="Arial" w:hAnsi="Arial"/>
                <w:sz w:val="18"/>
                <w:szCs w:val="18"/>
                <w:color w:val="0000FF"/>
              </w:rPr>
            </w:pPr>
            <w:hyperlink r:id="rId108">
              <w:r>
                <w:rPr>
                  <w:rFonts w:ascii="Arial" w:cs="Arial" w:eastAsia="Arial" w:hAnsi="Arial"/>
                  <w:sz w:val="18"/>
                  <w:szCs w:val="18"/>
                  <w:color w:val="0000FF"/>
                </w:rPr>
                <w:t>agreement (2018 NED Plan)</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160" w:type="dxa"/>
            <w:vAlign w:val="bottom"/>
            <w:tcBorders>
              <w:top w:val="single" w:sz="8" w:color="CCEEFF"/>
            </w:tcBorders>
            <w:shd w:val="clear" w:color="auto" w:fill="CCEEFF"/>
          </w:tcPr>
          <w:p>
            <w:pPr>
              <w:ind w:left="100"/>
              <w:spacing w:after="0" w:line="160" w:lineRule="exact"/>
              <w:rPr>
                <w:sz w:val="20"/>
                <w:szCs w:val="20"/>
                <w:color w:val="auto"/>
              </w:rPr>
            </w:pPr>
            <w:r>
              <w:rPr>
                <w:rFonts w:ascii="Arial" w:cs="Arial" w:eastAsia="Arial" w:hAnsi="Arial"/>
                <w:sz w:val="18"/>
                <w:szCs w:val="18"/>
                <w:color w:val="auto"/>
              </w:rPr>
              <w:t>February 27, 2020</w:t>
            </w:r>
          </w:p>
        </w:tc>
      </w:tr>
      <w:tr>
        <w:trPr>
          <w:trHeight w:val="33"/>
        </w:trPr>
        <w:tc>
          <w:tcPr>
            <w:tcW w:w="1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CCEEFF"/>
            </w:tcBorders>
            <w:shd w:val="clear" w:color="auto" w:fill="CCEEFF"/>
          </w:tcPr>
          <w:p>
            <w:pPr>
              <w:spacing w:after="0"/>
              <w:rPr>
                <w:sz w:val="2"/>
                <w:szCs w:val="2"/>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10.19</w:t>
            </w:r>
          </w:p>
        </w:tc>
        <w:tc>
          <w:tcPr>
            <w:tcW w:w="6920" w:type="dxa"/>
            <w:vAlign w:val="bottom"/>
            <w:gridSpan w:val="21"/>
          </w:tcPr>
          <w:p>
            <w:pPr>
              <w:spacing w:after="0" w:line="174" w:lineRule="exact"/>
              <w:rPr>
                <w:rFonts w:ascii="Arial" w:cs="Arial" w:eastAsia="Arial" w:hAnsi="Arial"/>
                <w:sz w:val="18"/>
                <w:szCs w:val="18"/>
                <w:color w:val="0000FF"/>
              </w:rPr>
            </w:pPr>
            <w:hyperlink r:id="rId109">
              <w:r>
                <w:rPr>
                  <w:rFonts w:ascii="Arial" w:cs="Arial" w:eastAsia="Arial" w:hAnsi="Arial"/>
                  <w:sz w:val="18"/>
                  <w:szCs w:val="18"/>
                  <w:color w:val="0000FF"/>
                </w:rPr>
                <w:t>Murphy Oil Corporation 2021 Stock Plan for Non-Employee Directors</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A to definitive proxy statement</w:t>
            </w:r>
          </w:p>
        </w:tc>
      </w:tr>
      <w:tr>
        <w:trPr>
          <w:trHeight w:val="210"/>
        </w:trPr>
        <w:tc>
          <w:tcPr>
            <w:tcW w:w="116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filed March 26, 2021</w:t>
            </w:r>
          </w:p>
        </w:tc>
      </w:tr>
      <w:tr>
        <w:trPr>
          <w:trHeight w:val="184"/>
        </w:trPr>
        <w:tc>
          <w:tcPr>
            <w:tcW w:w="11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7"/>
              </w:rPr>
              <w:t>10.20</w:t>
            </w:r>
          </w:p>
        </w:tc>
        <w:tc>
          <w:tcPr>
            <w:tcW w:w="6920" w:type="dxa"/>
            <w:vAlign w:val="bottom"/>
            <w:gridSpan w:val="21"/>
            <w:shd w:val="clear" w:color="auto" w:fill="CCEEFF"/>
          </w:tcPr>
          <w:p>
            <w:pPr>
              <w:spacing w:after="0" w:line="177" w:lineRule="exact"/>
              <w:rPr>
                <w:rFonts w:ascii="Arial" w:cs="Arial" w:eastAsia="Arial" w:hAnsi="Arial"/>
                <w:sz w:val="18"/>
                <w:szCs w:val="18"/>
                <w:color w:val="0000FF"/>
              </w:rPr>
            </w:pPr>
            <w:hyperlink r:id="rId110">
              <w:r>
                <w:rPr>
                  <w:rFonts w:ascii="Arial" w:cs="Arial" w:eastAsia="Arial" w:hAnsi="Arial"/>
                  <w:sz w:val="18"/>
                  <w:szCs w:val="18"/>
                  <w:color w:val="0000FF"/>
                </w:rPr>
                <w:t>Form of non-employee director restricted stock unit award – stock settled grant</w:t>
              </w:r>
            </w:hyperlink>
          </w:p>
        </w:tc>
        <w:tc>
          <w:tcPr>
            <w:tcW w:w="3160" w:type="dxa"/>
            <w:vAlign w:val="bottom"/>
            <w:shd w:val="clear" w:color="auto" w:fill="CCEEFF"/>
          </w:tcPr>
          <w:p>
            <w:pPr>
              <w:ind w:left="100"/>
              <w:spacing w:after="0" w:line="177" w:lineRule="exact"/>
              <w:rPr>
                <w:sz w:val="20"/>
                <w:szCs w:val="20"/>
                <w:color w:val="auto"/>
              </w:rPr>
            </w:pPr>
            <w:r>
              <w:rPr>
                <w:rFonts w:ascii="Arial" w:cs="Arial" w:eastAsia="Arial" w:hAnsi="Arial"/>
                <w:sz w:val="18"/>
                <w:szCs w:val="18"/>
                <w:color w:val="auto"/>
              </w:rPr>
              <w:t>Exhibit 10.27 to Form 10-Q filed</w:t>
            </w:r>
          </w:p>
        </w:tc>
      </w:tr>
      <w:tr>
        <w:trPr>
          <w:trHeight w:val="160"/>
        </w:trPr>
        <w:tc>
          <w:tcPr>
            <w:tcW w:w="1160" w:type="dxa"/>
            <w:vAlign w:val="bottom"/>
            <w:tcBorders>
              <w:top w:val="single" w:sz="8" w:color="CCEEFF"/>
            </w:tcBorders>
            <w:shd w:val="clear" w:color="auto" w:fill="CCEEFF"/>
          </w:tcPr>
          <w:p>
            <w:pPr>
              <w:spacing w:after="0"/>
              <w:rPr>
                <w:sz w:val="13"/>
                <w:szCs w:val="13"/>
                <w:color w:val="auto"/>
              </w:rPr>
            </w:pPr>
          </w:p>
        </w:tc>
        <w:tc>
          <w:tcPr>
            <w:tcW w:w="6200" w:type="dxa"/>
            <w:vAlign w:val="bottom"/>
            <w:tcBorders>
              <w:top w:val="single" w:sz="8" w:color="0000FF"/>
            </w:tcBorders>
            <w:gridSpan w:val="16"/>
            <w:shd w:val="clear" w:color="auto" w:fill="CCEEFF"/>
          </w:tcPr>
          <w:p>
            <w:pPr>
              <w:spacing w:after="0" w:line="160" w:lineRule="exact"/>
              <w:rPr>
                <w:rFonts w:ascii="Arial" w:cs="Arial" w:eastAsia="Arial" w:hAnsi="Arial"/>
                <w:sz w:val="18"/>
                <w:szCs w:val="18"/>
                <w:color w:val="0000FF"/>
              </w:rPr>
            </w:pPr>
            <w:hyperlink r:id="rId110">
              <w:r>
                <w:rPr>
                  <w:rFonts w:ascii="Arial" w:cs="Arial" w:eastAsia="Arial" w:hAnsi="Arial"/>
                  <w:sz w:val="18"/>
                  <w:szCs w:val="18"/>
                  <w:color w:val="0000FF"/>
                </w:rPr>
                <w:t>agreement (2021 NED Plan)</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160" w:type="dxa"/>
            <w:vAlign w:val="bottom"/>
            <w:tcBorders>
              <w:top w:val="single" w:sz="8" w:color="CCEEFF"/>
            </w:tcBorders>
            <w:shd w:val="clear" w:color="auto" w:fill="CCEEFF"/>
          </w:tcPr>
          <w:p>
            <w:pPr>
              <w:ind w:left="100"/>
              <w:spacing w:after="0" w:line="160" w:lineRule="exact"/>
              <w:rPr>
                <w:sz w:val="20"/>
                <w:szCs w:val="20"/>
                <w:color w:val="auto"/>
              </w:rPr>
            </w:pPr>
            <w:r>
              <w:rPr>
                <w:rFonts w:ascii="Arial" w:cs="Arial" w:eastAsia="Arial" w:hAnsi="Arial"/>
                <w:sz w:val="18"/>
                <w:szCs w:val="18"/>
                <w:color w:val="auto"/>
              </w:rPr>
              <w:t>August 5, 2021</w:t>
            </w:r>
          </w:p>
        </w:tc>
      </w:tr>
      <w:tr>
        <w:trPr>
          <w:trHeight w:val="33"/>
        </w:trPr>
        <w:tc>
          <w:tcPr>
            <w:tcW w:w="1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CCEEFF"/>
            </w:tcBorders>
            <w:shd w:val="clear" w:color="auto" w:fill="CCEEFF"/>
          </w:tcPr>
          <w:p>
            <w:pPr>
              <w:spacing w:after="0"/>
              <w:rPr>
                <w:sz w:val="2"/>
                <w:szCs w:val="2"/>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10.21</w:t>
            </w:r>
          </w:p>
        </w:tc>
        <w:tc>
          <w:tcPr>
            <w:tcW w:w="6920" w:type="dxa"/>
            <w:vAlign w:val="bottom"/>
            <w:gridSpan w:val="21"/>
          </w:tcPr>
          <w:p>
            <w:pPr>
              <w:spacing w:after="0" w:line="174" w:lineRule="exact"/>
              <w:rPr>
                <w:rFonts w:ascii="Arial" w:cs="Arial" w:eastAsia="Arial" w:hAnsi="Arial"/>
                <w:sz w:val="18"/>
                <w:szCs w:val="18"/>
                <w:color w:val="0000FF"/>
              </w:rPr>
            </w:pPr>
            <w:hyperlink r:id="rId111">
              <w:r>
                <w:rPr>
                  <w:rFonts w:ascii="Arial" w:cs="Arial" w:eastAsia="Arial" w:hAnsi="Arial"/>
                  <w:sz w:val="18"/>
                  <w:szCs w:val="18"/>
                  <w:color w:val="0000FF"/>
                </w:rPr>
                <w:t>Murphy Oil Corporation Non-Qualified Deferred Compensation Plan for Non-Employee</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10.6 to Form 10-K filed</w:t>
            </w:r>
          </w:p>
        </w:tc>
      </w:tr>
      <w:tr>
        <w:trPr>
          <w:trHeight w:val="160"/>
        </w:trPr>
        <w:tc>
          <w:tcPr>
            <w:tcW w:w="1160" w:type="dxa"/>
            <w:vAlign w:val="bottom"/>
          </w:tcPr>
          <w:p>
            <w:pPr>
              <w:spacing w:after="0"/>
              <w:rPr>
                <w:sz w:val="13"/>
                <w:szCs w:val="13"/>
                <w:color w:val="auto"/>
              </w:rPr>
            </w:pPr>
          </w:p>
        </w:tc>
        <w:tc>
          <w:tcPr>
            <w:tcW w:w="6800" w:type="dxa"/>
            <w:vAlign w:val="bottom"/>
            <w:tcBorders>
              <w:top w:val="single" w:sz="8" w:color="0000FF"/>
            </w:tcBorders>
            <w:gridSpan w:val="20"/>
          </w:tcPr>
          <w:p>
            <w:pPr>
              <w:spacing w:after="0" w:line="160" w:lineRule="exact"/>
              <w:rPr>
                <w:rFonts w:ascii="Arial" w:cs="Arial" w:eastAsia="Arial" w:hAnsi="Arial"/>
                <w:sz w:val="18"/>
                <w:szCs w:val="18"/>
                <w:color w:val="0000FF"/>
              </w:rPr>
            </w:pPr>
            <w:hyperlink r:id="rId111">
              <w:r>
                <w:rPr>
                  <w:rFonts w:ascii="Arial" w:cs="Arial" w:eastAsia="Arial" w:hAnsi="Arial"/>
                  <w:sz w:val="18"/>
                  <w:szCs w:val="18"/>
                  <w:color w:val="0000FF"/>
                </w:rPr>
                <w:t>Directors</w:t>
              </w:r>
            </w:hyperlink>
          </w:p>
        </w:tc>
        <w:tc>
          <w:tcPr>
            <w:tcW w:w="120" w:type="dxa"/>
            <w:vAlign w:val="bottom"/>
          </w:tcPr>
          <w:p>
            <w:pPr>
              <w:spacing w:after="0"/>
              <w:rPr>
                <w:sz w:val="13"/>
                <w:szCs w:val="13"/>
                <w:color w:val="auto"/>
              </w:rPr>
            </w:pPr>
          </w:p>
        </w:tc>
        <w:tc>
          <w:tcPr>
            <w:tcW w:w="3160" w:type="dxa"/>
            <w:vAlign w:val="bottom"/>
          </w:tcPr>
          <w:p>
            <w:pPr>
              <w:ind w:left="100"/>
              <w:spacing w:after="0" w:line="160" w:lineRule="exact"/>
              <w:rPr>
                <w:sz w:val="20"/>
                <w:szCs w:val="20"/>
                <w:color w:val="auto"/>
              </w:rPr>
            </w:pPr>
            <w:r>
              <w:rPr>
                <w:rFonts w:ascii="Arial" w:cs="Arial" w:eastAsia="Arial" w:hAnsi="Arial"/>
                <w:sz w:val="18"/>
                <w:szCs w:val="18"/>
                <w:color w:val="auto"/>
              </w:rPr>
              <w:t>February 26, 2016</w:t>
            </w:r>
          </w:p>
        </w:tc>
      </w:tr>
      <w:tr>
        <w:trPr>
          <w:trHeight w:val="33"/>
        </w:trPr>
        <w:tc>
          <w:tcPr>
            <w:tcW w:w="116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180"/>
        </w:trPr>
        <w:tc>
          <w:tcPr>
            <w:tcW w:w="11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7"/>
              </w:rPr>
              <w:t>10.22</w:t>
            </w:r>
          </w:p>
        </w:tc>
        <w:tc>
          <w:tcPr>
            <w:tcW w:w="6920" w:type="dxa"/>
            <w:vAlign w:val="bottom"/>
            <w:gridSpan w:val="21"/>
            <w:shd w:val="clear" w:color="auto" w:fill="CCEEFF"/>
          </w:tcPr>
          <w:p>
            <w:pPr>
              <w:spacing w:after="0" w:line="174" w:lineRule="exact"/>
              <w:rPr>
                <w:rFonts w:ascii="Arial" w:cs="Arial" w:eastAsia="Arial" w:hAnsi="Arial"/>
                <w:sz w:val="18"/>
                <w:szCs w:val="18"/>
                <w:color w:val="0000FF"/>
              </w:rPr>
            </w:pPr>
            <w:hyperlink r:id="rId112">
              <w:r>
                <w:rPr>
                  <w:rFonts w:ascii="Arial" w:cs="Arial" w:eastAsia="Arial" w:hAnsi="Arial"/>
                  <w:sz w:val="18"/>
                  <w:szCs w:val="18"/>
                  <w:color w:val="0000FF"/>
                </w:rPr>
                <w:t>Trademark License Agreement dated as of August 30, 2013, between Murphy Oil</w:t>
              </w:r>
            </w:hyperlink>
          </w:p>
        </w:tc>
        <w:tc>
          <w:tcPr>
            <w:tcW w:w="31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Exhibit 10.4 to Form 8-K filed</w:t>
            </w:r>
          </w:p>
        </w:tc>
      </w:tr>
      <w:tr>
        <w:trPr>
          <w:trHeight w:val="194"/>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680" w:type="dxa"/>
            <w:vAlign w:val="bottom"/>
            <w:tcBorders>
              <w:top w:val="single" w:sz="8" w:color="0000FF"/>
              <w:bottom w:val="single" w:sz="8" w:color="0000FF"/>
            </w:tcBorders>
            <w:gridSpan w:val="4"/>
            <w:shd w:val="clear" w:color="auto" w:fill="CCEEFF"/>
          </w:tcPr>
          <w:p>
            <w:pPr>
              <w:spacing w:after="0" w:line="160"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Corporation and Murphy USA Inc.</w:t>
              </w:r>
            </w:hyperlink>
          </w:p>
        </w:tc>
        <w:tc>
          <w:tcPr>
            <w:tcW w:w="372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160" w:type="dxa"/>
            <w:vAlign w:val="bottom"/>
            <w:tcBorders>
              <w:top w:val="single" w:sz="8" w:color="CCEEFF"/>
              <w:bottom w:val="single" w:sz="8" w:color="CCEEFF"/>
            </w:tcBorders>
            <w:shd w:val="clear" w:color="auto" w:fill="CCEEFF"/>
          </w:tcPr>
          <w:p>
            <w:pPr>
              <w:ind w:left="100"/>
              <w:spacing w:after="0" w:line="160" w:lineRule="exact"/>
              <w:rPr>
                <w:sz w:val="20"/>
                <w:szCs w:val="20"/>
                <w:color w:val="auto"/>
              </w:rPr>
            </w:pPr>
            <w:r>
              <w:rPr>
                <w:rFonts w:ascii="Arial" w:cs="Arial" w:eastAsia="Arial" w:hAnsi="Arial"/>
                <w:sz w:val="18"/>
                <w:szCs w:val="18"/>
                <w:color w:val="auto"/>
              </w:rPr>
              <w:t>September 5, 2013</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10.23</w:t>
            </w:r>
          </w:p>
        </w:tc>
        <w:tc>
          <w:tcPr>
            <w:tcW w:w="6920" w:type="dxa"/>
            <w:vAlign w:val="bottom"/>
            <w:gridSpan w:val="21"/>
          </w:tcPr>
          <w:p>
            <w:pPr>
              <w:spacing w:after="0" w:line="174" w:lineRule="exact"/>
              <w:rPr>
                <w:rFonts w:ascii="Arial" w:cs="Arial" w:eastAsia="Arial" w:hAnsi="Arial"/>
                <w:sz w:val="18"/>
                <w:szCs w:val="18"/>
                <w:color w:val="0000FF"/>
              </w:rPr>
            </w:pPr>
            <w:hyperlink r:id="rId113">
              <w:r>
                <w:rPr>
                  <w:rFonts w:ascii="Arial" w:cs="Arial" w:eastAsia="Arial" w:hAnsi="Arial"/>
                  <w:sz w:val="18"/>
                  <w:szCs w:val="18"/>
                  <w:color w:val="0000FF"/>
                </w:rPr>
                <w:t>Form of employee performance-based restricted stock unit (2020 LTI Plan)</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10.30 to Form 10-K filed</w:t>
            </w:r>
          </w:p>
        </w:tc>
      </w:tr>
      <w:tr>
        <w:trPr>
          <w:trHeight w:val="210"/>
        </w:trPr>
        <w:tc>
          <w:tcPr>
            <w:tcW w:w="116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February 23, 2024</w:t>
            </w:r>
          </w:p>
        </w:tc>
      </w:tr>
      <w:tr>
        <w:trPr>
          <w:trHeight w:val="184"/>
        </w:trPr>
        <w:tc>
          <w:tcPr>
            <w:tcW w:w="11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7"/>
              </w:rPr>
              <w:t>10.24</w:t>
            </w:r>
          </w:p>
        </w:tc>
        <w:tc>
          <w:tcPr>
            <w:tcW w:w="6920" w:type="dxa"/>
            <w:vAlign w:val="bottom"/>
            <w:gridSpan w:val="21"/>
            <w:shd w:val="clear" w:color="auto" w:fill="CCEEFF"/>
          </w:tcPr>
          <w:p>
            <w:pPr>
              <w:spacing w:after="0" w:line="177" w:lineRule="exact"/>
              <w:rPr>
                <w:rFonts w:ascii="Arial" w:cs="Arial" w:eastAsia="Arial" w:hAnsi="Arial"/>
                <w:sz w:val="18"/>
                <w:szCs w:val="18"/>
                <w:color w:val="0000FF"/>
              </w:rPr>
            </w:pPr>
            <w:hyperlink r:id="rId114">
              <w:r>
                <w:rPr>
                  <w:rFonts w:ascii="Arial" w:cs="Arial" w:eastAsia="Arial" w:hAnsi="Arial"/>
                  <w:sz w:val="18"/>
                  <w:szCs w:val="18"/>
                  <w:color w:val="0000FF"/>
                </w:rPr>
                <w:t>Form of employee time-based restricted stock unit – A (2020 LTI Plan)</w:t>
              </w:r>
            </w:hyperlink>
          </w:p>
        </w:tc>
        <w:tc>
          <w:tcPr>
            <w:tcW w:w="3160" w:type="dxa"/>
            <w:vAlign w:val="bottom"/>
            <w:shd w:val="clear" w:color="auto" w:fill="CCEEFF"/>
          </w:tcPr>
          <w:p>
            <w:pPr>
              <w:ind w:left="100"/>
              <w:spacing w:after="0" w:line="177" w:lineRule="exact"/>
              <w:rPr>
                <w:sz w:val="20"/>
                <w:szCs w:val="20"/>
                <w:color w:val="auto"/>
              </w:rPr>
            </w:pPr>
            <w:r>
              <w:rPr>
                <w:rFonts w:ascii="Arial" w:cs="Arial" w:eastAsia="Arial" w:hAnsi="Arial"/>
                <w:sz w:val="18"/>
                <w:szCs w:val="18"/>
                <w:color w:val="auto"/>
              </w:rPr>
              <w:t>Exhibit 10.31 to Form 10-K filed</w:t>
            </w:r>
          </w:p>
        </w:tc>
      </w:tr>
      <w:tr>
        <w:trPr>
          <w:trHeight w:val="214"/>
        </w:trPr>
        <w:tc>
          <w:tcPr>
            <w:tcW w:w="1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10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February 23, 2024</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10.25</w:t>
            </w:r>
          </w:p>
        </w:tc>
        <w:tc>
          <w:tcPr>
            <w:tcW w:w="6920" w:type="dxa"/>
            <w:vAlign w:val="bottom"/>
            <w:gridSpan w:val="21"/>
          </w:tcPr>
          <w:p>
            <w:pPr>
              <w:spacing w:after="0" w:line="174" w:lineRule="exact"/>
              <w:rPr>
                <w:rFonts w:ascii="Arial" w:cs="Arial" w:eastAsia="Arial" w:hAnsi="Arial"/>
                <w:sz w:val="18"/>
                <w:szCs w:val="18"/>
                <w:color w:val="0000FF"/>
              </w:rPr>
            </w:pPr>
            <w:hyperlink r:id="rId115">
              <w:r>
                <w:rPr>
                  <w:rFonts w:ascii="Arial" w:cs="Arial" w:eastAsia="Arial" w:hAnsi="Arial"/>
                  <w:sz w:val="18"/>
                  <w:szCs w:val="18"/>
                  <w:color w:val="0000FF"/>
                </w:rPr>
                <w:t>Form of employee time-based restricted stock unit – B (2020 LTI Plan)</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10.32 to Form 10-K filed</w:t>
            </w:r>
          </w:p>
        </w:tc>
      </w:tr>
      <w:tr>
        <w:trPr>
          <w:trHeight w:val="210"/>
        </w:trPr>
        <w:tc>
          <w:tcPr>
            <w:tcW w:w="116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February 23, 2024</w:t>
            </w:r>
          </w:p>
        </w:tc>
      </w:tr>
      <w:tr>
        <w:trPr>
          <w:trHeight w:val="184"/>
        </w:trPr>
        <w:tc>
          <w:tcPr>
            <w:tcW w:w="11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7"/>
              </w:rPr>
              <w:t>10.26</w:t>
            </w:r>
          </w:p>
        </w:tc>
        <w:tc>
          <w:tcPr>
            <w:tcW w:w="6920" w:type="dxa"/>
            <w:vAlign w:val="bottom"/>
            <w:gridSpan w:val="21"/>
            <w:shd w:val="clear" w:color="auto" w:fill="CCEEFF"/>
          </w:tcPr>
          <w:p>
            <w:pPr>
              <w:spacing w:after="0" w:line="177" w:lineRule="exact"/>
              <w:rPr>
                <w:rFonts w:ascii="Arial" w:cs="Arial" w:eastAsia="Arial" w:hAnsi="Arial"/>
                <w:sz w:val="18"/>
                <w:szCs w:val="18"/>
                <w:color w:val="0000FF"/>
              </w:rPr>
            </w:pPr>
            <w:hyperlink r:id="rId116">
              <w:r>
                <w:rPr>
                  <w:rFonts w:ascii="Arial" w:cs="Arial" w:eastAsia="Arial" w:hAnsi="Arial"/>
                  <w:sz w:val="18"/>
                  <w:szCs w:val="18"/>
                  <w:color w:val="0000FF"/>
                </w:rPr>
                <w:t>Form of employee time-based restricted stock unit – C (2020 LTI Plan)</w:t>
              </w:r>
            </w:hyperlink>
          </w:p>
        </w:tc>
        <w:tc>
          <w:tcPr>
            <w:tcW w:w="3160" w:type="dxa"/>
            <w:vAlign w:val="bottom"/>
            <w:shd w:val="clear" w:color="auto" w:fill="CCEEFF"/>
          </w:tcPr>
          <w:p>
            <w:pPr>
              <w:ind w:left="100"/>
              <w:spacing w:after="0" w:line="177" w:lineRule="exact"/>
              <w:rPr>
                <w:sz w:val="20"/>
                <w:szCs w:val="20"/>
                <w:color w:val="auto"/>
              </w:rPr>
            </w:pPr>
            <w:r>
              <w:rPr>
                <w:rFonts w:ascii="Arial" w:cs="Arial" w:eastAsia="Arial" w:hAnsi="Arial"/>
                <w:sz w:val="18"/>
                <w:szCs w:val="18"/>
                <w:color w:val="auto"/>
              </w:rPr>
              <w:t>Exhibit 10.33 to Form 10-K filed</w:t>
            </w:r>
          </w:p>
        </w:tc>
      </w:tr>
      <w:tr>
        <w:trPr>
          <w:trHeight w:val="214"/>
        </w:trPr>
        <w:tc>
          <w:tcPr>
            <w:tcW w:w="1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10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February 23, 2024</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10.27</w:t>
            </w:r>
          </w:p>
        </w:tc>
        <w:tc>
          <w:tcPr>
            <w:tcW w:w="6920" w:type="dxa"/>
            <w:vAlign w:val="bottom"/>
            <w:gridSpan w:val="21"/>
          </w:tcPr>
          <w:p>
            <w:pPr>
              <w:spacing w:after="0" w:line="174" w:lineRule="exact"/>
              <w:rPr>
                <w:rFonts w:ascii="Arial" w:cs="Arial" w:eastAsia="Arial" w:hAnsi="Arial"/>
                <w:sz w:val="18"/>
                <w:szCs w:val="18"/>
                <w:color w:val="0000FF"/>
              </w:rPr>
            </w:pPr>
            <w:hyperlink r:id="rId117">
              <w:r>
                <w:rPr>
                  <w:rFonts w:ascii="Arial" w:cs="Arial" w:eastAsia="Arial" w:hAnsi="Arial"/>
                  <w:sz w:val="18"/>
                  <w:szCs w:val="18"/>
                  <w:color w:val="0000FF"/>
                </w:rPr>
                <w:t>Form of employee time-based restricted stock unit – D (2020 LTI Plan)</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10.34 to Form 10-K filed</w:t>
            </w:r>
          </w:p>
        </w:tc>
      </w:tr>
      <w:tr>
        <w:trPr>
          <w:trHeight w:val="210"/>
        </w:trPr>
        <w:tc>
          <w:tcPr>
            <w:tcW w:w="116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February 23, 2024</w:t>
            </w:r>
          </w:p>
        </w:tc>
      </w:tr>
      <w:tr>
        <w:trPr>
          <w:trHeight w:val="184"/>
        </w:trPr>
        <w:tc>
          <w:tcPr>
            <w:tcW w:w="11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7"/>
              </w:rPr>
              <w:t>10.28</w:t>
            </w:r>
          </w:p>
        </w:tc>
        <w:tc>
          <w:tcPr>
            <w:tcW w:w="6920" w:type="dxa"/>
            <w:vAlign w:val="bottom"/>
            <w:gridSpan w:val="21"/>
            <w:shd w:val="clear" w:color="auto" w:fill="CCEEFF"/>
          </w:tcPr>
          <w:p>
            <w:pPr>
              <w:spacing w:after="0" w:line="177" w:lineRule="exact"/>
              <w:rPr>
                <w:rFonts w:ascii="Arial" w:cs="Arial" w:eastAsia="Arial" w:hAnsi="Arial"/>
                <w:sz w:val="18"/>
                <w:szCs w:val="18"/>
                <w:color w:val="0000FF"/>
              </w:rPr>
            </w:pPr>
            <w:hyperlink r:id="rId118">
              <w:r>
                <w:rPr>
                  <w:rFonts w:ascii="Arial" w:cs="Arial" w:eastAsia="Arial" w:hAnsi="Arial"/>
                  <w:sz w:val="18"/>
                  <w:szCs w:val="18"/>
                  <w:color w:val="0000FF"/>
                </w:rPr>
                <w:t>Form of non-employee director elective restricted stock unit (2021 NED Plan)</w:t>
              </w:r>
            </w:hyperlink>
          </w:p>
        </w:tc>
        <w:tc>
          <w:tcPr>
            <w:tcW w:w="3160" w:type="dxa"/>
            <w:vAlign w:val="bottom"/>
            <w:shd w:val="clear" w:color="auto" w:fill="CCEEFF"/>
          </w:tcPr>
          <w:p>
            <w:pPr>
              <w:ind w:left="100"/>
              <w:spacing w:after="0" w:line="177" w:lineRule="exact"/>
              <w:rPr>
                <w:sz w:val="20"/>
                <w:szCs w:val="20"/>
                <w:color w:val="auto"/>
              </w:rPr>
            </w:pPr>
            <w:r>
              <w:rPr>
                <w:rFonts w:ascii="Arial" w:cs="Arial" w:eastAsia="Arial" w:hAnsi="Arial"/>
                <w:sz w:val="18"/>
                <w:szCs w:val="18"/>
                <w:color w:val="auto"/>
              </w:rPr>
              <w:t>Exhibit 10.35 to Form 10-Q filed May</w:t>
            </w:r>
          </w:p>
        </w:tc>
      </w:tr>
      <w:tr>
        <w:trPr>
          <w:trHeight w:val="214"/>
        </w:trPr>
        <w:tc>
          <w:tcPr>
            <w:tcW w:w="1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10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2, 2024</w:t>
            </w: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10.29</w:t>
            </w:r>
          </w:p>
        </w:tc>
        <w:tc>
          <w:tcPr>
            <w:tcW w:w="6920" w:type="dxa"/>
            <w:vAlign w:val="bottom"/>
            <w:gridSpan w:val="21"/>
          </w:tcPr>
          <w:p>
            <w:pPr>
              <w:spacing w:after="0" w:line="174" w:lineRule="exact"/>
              <w:rPr>
                <w:rFonts w:ascii="Arial" w:cs="Arial" w:eastAsia="Arial" w:hAnsi="Arial"/>
                <w:sz w:val="18"/>
                <w:szCs w:val="18"/>
                <w:color w:val="0000FF"/>
              </w:rPr>
            </w:pPr>
            <w:hyperlink r:id="rId119">
              <w:r>
                <w:rPr>
                  <w:rFonts w:ascii="Arial" w:cs="Arial" w:eastAsia="Arial" w:hAnsi="Arial"/>
                  <w:sz w:val="18"/>
                  <w:szCs w:val="18"/>
                  <w:color w:val="0000FF"/>
                </w:rPr>
                <w:t>Severance Protection Agreement dated as of August 7, 2013 between Murphy Oil</w:t>
              </w:r>
            </w:hyperlink>
          </w:p>
        </w:tc>
        <w:tc>
          <w:tcPr>
            <w:tcW w:w="3160" w:type="dxa"/>
            <w:vAlign w:val="bottom"/>
          </w:tcPr>
          <w:p>
            <w:pPr>
              <w:ind w:left="100"/>
              <w:spacing w:after="0" w:line="174" w:lineRule="exact"/>
              <w:rPr>
                <w:sz w:val="20"/>
                <w:szCs w:val="20"/>
                <w:color w:val="auto"/>
              </w:rPr>
            </w:pPr>
            <w:r>
              <w:rPr>
                <w:rFonts w:ascii="Arial" w:cs="Arial" w:eastAsia="Arial" w:hAnsi="Arial"/>
                <w:sz w:val="18"/>
                <w:szCs w:val="18"/>
                <w:color w:val="auto"/>
              </w:rPr>
              <w:t>Exhibit 10.1 to Form 8-K filed August</w:t>
            </w:r>
          </w:p>
        </w:tc>
      </w:tr>
      <w:tr>
        <w:trPr>
          <w:trHeight w:val="160"/>
        </w:trPr>
        <w:tc>
          <w:tcPr>
            <w:tcW w:w="1160" w:type="dxa"/>
            <w:vAlign w:val="bottom"/>
          </w:tcPr>
          <w:p>
            <w:pPr>
              <w:spacing w:after="0"/>
              <w:rPr>
                <w:sz w:val="13"/>
                <w:szCs w:val="13"/>
                <w:color w:val="auto"/>
              </w:rPr>
            </w:pPr>
          </w:p>
        </w:tc>
        <w:tc>
          <w:tcPr>
            <w:tcW w:w="6440" w:type="dxa"/>
            <w:vAlign w:val="bottom"/>
            <w:tcBorders>
              <w:top w:val="single" w:sz="8" w:color="0000FF"/>
            </w:tcBorders>
            <w:gridSpan w:val="19"/>
          </w:tcPr>
          <w:p>
            <w:pPr>
              <w:spacing w:after="0" w:line="160" w:lineRule="exact"/>
              <w:rPr>
                <w:rFonts w:ascii="Arial" w:cs="Arial" w:eastAsia="Arial" w:hAnsi="Arial"/>
                <w:sz w:val="18"/>
                <w:szCs w:val="18"/>
                <w:color w:val="0000FF"/>
              </w:rPr>
            </w:pPr>
            <w:hyperlink r:id="rId119">
              <w:r>
                <w:rPr>
                  <w:rFonts w:ascii="Arial" w:cs="Arial" w:eastAsia="Arial" w:hAnsi="Arial"/>
                  <w:sz w:val="18"/>
                  <w:szCs w:val="18"/>
                  <w:color w:val="0000FF"/>
                </w:rPr>
                <w:t>Corporation and Roger W. Jenkins</w:t>
              </w:r>
            </w:hyperlink>
          </w:p>
        </w:tc>
        <w:tc>
          <w:tcPr>
            <w:tcW w:w="480" w:type="dxa"/>
            <w:vAlign w:val="bottom"/>
            <w:gridSpan w:val="2"/>
          </w:tcPr>
          <w:p>
            <w:pPr>
              <w:spacing w:after="0"/>
              <w:rPr>
                <w:sz w:val="13"/>
                <w:szCs w:val="13"/>
                <w:color w:val="auto"/>
              </w:rPr>
            </w:pPr>
          </w:p>
        </w:tc>
        <w:tc>
          <w:tcPr>
            <w:tcW w:w="3160" w:type="dxa"/>
            <w:vAlign w:val="bottom"/>
          </w:tcPr>
          <w:p>
            <w:pPr>
              <w:ind w:left="100"/>
              <w:spacing w:after="0" w:line="160" w:lineRule="exact"/>
              <w:rPr>
                <w:sz w:val="20"/>
                <w:szCs w:val="20"/>
                <w:color w:val="auto"/>
              </w:rPr>
            </w:pPr>
            <w:r>
              <w:rPr>
                <w:rFonts w:ascii="Arial" w:cs="Arial" w:eastAsia="Arial" w:hAnsi="Arial"/>
                <w:sz w:val="18"/>
                <w:szCs w:val="18"/>
                <w:color w:val="auto"/>
              </w:rPr>
              <w:t>9, 2013</w:t>
            </w:r>
          </w:p>
        </w:tc>
      </w:tr>
      <w:tr>
        <w:trPr>
          <w:trHeight w:val="918"/>
        </w:trPr>
        <w:tc>
          <w:tcPr>
            <w:tcW w:w="1160" w:type="dxa"/>
            <w:vAlign w:val="bottom"/>
          </w:tcPr>
          <w:p>
            <w:pPr>
              <w:spacing w:after="0"/>
              <w:rPr>
                <w:sz w:val="24"/>
                <w:szCs w:val="24"/>
                <w:color w:val="auto"/>
              </w:rPr>
            </w:pPr>
          </w:p>
        </w:tc>
        <w:tc>
          <w:tcPr>
            <w:tcW w:w="2720" w:type="dxa"/>
            <w:vAlign w:val="bottom"/>
            <w:tcBorders>
              <w:top w:val="single" w:sz="8" w:color="0000FF"/>
            </w:tcBorders>
            <w:gridSpan w:val="5"/>
          </w:tcPr>
          <w:p>
            <w:pPr>
              <w:spacing w:after="0"/>
              <w:rPr>
                <w:sz w:val="24"/>
                <w:szCs w:val="24"/>
                <w:color w:val="auto"/>
              </w:rPr>
            </w:pPr>
          </w:p>
        </w:tc>
        <w:tc>
          <w:tcPr>
            <w:tcW w:w="2720" w:type="dxa"/>
            <w:vAlign w:val="bottom"/>
            <w:gridSpan w:val="3"/>
          </w:tcPr>
          <w:p>
            <w:pPr>
              <w:jc w:val="right"/>
              <w:ind w:right="8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8"/>
        </w:trPr>
        <w:tc>
          <w:tcPr>
            <w:tcW w:w="11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10.30</w:t>
            </w:r>
          </w:p>
        </w:tc>
        <w:tc>
          <w:tcPr>
            <w:tcW w:w="7020" w:type="dxa"/>
            <w:vAlign w:val="bottom"/>
            <w:gridSpan w:val="17"/>
            <w:shd w:val="clear" w:color="auto" w:fill="CCEEFF"/>
          </w:tcPr>
          <w:p>
            <w:pPr>
              <w:spacing w:after="0"/>
              <w:rPr>
                <w:rFonts w:ascii="Arial" w:cs="Arial" w:eastAsia="Arial" w:hAnsi="Arial"/>
                <w:sz w:val="18"/>
                <w:szCs w:val="18"/>
                <w:color w:val="0000FF"/>
              </w:rPr>
            </w:pPr>
            <w:hyperlink r:id="rId122">
              <w:r>
                <w:rPr>
                  <w:rFonts w:ascii="Arial" w:cs="Arial" w:eastAsia="Arial" w:hAnsi="Arial"/>
                  <w:sz w:val="18"/>
                  <w:szCs w:val="18"/>
                  <w:color w:val="0000FF"/>
                </w:rPr>
                <w:t>Amendment to Severance Protection Agreement dated as of August 7, 2013, between</w:t>
              </w:r>
            </w:hyperlink>
          </w:p>
        </w:tc>
        <w:tc>
          <w:tcPr>
            <w:tcW w:w="30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Exhibit 10.1 to Form 10-Q filed May 2,</w:t>
            </w:r>
          </w:p>
        </w:tc>
      </w:tr>
      <w:tr>
        <w:trPr>
          <w:trHeight w:val="194"/>
        </w:trPr>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3640" w:type="dxa"/>
            <w:vAlign w:val="bottom"/>
            <w:tcBorders>
              <w:top w:val="single" w:sz="8" w:color="0000FF"/>
              <w:bottom w:val="single" w:sz="8" w:color="0000FF"/>
            </w:tcBorders>
            <w:gridSpan w:val="6"/>
            <w:shd w:val="clear" w:color="auto" w:fill="CCEEFF"/>
          </w:tcPr>
          <w:p>
            <w:pPr>
              <w:spacing w:after="0" w:line="160" w:lineRule="exact"/>
              <w:rPr>
                <w:rFonts w:ascii="Arial" w:cs="Arial" w:eastAsia="Arial" w:hAnsi="Arial"/>
                <w:sz w:val="18"/>
                <w:szCs w:val="18"/>
                <w:color w:val="0000FF"/>
                <w:w w:val="98"/>
              </w:rPr>
            </w:pPr>
            <w:hyperlink r:id="rId122">
              <w:r>
                <w:rPr>
                  <w:rFonts w:ascii="Arial" w:cs="Arial" w:eastAsia="Arial" w:hAnsi="Arial"/>
                  <w:sz w:val="18"/>
                  <w:szCs w:val="18"/>
                  <w:color w:val="0000FF"/>
                  <w:w w:val="98"/>
                </w:rPr>
                <w:t>Murphy Oil Corporation and Roger W. Jenkins</w:t>
              </w:r>
            </w:hyperlink>
          </w:p>
        </w:tc>
        <w:tc>
          <w:tcPr>
            <w:tcW w:w="314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gridSpan w:val="2"/>
            <w:shd w:val="clear" w:color="auto" w:fill="CCEEFF"/>
          </w:tcPr>
          <w:p>
            <w:pPr>
              <w:spacing w:after="0" w:line="160" w:lineRule="exact"/>
              <w:rPr>
                <w:sz w:val="20"/>
                <w:szCs w:val="20"/>
                <w:color w:val="auto"/>
              </w:rPr>
            </w:pPr>
            <w:r>
              <w:rPr>
                <w:rFonts w:ascii="Arial" w:cs="Arial" w:eastAsia="Arial" w:hAnsi="Arial"/>
                <w:sz w:val="18"/>
                <w:szCs w:val="18"/>
                <w:color w:val="auto"/>
              </w:rPr>
              <w:t>2019</w:t>
            </w: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0"/>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7"/>
              </w:rPr>
              <w:t>10.31</w:t>
            </w:r>
          </w:p>
        </w:tc>
        <w:tc>
          <w:tcPr>
            <w:tcW w:w="7020" w:type="dxa"/>
            <w:vAlign w:val="bottom"/>
            <w:gridSpan w:val="17"/>
          </w:tcPr>
          <w:p>
            <w:pPr>
              <w:spacing w:after="0" w:line="174"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Credit Agreement, dated as of October 7, 2024, among Murphy Oil Corporation, Murphy</w:t>
              </w:r>
            </w:hyperlink>
          </w:p>
        </w:tc>
        <w:tc>
          <w:tcPr>
            <w:tcW w:w="3060" w:type="dxa"/>
            <w:vAlign w:val="bottom"/>
            <w:gridSpan w:val="7"/>
          </w:tcPr>
          <w:p>
            <w:pPr>
              <w:spacing w:after="0" w:line="174" w:lineRule="exact"/>
              <w:rPr>
                <w:sz w:val="20"/>
                <w:szCs w:val="20"/>
                <w:color w:val="auto"/>
              </w:rPr>
            </w:pPr>
            <w:r>
              <w:rPr>
                <w:rFonts w:ascii="Arial" w:cs="Arial" w:eastAsia="Arial" w:hAnsi="Arial"/>
                <w:sz w:val="18"/>
                <w:szCs w:val="18"/>
                <w:color w:val="auto"/>
              </w:rPr>
              <w:t>Exhibit 10.1 to Form 8-K filed October</w:t>
            </w:r>
          </w:p>
        </w:tc>
      </w:tr>
      <w:tr>
        <w:trPr>
          <w:trHeight w:val="160"/>
        </w:trPr>
        <w:tc>
          <w:tcPr>
            <w:tcW w:w="116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13"/>
          </w:tcPr>
          <w:p>
            <w:pPr>
              <w:spacing w:after="0" w:line="160" w:lineRule="exact"/>
              <w:rPr>
                <w:rFonts w:ascii="Arial" w:cs="Arial" w:eastAsia="Arial" w:hAnsi="Arial"/>
                <w:sz w:val="18"/>
                <w:szCs w:val="18"/>
                <w:color w:val="0000FF"/>
                <w:w w:val="98"/>
              </w:rPr>
            </w:pPr>
            <w:hyperlink r:id="rId123">
              <w:r>
                <w:rPr>
                  <w:rFonts w:ascii="Arial" w:cs="Arial" w:eastAsia="Arial" w:hAnsi="Arial"/>
                  <w:sz w:val="18"/>
                  <w:szCs w:val="18"/>
                  <w:color w:val="0000FF"/>
                  <w:w w:val="98"/>
                </w:rPr>
                <w:t>Exploration &amp; Production Company – International and Murphy Oil Company Ltd., as</w:t>
              </w:r>
            </w:hyperlink>
          </w:p>
        </w:tc>
        <w:tc>
          <w:tcPr>
            <w:tcW w:w="26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line="160" w:lineRule="exact"/>
              <w:rPr>
                <w:sz w:val="20"/>
                <w:szCs w:val="20"/>
                <w:color w:val="auto"/>
              </w:rPr>
            </w:pPr>
            <w:r>
              <w:rPr>
                <w:rFonts w:ascii="Arial" w:cs="Arial" w:eastAsia="Arial" w:hAnsi="Arial"/>
                <w:sz w:val="18"/>
                <w:szCs w:val="18"/>
                <w:color w:val="auto"/>
              </w:rPr>
              <w:t>7, 2024</w:t>
            </w: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4"/>
        </w:trPr>
        <w:tc>
          <w:tcPr>
            <w:tcW w:w="1160" w:type="dxa"/>
            <w:vAlign w:val="bottom"/>
          </w:tcPr>
          <w:p>
            <w:pPr>
              <w:spacing w:after="0"/>
              <w:rPr>
                <w:sz w:val="13"/>
                <w:szCs w:val="13"/>
                <w:color w:val="auto"/>
              </w:rPr>
            </w:pPr>
          </w:p>
        </w:tc>
        <w:tc>
          <w:tcPr>
            <w:tcW w:w="7020" w:type="dxa"/>
            <w:vAlign w:val="bottom"/>
            <w:gridSpan w:val="17"/>
          </w:tcPr>
          <w:p>
            <w:pPr>
              <w:spacing w:after="0" w:line="154" w:lineRule="exact"/>
              <w:rPr>
                <w:rFonts w:ascii="Arial" w:cs="Arial" w:eastAsia="Arial" w:hAnsi="Arial"/>
                <w:sz w:val="17"/>
                <w:szCs w:val="17"/>
                <w:color w:val="0000FF"/>
              </w:rPr>
            </w:pPr>
            <w:hyperlink r:id="rId123">
              <w:r>
                <w:rPr>
                  <w:rFonts w:ascii="Arial" w:cs="Arial" w:eastAsia="Arial" w:hAnsi="Arial"/>
                  <w:sz w:val="17"/>
                  <w:szCs w:val="17"/>
                  <w:color w:val="0000FF"/>
                </w:rPr>
                <w:t>borrowers, JPMorgan Chase Bank N.A., as administrative agent, and the lenders party</w:t>
              </w:r>
            </w:hyperlink>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7"/>
        </w:trPr>
        <w:tc>
          <w:tcPr>
            <w:tcW w:w="1160" w:type="dxa"/>
            <w:vAlign w:val="bottom"/>
          </w:tcPr>
          <w:p>
            <w:pPr>
              <w:spacing w:after="0"/>
              <w:rPr>
                <w:sz w:val="14"/>
                <w:szCs w:val="14"/>
                <w:color w:val="auto"/>
              </w:rPr>
            </w:pPr>
          </w:p>
        </w:tc>
        <w:tc>
          <w:tcPr>
            <w:tcW w:w="6820" w:type="dxa"/>
            <w:vAlign w:val="bottom"/>
            <w:tcBorders>
              <w:top w:val="single" w:sz="8" w:color="0000FF"/>
            </w:tcBorders>
            <w:gridSpan w:val="15"/>
          </w:tcPr>
          <w:p>
            <w:pPr>
              <w:spacing w:after="0" w:line="167" w:lineRule="exact"/>
              <w:rPr>
                <w:rFonts w:ascii="Arial" w:cs="Arial" w:eastAsia="Arial" w:hAnsi="Arial"/>
                <w:sz w:val="18"/>
                <w:szCs w:val="18"/>
                <w:color w:val="0000FF"/>
              </w:rPr>
            </w:pPr>
            <w:hyperlink r:id="rId123">
              <w:r>
                <w:rPr>
                  <w:rFonts w:ascii="Arial" w:cs="Arial" w:eastAsia="Arial" w:hAnsi="Arial"/>
                  <w:sz w:val="18"/>
                  <w:szCs w:val="18"/>
                  <w:color w:val="0000FF"/>
                </w:rPr>
                <w:t>thereto</w:t>
              </w:r>
            </w:hyperlink>
          </w:p>
        </w:tc>
        <w:tc>
          <w:tcPr>
            <w:tcW w:w="2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7"/>
        </w:trPr>
        <w:tc>
          <w:tcPr>
            <w:tcW w:w="116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auto"/>
                <w:w w:val="99"/>
              </w:rPr>
              <w:t>*10.32</w:t>
            </w:r>
          </w:p>
        </w:tc>
        <w:tc>
          <w:tcPr>
            <w:tcW w:w="7020" w:type="dxa"/>
            <w:vAlign w:val="bottom"/>
            <w:gridSpan w:val="17"/>
            <w:shd w:val="clear" w:color="auto" w:fill="CCEEFF"/>
          </w:tcPr>
          <w:p>
            <w:pPr>
              <w:spacing w:after="0" w:line="187" w:lineRule="exact"/>
              <w:rPr>
                <w:sz w:val="20"/>
                <w:szCs w:val="20"/>
                <w:color w:val="auto"/>
              </w:rPr>
            </w:pPr>
            <w:r>
              <w:rPr>
                <w:rFonts w:ascii="Arial" w:cs="Arial" w:eastAsia="Arial" w:hAnsi="Arial"/>
                <w:sz w:val="18"/>
                <w:szCs w:val="18"/>
                <w:color w:val="0000FF"/>
              </w:rPr>
              <w:t>Form of Severance Protection Agreement</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160" w:type="dxa"/>
            <w:vAlign w:val="bottom"/>
          </w:tcPr>
          <w:p>
            <w:pPr>
              <w:jc w:val="center"/>
              <w:spacing w:after="0" w:line="187" w:lineRule="exact"/>
              <w:rPr>
                <w:sz w:val="20"/>
                <w:szCs w:val="20"/>
                <w:color w:val="auto"/>
              </w:rPr>
            </w:pPr>
            <w:r>
              <w:rPr>
                <w:rFonts w:ascii="Arial" w:cs="Arial" w:eastAsia="Arial" w:hAnsi="Arial"/>
                <w:sz w:val="18"/>
                <w:szCs w:val="18"/>
                <w:color w:val="auto"/>
                <w:w w:val="99"/>
              </w:rPr>
              <w:t>*10.33</w:t>
            </w:r>
          </w:p>
        </w:tc>
        <w:tc>
          <w:tcPr>
            <w:tcW w:w="9220" w:type="dxa"/>
            <w:vAlign w:val="bottom"/>
            <w:tcBorders>
              <w:bottom w:val="single" w:sz="8" w:color="0000FF"/>
            </w:tcBorders>
            <w:gridSpan w:val="21"/>
          </w:tcPr>
          <w:p>
            <w:pPr>
              <w:spacing w:after="0" w:line="187" w:lineRule="exact"/>
              <w:rPr>
                <w:sz w:val="20"/>
                <w:szCs w:val="20"/>
                <w:color w:val="auto"/>
              </w:rPr>
            </w:pPr>
            <w:r>
              <w:rPr>
                <w:rFonts w:ascii="Arial" w:cs="Arial" w:eastAsia="Arial" w:hAnsi="Arial"/>
                <w:sz w:val="18"/>
                <w:szCs w:val="18"/>
                <w:color w:val="0000FF"/>
                <w:w w:val="98"/>
              </w:rPr>
              <w:t>First Amendment to the New Credit Agreement dated as of February 6, 2025 among Murphy Oil Corporation, Murphy</w:t>
            </w:r>
          </w:p>
        </w:tc>
        <w:tc>
          <w:tcPr>
            <w:tcW w:w="860" w:type="dxa"/>
            <w:vAlign w:val="bottom"/>
            <w:gridSpan w:val="3"/>
          </w:tcPr>
          <w:p>
            <w:pPr>
              <w:spacing w:after="0"/>
              <w:rPr>
                <w:sz w:val="16"/>
                <w:szCs w:val="16"/>
                <w:color w:val="auto"/>
              </w:rPr>
            </w:pPr>
          </w:p>
        </w:tc>
      </w:tr>
      <w:tr>
        <w:trPr>
          <w:trHeight w:val="154"/>
        </w:trPr>
        <w:tc>
          <w:tcPr>
            <w:tcW w:w="1160" w:type="dxa"/>
            <w:vAlign w:val="bottom"/>
          </w:tcPr>
          <w:p>
            <w:pPr>
              <w:spacing w:after="0"/>
              <w:rPr>
                <w:sz w:val="13"/>
                <w:szCs w:val="13"/>
                <w:color w:val="auto"/>
              </w:rPr>
            </w:pPr>
          </w:p>
        </w:tc>
        <w:tc>
          <w:tcPr>
            <w:tcW w:w="10080" w:type="dxa"/>
            <w:vAlign w:val="bottom"/>
            <w:gridSpan w:val="24"/>
          </w:tcPr>
          <w:p>
            <w:pPr>
              <w:spacing w:after="0" w:line="154" w:lineRule="exact"/>
              <w:rPr>
                <w:sz w:val="20"/>
                <w:szCs w:val="20"/>
                <w:color w:val="auto"/>
              </w:rPr>
            </w:pPr>
            <w:r>
              <w:rPr>
                <w:rFonts w:ascii="Arial" w:cs="Arial" w:eastAsia="Arial" w:hAnsi="Arial"/>
                <w:sz w:val="17"/>
                <w:szCs w:val="17"/>
                <w:color w:val="0000FF"/>
              </w:rPr>
              <w:t>Exploration &amp; Production Company – International and Murphy Oil Company Ltd., as borrowers, JPMorgan Chase Bank, N.A.,</w:t>
            </w:r>
          </w:p>
        </w:tc>
      </w:tr>
      <w:tr>
        <w:trPr>
          <w:trHeight w:val="154"/>
        </w:trPr>
        <w:tc>
          <w:tcPr>
            <w:tcW w:w="1160" w:type="dxa"/>
            <w:vAlign w:val="bottom"/>
          </w:tcPr>
          <w:p>
            <w:pPr>
              <w:spacing w:after="0"/>
              <w:rPr>
                <w:sz w:val="13"/>
                <w:szCs w:val="13"/>
                <w:color w:val="auto"/>
              </w:rPr>
            </w:pPr>
          </w:p>
        </w:tc>
        <w:tc>
          <w:tcPr>
            <w:tcW w:w="7020" w:type="dxa"/>
            <w:vAlign w:val="bottom"/>
            <w:tcBorders>
              <w:top w:val="single" w:sz="8" w:color="0000FF"/>
            </w:tcBorders>
            <w:gridSpan w:val="17"/>
          </w:tcPr>
          <w:p>
            <w:pPr>
              <w:spacing w:after="0" w:line="154" w:lineRule="exact"/>
              <w:rPr>
                <w:sz w:val="20"/>
                <w:szCs w:val="20"/>
                <w:color w:val="auto"/>
              </w:rPr>
            </w:pPr>
            <w:r>
              <w:rPr>
                <w:rFonts w:ascii="Arial" w:cs="Arial" w:eastAsia="Arial" w:hAnsi="Arial"/>
                <w:sz w:val="17"/>
                <w:szCs w:val="17"/>
                <w:color w:val="0000FF"/>
              </w:rPr>
              <w:t>as administrative agent and the lenders party hereto</w:t>
            </w:r>
          </w:p>
        </w:tc>
        <w:tc>
          <w:tcPr>
            <w:tcW w:w="2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r>
      <w:tr>
        <w:trPr>
          <w:trHeight w:val="33"/>
        </w:trPr>
        <w:tc>
          <w:tcPr>
            <w:tcW w:w="116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7"/>
        </w:trPr>
        <w:tc>
          <w:tcPr>
            <w:tcW w:w="1160" w:type="dxa"/>
            <w:vAlign w:val="bottom"/>
            <w:tcBorders>
              <w:bottom w:val="single" w:sz="8" w:color="CCEEFF"/>
            </w:tcBorders>
            <w:shd w:val="clear" w:color="auto" w:fill="CCEEFF"/>
          </w:tcPr>
          <w:p>
            <w:pPr>
              <w:jc w:val="center"/>
              <w:spacing w:after="0" w:line="187" w:lineRule="exact"/>
              <w:rPr>
                <w:sz w:val="20"/>
                <w:szCs w:val="20"/>
                <w:color w:val="auto"/>
              </w:rPr>
            </w:pPr>
            <w:r>
              <w:rPr>
                <w:rFonts w:ascii="Arial" w:cs="Arial" w:eastAsia="Arial" w:hAnsi="Arial"/>
                <w:sz w:val="18"/>
                <w:szCs w:val="18"/>
                <w:color w:val="auto"/>
                <w:w w:val="99"/>
              </w:rPr>
              <w:t>*19.1</w:t>
            </w:r>
          </w:p>
        </w:tc>
        <w:tc>
          <w:tcPr>
            <w:tcW w:w="3600" w:type="dxa"/>
            <w:vAlign w:val="bottom"/>
            <w:tcBorders>
              <w:bottom w:val="single" w:sz="8" w:color="0000FF"/>
            </w:tcBorders>
            <w:gridSpan w:val="5"/>
            <w:shd w:val="clear" w:color="auto" w:fill="CCEEFF"/>
          </w:tcPr>
          <w:p>
            <w:pPr>
              <w:spacing w:after="0" w:line="187" w:lineRule="exact"/>
              <w:rPr>
                <w:sz w:val="20"/>
                <w:szCs w:val="20"/>
                <w:color w:val="auto"/>
              </w:rPr>
            </w:pPr>
            <w:r>
              <w:rPr>
                <w:rFonts w:ascii="Arial" w:cs="Arial" w:eastAsia="Arial" w:hAnsi="Arial"/>
                <w:sz w:val="18"/>
                <w:szCs w:val="18"/>
                <w:color w:val="0000FF"/>
                <w:w w:val="98"/>
              </w:rPr>
              <w:t>Murphy Oil Corporation Insider Trading Policy</w:t>
            </w:r>
          </w:p>
        </w:tc>
        <w:tc>
          <w:tcPr>
            <w:tcW w:w="3420" w:type="dxa"/>
            <w:vAlign w:val="bottom"/>
            <w:tcBorders>
              <w:bottom w:val="single" w:sz="8" w:color="CCEEFF"/>
            </w:tcBorders>
            <w:gridSpan w:val="1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187"/>
        </w:trPr>
        <w:tc>
          <w:tcPr>
            <w:tcW w:w="1160" w:type="dxa"/>
            <w:vAlign w:val="bottom"/>
          </w:tcPr>
          <w:p>
            <w:pPr>
              <w:jc w:val="center"/>
              <w:spacing w:after="0" w:line="187" w:lineRule="exact"/>
              <w:rPr>
                <w:sz w:val="20"/>
                <w:szCs w:val="20"/>
                <w:color w:val="auto"/>
              </w:rPr>
            </w:pPr>
            <w:r>
              <w:rPr>
                <w:rFonts w:ascii="Arial" w:cs="Arial" w:eastAsia="Arial" w:hAnsi="Arial"/>
                <w:sz w:val="18"/>
                <w:szCs w:val="18"/>
                <w:color w:val="auto"/>
                <w:w w:val="99"/>
              </w:rPr>
              <w:t>*21.1</w:t>
            </w:r>
          </w:p>
        </w:tc>
        <w:tc>
          <w:tcPr>
            <w:tcW w:w="7020" w:type="dxa"/>
            <w:vAlign w:val="bottom"/>
            <w:gridSpan w:val="17"/>
          </w:tcPr>
          <w:p>
            <w:pPr>
              <w:spacing w:after="0" w:line="187" w:lineRule="exact"/>
              <w:rPr>
                <w:sz w:val="20"/>
                <w:szCs w:val="20"/>
                <w:color w:val="auto"/>
              </w:rPr>
            </w:pPr>
            <w:r>
              <w:rPr>
                <w:rFonts w:ascii="Arial" w:cs="Arial" w:eastAsia="Arial" w:hAnsi="Arial"/>
                <w:sz w:val="18"/>
                <w:szCs w:val="18"/>
                <w:color w:val="0000FF"/>
              </w:rPr>
              <w:t>Subsidiaries of Murphy Oil Corporation</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116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auto"/>
                <w:w w:val="99"/>
              </w:rPr>
              <w:t>*23.1</w:t>
            </w:r>
          </w:p>
        </w:tc>
        <w:tc>
          <w:tcPr>
            <w:tcW w:w="7020" w:type="dxa"/>
            <w:vAlign w:val="bottom"/>
            <w:gridSpan w:val="17"/>
            <w:shd w:val="clear" w:color="auto" w:fill="CCEEFF"/>
          </w:tcPr>
          <w:p>
            <w:pPr>
              <w:spacing w:after="0" w:line="187" w:lineRule="exact"/>
              <w:rPr>
                <w:sz w:val="20"/>
                <w:szCs w:val="20"/>
                <w:color w:val="auto"/>
              </w:rPr>
            </w:pPr>
            <w:r>
              <w:rPr>
                <w:rFonts w:ascii="Arial" w:cs="Arial" w:eastAsia="Arial" w:hAnsi="Arial"/>
                <w:sz w:val="18"/>
                <w:szCs w:val="18"/>
                <w:color w:val="0000FF"/>
              </w:rPr>
              <w:t>Consent of Independent Registered Public Accounting Firm</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87"/>
        </w:trPr>
        <w:tc>
          <w:tcPr>
            <w:tcW w:w="1160" w:type="dxa"/>
            <w:vAlign w:val="bottom"/>
            <w:tcBorders>
              <w:top w:val="single" w:sz="8" w:color="CCEEFF"/>
            </w:tcBorders>
          </w:tcPr>
          <w:p>
            <w:pPr>
              <w:jc w:val="center"/>
              <w:spacing w:after="0" w:line="187" w:lineRule="exact"/>
              <w:rPr>
                <w:sz w:val="20"/>
                <w:szCs w:val="20"/>
                <w:color w:val="auto"/>
              </w:rPr>
            </w:pPr>
            <w:r>
              <w:rPr>
                <w:rFonts w:ascii="Arial" w:cs="Arial" w:eastAsia="Arial" w:hAnsi="Arial"/>
                <w:sz w:val="18"/>
                <w:szCs w:val="18"/>
                <w:color w:val="auto"/>
                <w:w w:val="99"/>
              </w:rPr>
              <w:t>*23.2</w:t>
            </w:r>
          </w:p>
        </w:tc>
        <w:tc>
          <w:tcPr>
            <w:tcW w:w="4680" w:type="dxa"/>
            <w:vAlign w:val="bottom"/>
            <w:tcBorders>
              <w:top w:val="single" w:sz="8" w:color="0000FF"/>
            </w:tcBorders>
            <w:gridSpan w:val="11"/>
          </w:tcPr>
          <w:p>
            <w:pPr>
              <w:spacing w:after="0" w:line="187" w:lineRule="exact"/>
              <w:rPr>
                <w:sz w:val="20"/>
                <w:szCs w:val="20"/>
                <w:color w:val="auto"/>
              </w:rPr>
            </w:pPr>
            <w:r>
              <w:rPr>
                <w:rFonts w:ascii="Arial" w:cs="Arial" w:eastAsia="Arial" w:hAnsi="Arial"/>
                <w:sz w:val="18"/>
                <w:szCs w:val="18"/>
                <w:color w:val="0000FF"/>
              </w:rPr>
              <w:t>Consent of Ryder Scott Company, L.P.</w:t>
            </w:r>
          </w:p>
        </w:tc>
        <w:tc>
          <w:tcPr>
            <w:tcW w:w="2340" w:type="dxa"/>
            <w:vAlign w:val="bottom"/>
            <w:tcBorders>
              <w:top w:val="single" w:sz="8" w:color="CCEEFF"/>
            </w:tcBorders>
            <w:gridSpan w:val="6"/>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116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auto"/>
                <w:w w:val="99"/>
              </w:rPr>
              <w:t>*23.3</w:t>
            </w:r>
          </w:p>
        </w:tc>
        <w:tc>
          <w:tcPr>
            <w:tcW w:w="7020" w:type="dxa"/>
            <w:vAlign w:val="bottom"/>
            <w:gridSpan w:val="17"/>
            <w:shd w:val="clear" w:color="auto" w:fill="CCEEFF"/>
          </w:tcPr>
          <w:p>
            <w:pPr>
              <w:spacing w:after="0" w:line="187" w:lineRule="exact"/>
              <w:rPr>
                <w:sz w:val="20"/>
                <w:szCs w:val="20"/>
                <w:color w:val="auto"/>
              </w:rPr>
            </w:pPr>
            <w:r>
              <w:rPr>
                <w:rFonts w:ascii="Arial" w:cs="Arial" w:eastAsia="Arial" w:hAnsi="Arial"/>
                <w:sz w:val="18"/>
                <w:szCs w:val="18"/>
                <w:color w:val="0000FF"/>
              </w:rPr>
              <w:t>Consent of McDaniel &amp; Associates Consultants Ltd.</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87"/>
        </w:trPr>
        <w:tc>
          <w:tcPr>
            <w:tcW w:w="1160" w:type="dxa"/>
            <w:vAlign w:val="bottom"/>
            <w:tcBorders>
              <w:top w:val="single" w:sz="8" w:color="CCEEFF"/>
            </w:tcBorders>
          </w:tcPr>
          <w:p>
            <w:pPr>
              <w:jc w:val="center"/>
              <w:spacing w:after="0" w:line="187" w:lineRule="exact"/>
              <w:rPr>
                <w:sz w:val="20"/>
                <w:szCs w:val="20"/>
                <w:color w:val="auto"/>
              </w:rPr>
            </w:pPr>
            <w:r>
              <w:rPr>
                <w:rFonts w:ascii="Arial" w:cs="Arial" w:eastAsia="Arial" w:hAnsi="Arial"/>
                <w:sz w:val="18"/>
                <w:szCs w:val="18"/>
                <w:color w:val="auto"/>
                <w:w w:val="99"/>
              </w:rPr>
              <w:t>*23.4</w:t>
            </w:r>
          </w:p>
        </w:tc>
        <w:tc>
          <w:tcPr>
            <w:tcW w:w="4060" w:type="dxa"/>
            <w:vAlign w:val="bottom"/>
            <w:tcBorders>
              <w:top w:val="single" w:sz="8" w:color="0000FF"/>
            </w:tcBorders>
            <w:gridSpan w:val="8"/>
          </w:tcPr>
          <w:p>
            <w:pPr>
              <w:spacing w:after="0" w:line="187" w:lineRule="exact"/>
              <w:rPr>
                <w:sz w:val="20"/>
                <w:szCs w:val="20"/>
                <w:color w:val="auto"/>
              </w:rPr>
            </w:pPr>
            <w:r>
              <w:rPr>
                <w:rFonts w:ascii="Arial" w:cs="Arial" w:eastAsia="Arial" w:hAnsi="Arial"/>
                <w:sz w:val="18"/>
                <w:szCs w:val="18"/>
                <w:color w:val="0000FF"/>
              </w:rPr>
              <w:t>Consent of Netherland, Sewell &amp; Associates, Inc.</w:t>
            </w:r>
          </w:p>
        </w:tc>
        <w:tc>
          <w:tcPr>
            <w:tcW w:w="2960" w:type="dxa"/>
            <w:vAlign w:val="bottom"/>
            <w:tcBorders>
              <w:top w:val="single" w:sz="8" w:color="CCEEFF"/>
            </w:tcBorders>
            <w:gridSpan w:val="9"/>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1160" w:type="dxa"/>
            <w:vAlign w:val="bottom"/>
            <w:tcBorders>
              <w:bottom w:val="single" w:sz="8" w:color="CCEEFF"/>
            </w:tcBorders>
            <w:shd w:val="clear" w:color="auto" w:fill="CCEEFF"/>
          </w:tcPr>
          <w:p>
            <w:pPr>
              <w:jc w:val="center"/>
              <w:spacing w:after="0" w:line="187" w:lineRule="exact"/>
              <w:rPr>
                <w:sz w:val="20"/>
                <w:szCs w:val="20"/>
                <w:color w:val="auto"/>
              </w:rPr>
            </w:pPr>
            <w:r>
              <w:rPr>
                <w:rFonts w:ascii="Arial" w:cs="Arial" w:eastAsia="Arial" w:hAnsi="Arial"/>
                <w:sz w:val="18"/>
                <w:szCs w:val="18"/>
                <w:color w:val="auto"/>
                <w:w w:val="99"/>
              </w:rPr>
              <w:t>*31.1</w:t>
            </w:r>
          </w:p>
        </w:tc>
        <w:tc>
          <w:tcPr>
            <w:tcW w:w="7820" w:type="dxa"/>
            <w:vAlign w:val="bottom"/>
            <w:tcBorders>
              <w:bottom w:val="single" w:sz="8" w:color="0000FF"/>
            </w:tcBorders>
            <w:gridSpan w:val="19"/>
            <w:shd w:val="clear" w:color="auto" w:fill="CCEEFF"/>
          </w:tcPr>
          <w:p>
            <w:pPr>
              <w:spacing w:after="0" w:line="187" w:lineRule="exact"/>
              <w:rPr>
                <w:sz w:val="20"/>
                <w:szCs w:val="20"/>
                <w:color w:val="auto"/>
              </w:rPr>
            </w:pPr>
            <w:r>
              <w:rPr>
                <w:rFonts w:ascii="Arial" w:cs="Arial" w:eastAsia="Arial" w:hAnsi="Arial"/>
                <w:sz w:val="18"/>
                <w:szCs w:val="18"/>
                <w:color w:val="0000FF"/>
                <w:w w:val="98"/>
              </w:rPr>
              <w:t>Certification required by Rule 13a-14(a) pursuant to Section 302 of the Sarbanes-Oxley Act of 2002</w:t>
            </w:r>
          </w:p>
        </w:tc>
        <w:tc>
          <w:tcPr>
            <w:tcW w:w="2260" w:type="dxa"/>
            <w:vAlign w:val="bottom"/>
            <w:tcBorders>
              <w:bottom w:val="single" w:sz="8" w:color="CCEEFF"/>
            </w:tcBorders>
            <w:gridSpan w:val="5"/>
            <w:shd w:val="clear" w:color="auto" w:fill="CCEEFF"/>
          </w:tcPr>
          <w:p>
            <w:pPr>
              <w:spacing w:after="0"/>
              <w:rPr>
                <w:sz w:val="18"/>
                <w:szCs w:val="18"/>
                <w:color w:val="auto"/>
              </w:rPr>
            </w:pPr>
          </w:p>
        </w:tc>
      </w:tr>
      <w:tr>
        <w:trPr>
          <w:trHeight w:val="187"/>
        </w:trPr>
        <w:tc>
          <w:tcPr>
            <w:tcW w:w="1160" w:type="dxa"/>
            <w:vAlign w:val="bottom"/>
          </w:tcPr>
          <w:p>
            <w:pPr>
              <w:jc w:val="center"/>
              <w:spacing w:after="0" w:line="187" w:lineRule="exact"/>
              <w:rPr>
                <w:sz w:val="20"/>
                <w:szCs w:val="20"/>
                <w:color w:val="auto"/>
              </w:rPr>
            </w:pPr>
            <w:r>
              <w:rPr>
                <w:rFonts w:ascii="Arial" w:cs="Arial" w:eastAsia="Arial" w:hAnsi="Arial"/>
                <w:sz w:val="18"/>
                <w:szCs w:val="18"/>
                <w:color w:val="auto"/>
                <w:w w:val="99"/>
              </w:rPr>
              <w:t>*31.2</w:t>
            </w:r>
          </w:p>
        </w:tc>
        <w:tc>
          <w:tcPr>
            <w:tcW w:w="10080" w:type="dxa"/>
            <w:vAlign w:val="bottom"/>
            <w:gridSpan w:val="24"/>
          </w:tcPr>
          <w:p>
            <w:pPr>
              <w:spacing w:after="0" w:line="187" w:lineRule="exact"/>
              <w:rPr>
                <w:sz w:val="20"/>
                <w:szCs w:val="20"/>
                <w:color w:val="auto"/>
              </w:rPr>
            </w:pPr>
            <w:r>
              <w:rPr>
                <w:rFonts w:ascii="Arial" w:cs="Arial" w:eastAsia="Arial" w:hAnsi="Arial"/>
                <w:sz w:val="18"/>
                <w:szCs w:val="18"/>
                <w:color w:val="0000FF"/>
              </w:rPr>
              <w:t>Certification required by Rule 13a-14(a)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116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auto"/>
                <w:w w:val="99"/>
              </w:rPr>
              <w:t>*32.1</w:t>
            </w:r>
          </w:p>
        </w:tc>
        <w:tc>
          <w:tcPr>
            <w:tcW w:w="10080" w:type="dxa"/>
            <w:vAlign w:val="bottom"/>
            <w:gridSpan w:val="24"/>
            <w:shd w:val="clear" w:color="auto" w:fill="CCEEFF"/>
          </w:tcPr>
          <w:p>
            <w:pPr>
              <w:spacing w:after="0" w:line="187" w:lineRule="exact"/>
              <w:rPr>
                <w:sz w:val="20"/>
                <w:szCs w:val="20"/>
                <w:color w:val="auto"/>
              </w:rPr>
            </w:pPr>
            <w:r>
              <w:rPr>
                <w:rFonts w:ascii="Arial" w:cs="Arial" w:eastAsia="Arial" w:hAnsi="Arial"/>
                <w:sz w:val="18"/>
                <w:szCs w:val="18"/>
                <w:color w:val="0000FF"/>
              </w:rPr>
              <w:t>Certifications pursuant to 18 U.S.C. Section 1350, as adopted pursuant to Section 906 of the Sarbanes-Oxley Act of 2002</w:t>
            </w:r>
          </w:p>
        </w:tc>
      </w:tr>
      <w:tr>
        <w:trPr>
          <w:trHeight w:val="180"/>
        </w:trPr>
        <w:tc>
          <w:tcPr>
            <w:tcW w:w="116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8"/>
                <w:szCs w:val="18"/>
                <w:color w:val="auto"/>
                <w:w w:val="96"/>
              </w:rPr>
              <w:t>97.1</w:t>
            </w:r>
          </w:p>
        </w:tc>
        <w:tc>
          <w:tcPr>
            <w:tcW w:w="7020" w:type="dxa"/>
            <w:vAlign w:val="bottom"/>
            <w:tcBorders>
              <w:top w:val="single" w:sz="8" w:color="0000FF"/>
            </w:tcBorders>
            <w:gridSpan w:val="17"/>
          </w:tcPr>
          <w:p>
            <w:pPr>
              <w:spacing w:after="0" w:line="174" w:lineRule="exact"/>
              <w:rPr>
                <w:rFonts w:ascii="Arial" w:cs="Arial" w:eastAsia="Arial" w:hAnsi="Arial"/>
                <w:sz w:val="18"/>
                <w:szCs w:val="18"/>
                <w:color w:val="0000FF"/>
              </w:rPr>
            </w:pPr>
            <w:hyperlink r:id="rId73">
              <w:r>
                <w:rPr>
                  <w:rFonts w:ascii="Arial" w:cs="Arial" w:eastAsia="Arial" w:hAnsi="Arial"/>
                  <w:sz w:val="18"/>
                  <w:szCs w:val="18"/>
                  <w:color w:val="0000FF"/>
                </w:rPr>
                <w:t>Murphy Oil Corporation Compensation Recoupment Policy</w:t>
              </w:r>
            </w:hyperlink>
          </w:p>
        </w:tc>
        <w:tc>
          <w:tcPr>
            <w:tcW w:w="2540" w:type="dxa"/>
            <w:vAlign w:val="bottom"/>
            <w:tcBorders>
              <w:top w:val="single" w:sz="8" w:color="0000FF"/>
            </w:tcBorders>
            <w:gridSpan w:val="5"/>
          </w:tcPr>
          <w:p>
            <w:pPr>
              <w:spacing w:after="0" w:line="174" w:lineRule="exact"/>
              <w:rPr>
                <w:sz w:val="20"/>
                <w:szCs w:val="20"/>
                <w:color w:val="auto"/>
              </w:rPr>
            </w:pPr>
            <w:r>
              <w:rPr>
                <w:rFonts w:ascii="Arial" w:cs="Arial" w:eastAsia="Arial" w:hAnsi="Arial"/>
                <w:sz w:val="18"/>
                <w:szCs w:val="18"/>
                <w:color w:val="auto"/>
                <w:w w:val="99"/>
              </w:rPr>
              <w:t>Exhibit 10.29 to Form 10-K filed</w:t>
            </w:r>
          </w:p>
        </w:tc>
        <w:tc>
          <w:tcPr>
            <w:tcW w:w="520" w:type="dxa"/>
            <w:vAlign w:val="bottom"/>
            <w:tcBorders>
              <w:top w:val="single" w:sz="8" w:color="CCEEFF"/>
            </w:tcBorders>
            <w:gridSpan w:val="2"/>
          </w:tcPr>
          <w:p>
            <w:pPr>
              <w:spacing w:after="0"/>
              <w:rPr>
                <w:sz w:val="15"/>
                <w:szCs w:val="15"/>
                <w:color w:val="auto"/>
              </w:rPr>
            </w:pPr>
          </w:p>
        </w:tc>
      </w:tr>
      <w:tr>
        <w:trPr>
          <w:trHeight w:val="210"/>
        </w:trPr>
        <w:tc>
          <w:tcPr>
            <w:tcW w:w="116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7"/>
          </w:tcPr>
          <w:p>
            <w:pPr>
              <w:spacing w:after="0"/>
              <w:rPr>
                <w:sz w:val="20"/>
                <w:szCs w:val="20"/>
                <w:color w:val="auto"/>
              </w:rPr>
            </w:pPr>
            <w:r>
              <w:rPr>
                <w:rFonts w:ascii="Arial" w:cs="Arial" w:eastAsia="Arial" w:hAnsi="Arial"/>
                <w:sz w:val="18"/>
                <w:szCs w:val="18"/>
                <w:color w:val="auto"/>
              </w:rPr>
              <w:t>February 23, 2024</w:t>
            </w:r>
          </w:p>
        </w:tc>
      </w:tr>
      <w:tr>
        <w:trPr>
          <w:trHeight w:val="191"/>
        </w:trPr>
        <w:tc>
          <w:tcPr>
            <w:tcW w:w="116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color w:val="auto"/>
                <w:w w:val="99"/>
              </w:rPr>
              <w:t>*99.1</w:t>
            </w:r>
          </w:p>
        </w:tc>
        <w:tc>
          <w:tcPr>
            <w:tcW w:w="7020" w:type="dxa"/>
            <w:vAlign w:val="bottom"/>
            <w:gridSpan w:val="17"/>
            <w:shd w:val="clear" w:color="auto" w:fill="CCEEFF"/>
          </w:tcPr>
          <w:p>
            <w:pPr>
              <w:spacing w:after="0" w:line="191" w:lineRule="exact"/>
              <w:rPr>
                <w:sz w:val="20"/>
                <w:szCs w:val="20"/>
                <w:color w:val="auto"/>
              </w:rPr>
            </w:pPr>
            <w:r>
              <w:rPr>
                <w:rFonts w:ascii="Arial" w:cs="Arial" w:eastAsia="Arial" w:hAnsi="Arial"/>
                <w:sz w:val="18"/>
                <w:szCs w:val="18"/>
                <w:color w:val="0000FF"/>
              </w:rPr>
              <w:t>Ryder Scott independent reserves audit report for MP GOM JV</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1160" w:type="dxa"/>
            <w:vAlign w:val="bottom"/>
          </w:tcPr>
          <w:p>
            <w:pPr>
              <w:jc w:val="center"/>
              <w:spacing w:after="0" w:line="187" w:lineRule="exact"/>
              <w:rPr>
                <w:sz w:val="20"/>
                <w:szCs w:val="20"/>
                <w:color w:val="auto"/>
              </w:rPr>
            </w:pPr>
            <w:r>
              <w:rPr>
                <w:rFonts w:ascii="Arial" w:cs="Arial" w:eastAsia="Arial" w:hAnsi="Arial"/>
                <w:sz w:val="18"/>
                <w:szCs w:val="18"/>
                <w:color w:val="auto"/>
                <w:w w:val="99"/>
              </w:rPr>
              <w:t>*99.2</w:t>
            </w:r>
          </w:p>
        </w:tc>
        <w:tc>
          <w:tcPr>
            <w:tcW w:w="10080" w:type="dxa"/>
            <w:vAlign w:val="bottom"/>
            <w:gridSpan w:val="24"/>
          </w:tcPr>
          <w:p>
            <w:pPr>
              <w:spacing w:after="0" w:line="187" w:lineRule="exact"/>
              <w:rPr>
                <w:sz w:val="20"/>
                <w:szCs w:val="20"/>
                <w:color w:val="auto"/>
              </w:rPr>
            </w:pPr>
            <w:r>
              <w:rPr>
                <w:rFonts w:ascii="Arial" w:cs="Arial" w:eastAsia="Arial" w:hAnsi="Arial"/>
                <w:sz w:val="18"/>
                <w:szCs w:val="18"/>
                <w:color w:val="0000FF"/>
              </w:rPr>
              <w:t>McDaniel independent reserves audit report for Canada Onshore proved crude oil and natural gas reserves</w:t>
            </w:r>
          </w:p>
        </w:tc>
      </w:tr>
      <w:tr>
        <w:trPr>
          <w:trHeight w:val="20"/>
        </w:trPr>
        <w:tc>
          <w:tcPr>
            <w:tcW w:w="116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1160" w:type="dxa"/>
            <w:vAlign w:val="bottom"/>
            <w:tcBorders>
              <w:bottom w:val="single" w:sz="8" w:color="CCEEFF"/>
            </w:tcBorders>
            <w:shd w:val="clear" w:color="auto" w:fill="CCEEFF"/>
          </w:tcPr>
          <w:p>
            <w:pPr>
              <w:jc w:val="center"/>
              <w:spacing w:after="0" w:line="187" w:lineRule="exact"/>
              <w:rPr>
                <w:sz w:val="20"/>
                <w:szCs w:val="20"/>
                <w:color w:val="auto"/>
              </w:rPr>
            </w:pPr>
            <w:r>
              <w:rPr>
                <w:rFonts w:ascii="Arial" w:cs="Arial" w:eastAsia="Arial" w:hAnsi="Arial"/>
                <w:sz w:val="18"/>
                <w:szCs w:val="18"/>
                <w:color w:val="auto"/>
                <w:w w:val="99"/>
              </w:rPr>
              <w:t>*99.3</w:t>
            </w:r>
          </w:p>
        </w:tc>
        <w:tc>
          <w:tcPr>
            <w:tcW w:w="7260" w:type="dxa"/>
            <w:vAlign w:val="bottom"/>
            <w:tcBorders>
              <w:bottom w:val="single" w:sz="8" w:color="0000FF"/>
            </w:tcBorders>
            <w:gridSpan w:val="18"/>
            <w:shd w:val="clear" w:color="auto" w:fill="CCEEFF"/>
          </w:tcPr>
          <w:p>
            <w:pPr>
              <w:spacing w:after="0" w:line="187" w:lineRule="exact"/>
              <w:rPr>
                <w:sz w:val="20"/>
                <w:szCs w:val="20"/>
                <w:color w:val="auto"/>
              </w:rPr>
            </w:pPr>
            <w:r>
              <w:rPr>
                <w:rFonts w:ascii="Arial" w:cs="Arial" w:eastAsia="Arial" w:hAnsi="Arial"/>
                <w:sz w:val="18"/>
                <w:szCs w:val="18"/>
                <w:color w:val="0000FF"/>
                <w:w w:val="98"/>
              </w:rPr>
              <w:t>Netherland, Sewell &amp; Associates, Inc. independent reserves audit report U.S. Gulf of Mexico</w:t>
            </w:r>
          </w:p>
        </w:tc>
        <w:tc>
          <w:tcPr>
            <w:tcW w:w="2820" w:type="dxa"/>
            <w:vAlign w:val="bottom"/>
            <w:tcBorders>
              <w:bottom w:val="single" w:sz="8" w:color="CCEEFF"/>
            </w:tcBorders>
            <w:gridSpan w:val="6"/>
            <w:shd w:val="clear" w:color="auto" w:fill="CCEEFF"/>
          </w:tcPr>
          <w:p>
            <w:pPr>
              <w:spacing w:after="0"/>
              <w:rPr>
                <w:sz w:val="18"/>
                <w:szCs w:val="18"/>
                <w:color w:val="auto"/>
              </w:rPr>
            </w:pPr>
          </w:p>
        </w:tc>
      </w:tr>
      <w:tr>
        <w:trPr>
          <w:trHeight w:val="174"/>
        </w:trPr>
        <w:tc>
          <w:tcPr>
            <w:tcW w:w="1160" w:type="dxa"/>
            <w:vAlign w:val="bottom"/>
          </w:tcPr>
          <w:p>
            <w:pPr>
              <w:jc w:val="center"/>
              <w:spacing w:after="0" w:line="174" w:lineRule="exact"/>
              <w:rPr>
                <w:sz w:val="20"/>
                <w:szCs w:val="20"/>
                <w:color w:val="auto"/>
              </w:rPr>
            </w:pPr>
            <w:r>
              <w:rPr>
                <w:rFonts w:ascii="Arial" w:cs="Arial" w:eastAsia="Arial" w:hAnsi="Arial"/>
                <w:sz w:val="18"/>
                <w:szCs w:val="18"/>
                <w:color w:val="auto"/>
                <w:w w:val="98"/>
              </w:rPr>
              <w:t>101.INS</w:t>
            </w:r>
          </w:p>
        </w:tc>
        <w:tc>
          <w:tcPr>
            <w:tcW w:w="10080" w:type="dxa"/>
            <w:vAlign w:val="bottom"/>
            <w:gridSpan w:val="24"/>
          </w:tcPr>
          <w:p>
            <w:pPr>
              <w:spacing w:after="0" w:line="174"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7"/>
        </w:trPr>
        <w:tc>
          <w:tcPr>
            <w:tcW w:w="1160" w:type="dxa"/>
            <w:vAlign w:val="bottom"/>
          </w:tcPr>
          <w:p>
            <w:pPr>
              <w:spacing w:after="0"/>
              <w:rPr>
                <w:sz w:val="20"/>
                <w:szCs w:val="20"/>
                <w:color w:val="auto"/>
              </w:rPr>
            </w:pPr>
          </w:p>
        </w:tc>
        <w:tc>
          <w:tcPr>
            <w:tcW w:w="7020" w:type="dxa"/>
            <w:vAlign w:val="bottom"/>
            <w:gridSpan w:val="17"/>
          </w:tcPr>
          <w:p>
            <w:pPr>
              <w:spacing w:after="0"/>
              <w:rPr>
                <w:sz w:val="20"/>
                <w:szCs w:val="20"/>
                <w:color w:val="auto"/>
              </w:rPr>
            </w:pPr>
            <w:r>
              <w:rPr>
                <w:rFonts w:ascii="Arial" w:cs="Arial" w:eastAsia="Arial" w:hAnsi="Arial"/>
                <w:sz w:val="18"/>
                <w:szCs w:val="18"/>
                <w:color w:val="auto"/>
              </w:rPr>
              <w:t>are embedded within the Inline XBRL document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1"/>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101.SCH</w:t>
            </w:r>
          </w:p>
        </w:tc>
        <w:tc>
          <w:tcPr>
            <w:tcW w:w="70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27"/>
        </w:trPr>
        <w:tc>
          <w:tcPr>
            <w:tcW w:w="116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70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101.DEF</w:t>
            </w:r>
          </w:p>
        </w:tc>
        <w:tc>
          <w:tcPr>
            <w:tcW w:w="70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7"/>
        </w:trPr>
        <w:tc>
          <w:tcPr>
            <w:tcW w:w="11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70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101.PRE</w:t>
            </w:r>
          </w:p>
        </w:tc>
        <w:tc>
          <w:tcPr>
            <w:tcW w:w="70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3"/>
        </w:trPr>
        <w:tc>
          <w:tcPr>
            <w:tcW w:w="116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7020" w:type="dxa"/>
            <w:vAlign w:val="bottom"/>
            <w:gridSpan w:val="17"/>
          </w:tcPr>
          <w:p>
            <w:pPr>
              <w:spacing w:after="0"/>
              <w:rPr>
                <w:sz w:val="20"/>
                <w:szCs w:val="20"/>
                <w:color w:val="auto"/>
              </w:rPr>
            </w:pPr>
            <w:r>
              <w:rPr>
                <w:rFonts w:ascii="Arial" w:cs="Arial" w:eastAsia="Arial" w:hAnsi="Arial"/>
                <w:sz w:val="18"/>
                <w:szCs w:val="18"/>
                <w:color w:val="auto"/>
                <w:w w:val="98"/>
              </w:rPr>
              <w:t>Cover Page Interactive Data File (formatted as Inline XBRL and contained in Exhibit 101)</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16"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MURPHY OIL CORPORATION</w:t>
      </w:r>
    </w:p>
    <w:p>
      <w:pPr>
        <w:spacing w:after="0" w:line="247" w:lineRule="exact"/>
        <w:rPr>
          <w:sz w:val="20"/>
          <w:szCs w:val="20"/>
          <w:color w:val="auto"/>
        </w:rPr>
      </w:pPr>
    </w:p>
    <w:p>
      <w:pPr>
        <w:ind w:left="20"/>
        <w:spacing w:after="0"/>
        <w:tabs>
          <w:tab w:leader="none" w:pos="2260" w:val="left"/>
          <w:tab w:leader="none" w:pos="6300" w:val="left"/>
          <w:tab w:leader="none" w:pos="7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HAMBLY</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15240</wp:posOffset>
            </wp:positionV>
            <wp:extent cx="56324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5">
                      <a:extLst>
                        <a:ext uri="{28A0092B-C50C-407E-A947-70E740481C1C}"/>
                      </a:extLst>
                    </a:blip>
                    <a:srcRect/>
                    <a:stretch>
                      <a:fillRect/>
                    </a:stretch>
                  </pic:blipFill>
                  <pic:spPr bwMode="auto">
                    <a:xfrm>
                      <a:off x="0" y="0"/>
                      <a:ext cx="5632450" cy="8255"/>
                    </a:xfrm>
                    <a:prstGeom prst="rect">
                      <a:avLst/>
                    </a:prstGeom>
                    <a:noFill/>
                  </pic:spPr>
                </pic:pic>
              </a:graphicData>
            </a:graphic>
          </wp:anchor>
        </w:drawing>
      </w:r>
    </w:p>
    <w:p>
      <w:pPr>
        <w:jc w:val="center"/>
        <w:ind w:right="4980"/>
        <w:spacing w:after="0"/>
        <w:rPr>
          <w:sz w:val="20"/>
          <w:szCs w:val="20"/>
          <w:color w:val="auto"/>
        </w:rPr>
      </w:pPr>
      <w:r>
        <w:rPr>
          <w:rFonts w:ascii="Arial" w:cs="Arial" w:eastAsia="Arial" w:hAnsi="Arial"/>
          <w:sz w:val="18"/>
          <w:szCs w:val="18"/>
          <w:color w:val="auto"/>
        </w:rPr>
        <w:t>Eric M. Hambly, President and</w:t>
      </w:r>
    </w:p>
    <w:p>
      <w:pPr>
        <w:jc w:val="center"/>
        <w:ind w:right="4980"/>
        <w:spacing w:after="0"/>
        <w:rPr>
          <w:sz w:val="20"/>
          <w:szCs w:val="20"/>
          <w:color w:val="auto"/>
        </w:rPr>
      </w:pPr>
      <w:r>
        <w:rPr>
          <w:rFonts w:ascii="Arial" w:cs="Arial" w:eastAsia="Arial" w:hAnsi="Arial"/>
          <w:sz w:val="18"/>
          <w:szCs w:val="18"/>
          <w:color w:val="auto"/>
        </w:rPr>
        <w:t>Chief Executive Officer</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27, 2025 by the following persons on behalf of the registrant and in the capacities indicated.</w:t>
      </w:r>
    </w:p>
    <w:p>
      <w:pPr>
        <w:sectPr>
          <w:pgSz w:w="11900" w:h="16838" w:orient="portrait"/>
          <w:cols w:equalWidth="0" w:num="1">
            <w:col w:w="11220"/>
          </w:cols>
          <w:pgMar w:left="320" w:top="230" w:right="35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 CLAIBORNE P. DEMING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571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6">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1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Claiborne P. Deming, Chairman and Director</w:t>
      </w:r>
    </w:p>
    <w:p>
      <w:pPr>
        <w:spacing w:after="0" w:line="200" w:lineRule="exact"/>
        <w:rPr>
          <w:sz w:val="20"/>
          <w:szCs w:val="20"/>
          <w:color w:val="auto"/>
        </w:rPr>
      </w:pPr>
    </w:p>
    <w:p>
      <w:pPr>
        <w:spacing w:after="0" w:line="28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5712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Eric M. Hambly, President and</w:t>
      </w:r>
    </w:p>
    <w:p>
      <w:pPr>
        <w:jc w:val="center"/>
        <w:ind w:right="320"/>
        <w:spacing w:after="0" w:line="216"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LAWRENCE R.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571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1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Lawrence R. Dickerson, Director</w:t>
      </w:r>
    </w:p>
    <w:p>
      <w:pPr>
        <w:spacing w:after="0" w:line="200" w:lineRule="exact"/>
        <w:rPr>
          <w:sz w:val="20"/>
          <w:szCs w:val="20"/>
          <w:color w:val="auto"/>
        </w:rPr>
      </w:pPr>
    </w:p>
    <w:p>
      <w:pPr>
        <w:spacing w:after="0" w:line="30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MICHELLE A. EARLEY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571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Michelle A. Earley, Director</w:t>
      </w:r>
    </w:p>
    <w:p>
      <w:pPr>
        <w:spacing w:after="0" w:line="200" w:lineRule="exact"/>
        <w:rPr>
          <w:sz w:val="20"/>
          <w:szCs w:val="20"/>
          <w:color w:val="auto"/>
        </w:rPr>
      </w:pPr>
    </w:p>
    <w:p>
      <w:pPr>
        <w:spacing w:after="0" w:line="30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 ELISABETH W.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571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Elisabeth W. Keller, Director</w:t>
      </w:r>
    </w:p>
    <w:p>
      <w:pPr>
        <w:spacing w:after="0" w:line="200" w:lineRule="exact"/>
        <w:rPr>
          <w:sz w:val="20"/>
          <w:szCs w:val="20"/>
          <w:color w:val="auto"/>
        </w:rPr>
      </w:pPr>
    </w:p>
    <w:p>
      <w:pPr>
        <w:spacing w:after="0" w:line="32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ROBERT B. TUDOR,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5712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spacing w:after="0" w:line="1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Robert B. Tudor, III,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 PAUL D. VAUGHAN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571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2">
                      <a:extLst>
                        <a:ext uri="{28A0092B-C50C-407E-A947-70E740481C1C}"/>
                      </a:extLst>
                    </a:blip>
                    <a:srcRect/>
                    <a:stretch>
                      <a:fillRect/>
                    </a:stretch>
                  </pic:blipFill>
                  <pic:spPr bwMode="auto">
                    <a:xfrm>
                      <a:off x="0" y="0"/>
                      <a:ext cx="3571240" cy="825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Paul D. Vaughan</w:t>
      </w:r>
    </w:p>
    <w:p>
      <w:pPr>
        <w:ind w:left="1660"/>
        <w:spacing w:after="0" w:line="216"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 JAMES V.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15240</wp:posOffset>
            </wp:positionV>
            <wp:extent cx="332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3">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James V. Kelley, Director</w:t>
      </w:r>
    </w:p>
    <w:p>
      <w:pPr>
        <w:spacing w:after="0" w:line="200" w:lineRule="exact"/>
        <w:rPr>
          <w:sz w:val="20"/>
          <w:szCs w:val="20"/>
          <w:color w:val="auto"/>
        </w:rPr>
      </w:pPr>
    </w:p>
    <w:p>
      <w:pPr>
        <w:spacing w:after="0" w:line="274"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 R. MADISON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15240</wp:posOffset>
            </wp:positionV>
            <wp:extent cx="332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 Madison Murphy,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JEFFREY W.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15240</wp:posOffset>
            </wp:positionV>
            <wp:extent cx="332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Jeffrey W. Nolan, Director</w:t>
      </w:r>
    </w:p>
    <w:p>
      <w:pPr>
        <w:spacing w:after="0" w:line="200" w:lineRule="exact"/>
        <w:rPr>
          <w:sz w:val="20"/>
          <w:szCs w:val="20"/>
          <w:color w:val="auto"/>
        </w:rPr>
      </w:pPr>
    </w:p>
    <w:p>
      <w:pPr>
        <w:spacing w:after="0" w:line="30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 ROBERT N. RYAN,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15240</wp:posOffset>
            </wp:positionV>
            <wp:extent cx="332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Robert N. Ryan, Jr., Director</w:t>
      </w:r>
    </w:p>
    <w:p>
      <w:pPr>
        <w:spacing w:after="0" w:line="200" w:lineRule="exact"/>
        <w:rPr>
          <w:sz w:val="20"/>
          <w:szCs w:val="20"/>
          <w:color w:val="auto"/>
        </w:rPr>
      </w:pPr>
    </w:p>
    <w:p>
      <w:pPr>
        <w:spacing w:after="0" w:line="30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 LAURA A. SUGG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15240</wp:posOffset>
            </wp:positionV>
            <wp:extent cx="332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Laura A. Sugg, Director</w:t>
      </w:r>
    </w:p>
    <w:p>
      <w:pPr>
        <w:spacing w:after="0" w:line="200" w:lineRule="exact"/>
        <w:rPr>
          <w:sz w:val="20"/>
          <w:szCs w:val="20"/>
          <w:color w:val="auto"/>
        </w:rPr>
      </w:pPr>
    </w:p>
    <w:p>
      <w:pPr>
        <w:spacing w:after="0" w:line="3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15240</wp:posOffset>
            </wp:positionV>
            <wp:extent cx="332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Thomas J. Mireles, Executive Vice President</w:t>
      </w:r>
    </w:p>
    <w:p>
      <w:pPr>
        <w:ind w:left="720"/>
        <w:spacing w:after="0" w:line="216" w:lineRule="auto"/>
        <w:rPr>
          <w:sz w:val="20"/>
          <w:szCs w:val="20"/>
          <w:color w:val="auto"/>
        </w:rPr>
      </w:pPr>
      <w:r>
        <w:rPr>
          <w:rFonts w:ascii="Arial" w:cs="Arial" w:eastAsia="Arial" w:hAnsi="Arial"/>
          <w:sz w:val="18"/>
          <w:szCs w:val="18"/>
          <w:color w:val="auto"/>
        </w:rPr>
        <w:t>and Chief Financial Officer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pacing w:after="0" w:line="1509" w:lineRule="exact"/>
        <w:rPr>
          <w:sz w:val="20"/>
          <w:szCs w:val="20"/>
          <w:color w:val="auto"/>
        </w:rPr>
      </w:pPr>
    </w:p>
    <w:p>
      <w:pPr>
        <w:sectPr>
          <w:pgSz w:w="11900" w:h="16838" w:orient="portrait"/>
          <w:cols w:equalWidth="0" w:num="2">
            <w:col w:w="5960" w:space="720"/>
            <w:col w:w="4540"/>
          </w:cols>
          <w:pgMar w:left="320" w:top="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 CONSOLIDATED FINANCIAL STATEMENTS</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management of Murphy Oil Corporation is responsible for the preparation and integrity of the accompanying consolidated financial statements and other financial data. The financial statements were prepared in conformity with U.S. generally accepted accounting principles (GAAP) appropriate in the circumstances and include some amounts based on informed estimates and judgments, with consideration given to materiality.</w:t>
      </w:r>
    </w:p>
    <w:p>
      <w:pPr>
        <w:spacing w:after="0" w:line="7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An independent registered public accounting firm, KPMG LLP, has audited the Company’s consolidated financial statements in accordance with the standards of the Public Company Accounting Oversight Board (PCAOB) and provides an objective, independent opinion about the Company’s consolidated financial statements. The Audit Committee of the Board of Directors appoints the independent registered public accounting firm; ratification of the appointment is solicited annually from the shareholders. KPMG LLP’s opinion covering the Company’s consolidated financial statements can be found on page </w:t>
      </w:r>
      <w:r>
        <w:rPr>
          <w:rFonts w:ascii="Arial" w:cs="Arial" w:eastAsia="Arial" w:hAnsi="Arial"/>
          <w:sz w:val="18"/>
          <w:szCs w:val="18"/>
          <w:u w:val="single" w:color="auto"/>
          <w:color w:val="0000FF"/>
        </w:rPr>
        <w:t>63</w:t>
      </w:r>
      <w:r>
        <w:rPr>
          <w:rFonts w:ascii="Arial" w:cs="Arial" w:eastAsia="Arial" w:hAnsi="Arial"/>
          <w:sz w:val="18"/>
          <w:szCs w:val="18"/>
          <w:color w:val="auto"/>
        </w:rPr>
        <w:t>.</w:t>
      </w:r>
    </w:p>
    <w:p>
      <w:pPr>
        <w:spacing w:after="0" w:line="7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The Board of Directors appoints an Audit Committee annually to implement and to support the Board’s oversight function of the Company’s financial reporting, accounting policies, internal controls and independent registered public accounting firm. This Committee is composed solely of directors who are not employees of the Company. The Committee meets routinely with representatives of management, the Company’s audit staff and the independent registered public accounting firm to review and discuss the adequacy and effectiveness of the Company’s internal controls, the quality and clarity of its financial reporting, the scope and results of independent and internal audits, and to fulfill other responsibilities included in the Committee’s Charter. The independent registered public accounting firm and the Company’s audit staff have unrestricted access to the Committee, without management presence, to discuss audit findings and other financial matters.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 INTERNAL CONTROL OVER FINANCIAL REPORTING</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13a-15(f). The Company’s internal controls have been designed to provide reasonable assurance regarding the reliability of financial reporting and the preparation of consolidated financial statements in accordance with U.S. GAAP. All internal control systems have inherent limitations, and therefore, can provide only reasonable assurance with respect to the reliability of financial reporting and preparation of consolidated financial statements.</w:t>
      </w:r>
    </w:p>
    <w:p>
      <w:pPr>
        <w:spacing w:after="0" w:line="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Management has conducted an evaluation of the effectiveness of the Company’s internal control over financial reporting based on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in 2013. Based on the results of this evaluation, management concluded that the Company’s internal control over financial reporting was effective as of December 31, 2024.</w:t>
      </w:r>
    </w:p>
    <w:p>
      <w:pPr>
        <w:spacing w:after="0" w:line="7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 xml:space="preserve">KPMG LLP has performed an audit of the Company’s internal control over financial reporting, and their opinion thereon can be found on page </w:t>
      </w:r>
      <w:r>
        <w:rPr>
          <w:rFonts w:ascii="Arial" w:cs="Arial" w:eastAsia="Arial" w:hAnsi="Arial"/>
          <w:sz w:val="18"/>
          <w:szCs w:val="18"/>
          <w:u w:val="single" w:color="auto"/>
          <w:color w:val="0000FF"/>
        </w:rPr>
        <w:t>65</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160"/>
        <w:spacing w:after="0" w:line="43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Murphy Oil Corporation: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Murphy Oil Corporation and subsidiaries (the Company) as of</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December 31, 2024 and 2023, the related consolidated statements of operations, comprehensive income (loss), cash flows, and stockholders’ equity for each of the years in the three-year period ended December 31, 2024, and the related notes and financial statement schedule 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31"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27,</w:t>
      </w:r>
      <w:r>
        <w:rPr>
          <w:rFonts w:ascii="Arial" w:cs="Arial" w:eastAsia="Arial" w:hAnsi="Arial"/>
          <w:sz w:val="18"/>
          <w:szCs w:val="18"/>
          <w:i w:val="1"/>
          <w:iCs w:val="1"/>
          <w:color w:val="auto"/>
        </w:rPr>
        <w:t xml:space="preserve"> </w:t>
      </w:r>
      <w:r>
        <w:rPr>
          <w:rFonts w:ascii="Arial" w:cs="Arial" w:eastAsia="Arial" w:hAnsi="Arial"/>
          <w:sz w:val="18"/>
          <w:szCs w:val="18"/>
          <w:color w:val="auto"/>
        </w:rPr>
        <w:t>2025 expressed an unqualified opinion on the effectiveness of the Company’s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4"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Estimated oil and gas reserves used in the depletion of producing oil and gas properties</w:t>
      </w:r>
    </w:p>
    <w:p>
      <w:pPr>
        <w:spacing w:after="0" w:line="114" w:lineRule="exact"/>
        <w:rPr>
          <w:sz w:val="20"/>
          <w:szCs w:val="20"/>
          <w:color w:val="auto"/>
        </w:rPr>
      </w:pPr>
    </w:p>
    <w:p>
      <w:pPr>
        <w:ind w:left="320" w:right="40"/>
        <w:spacing w:after="0" w:line="253" w:lineRule="auto"/>
        <w:rPr>
          <w:sz w:val="20"/>
          <w:szCs w:val="20"/>
          <w:color w:val="auto"/>
        </w:rPr>
      </w:pPr>
      <w:r>
        <w:rPr>
          <w:rFonts w:ascii="Arial" w:cs="Arial" w:eastAsia="Arial" w:hAnsi="Arial"/>
          <w:sz w:val="18"/>
          <w:szCs w:val="18"/>
          <w:color w:val="auto"/>
        </w:rPr>
        <w:t>As discussed in Note A to the consolidated financial statements, the Company calculates depletion expense related to producing oil and gas properties using the units-of-production method. Under this method, costs to acquire interests in oil and gas properties and costs for the drilling and completion efforts for exploratory wells that find proved reserves and for development wells are capitalized. Capitalized costs of producing oil and gas properties, along with equipment and facilities that support production, are amortized to expense by the units-of-production method. The Company’s internal petroleum reserve engineers estimate proved oil and gas reserves and the Company engages third-party petroleum reserve specialists to perform 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right="480"/>
        <w:spacing w:after="0" w:line="278" w:lineRule="auto"/>
        <w:rPr>
          <w:sz w:val="20"/>
          <w:szCs w:val="20"/>
          <w:color w:val="auto"/>
        </w:rPr>
      </w:pPr>
      <w:r>
        <w:rPr>
          <w:rFonts w:ascii="Arial" w:cs="Arial" w:eastAsia="Arial" w:hAnsi="Arial"/>
          <w:sz w:val="18"/>
          <w:szCs w:val="18"/>
          <w:color w:val="auto"/>
        </w:rPr>
        <w:t>independent assessment. For the year ended December 31, 2024, the Company recorded depreciation, depletion, and amortization expense of $865.8 million.</w:t>
      </w:r>
    </w:p>
    <w:p>
      <w:pPr>
        <w:spacing w:after="0" w:line="55" w:lineRule="exact"/>
        <w:rPr>
          <w:sz w:val="20"/>
          <w:szCs w:val="20"/>
          <w:color w:val="auto"/>
        </w:rPr>
      </w:pPr>
    </w:p>
    <w:p>
      <w:pPr>
        <w:ind w:left="320" w:right="100"/>
        <w:spacing w:after="0" w:line="255" w:lineRule="auto"/>
        <w:rPr>
          <w:sz w:val="20"/>
          <w:szCs w:val="20"/>
          <w:color w:val="auto"/>
        </w:rPr>
      </w:pPr>
      <w:r>
        <w:rPr>
          <w:rFonts w:ascii="Arial" w:cs="Arial" w:eastAsia="Arial" w:hAnsi="Arial"/>
          <w:sz w:val="18"/>
          <w:szCs w:val="18"/>
          <w:color w:val="auto"/>
        </w:rPr>
        <w:t>We identified the assessment of the estimated oil and gas reserves used in the depletion of producing oil and gas properties as a critical audit matter. Complex auditor judgment was required in evaluating the Company’s estimate of total proved oil and gas reserves, which is an input to the depletion expense calculation. Estimating proved oil and gas reserves requires the expertise of professional petroleum reserve engineers based on their estimates of forecasted production, forecasted operating costs, future development costs, and oil and gas prices.</w:t>
      </w:r>
    </w:p>
    <w:p>
      <w:pPr>
        <w:spacing w:after="0" w:line="76" w:lineRule="exact"/>
        <w:rPr>
          <w:sz w:val="20"/>
          <w:szCs w:val="20"/>
          <w:color w:val="auto"/>
        </w:rPr>
      </w:pPr>
    </w:p>
    <w:p>
      <w:pPr>
        <w:ind w:left="320"/>
        <w:spacing w:after="0" w:line="250"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depletion calculation process, including controls related to the estimation of proved oil and gas reserves. We evaluated (1) the professional qualifications of the internal petroleum reserve engineers, third-party petroleum reserve specialists, and external engineering firm, (2) the knowledge, skills, ability of the Company’s internal petroleum reserve engineers and third-party petroleum reserve specialists, and (3) the relationship of the third-party petroleum reserve specialists and external engineering firm to the Company. We analyzed and assessed the calculation of depletion expense for compliance with industry and regulatory standards. We compared the forecasted production assumptions used by the Company to historical production rates. We compared the forecasted operating costs to historical results. We also evaluated the forecasted nature and timing of future development costs by obtaining an understanding of the development projects and comparing the development projects with the available development plans. We assessed the oil and gas prices utilized by the internal petroleum reserve engineers by comparing them to publicly available prices and recalculated the relevant market differentials. In addition, we read and considered the report of the Company’s third-party petroleum reserve specialists in connection with our evaluation of the Company’s proved oil and gas reserve estimates.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200"/>
        <w:spacing w:after="0" w:line="38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Murphy Oil Corporation: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Murphy Oil Corporation and subsidiaries’ (the Company) internal control over financial reporting as of December 31,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(loss), cash flows, and stockholders’ equity for each of the years in the three-year period ended December 31, 2024, and the related notes and financial statement schedule II (collectively, the consolidated financial statements), and our report dated February 27, 2025 expressed an unqualified opinion on those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540"/>
        <w:spacing w:after="0" w:line="292" w:lineRule="auto"/>
        <w:rPr>
          <w:sz w:val="20"/>
          <w:szCs w:val="20"/>
          <w:color w:val="auto"/>
        </w:rPr>
      </w:pPr>
      <w:r>
        <w:rPr>
          <w:rFonts w:ascii="Arial" w:cs="Arial" w:eastAsia="Arial" w:hAnsi="Arial"/>
          <w:sz w:val="18"/>
          <w:szCs w:val="18"/>
          <w:b w:val="1"/>
          <w:bCs w:val="1"/>
          <w:color w:val="auto"/>
        </w:rPr>
        <w:t>MURPHY OIL CORPORATION AND CONSOLIDATED SUBSIDIARIES CONSOLIDATED BALANCE SHEETS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December 31 (Thousands of dollars except share amounts)</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423,569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317,074</w:t>
            </w:r>
          </w:p>
        </w:tc>
        <w:tc>
          <w:tcPr>
            <w:tcW w:w="0" w:type="dxa"/>
            <w:vAlign w:val="bottom"/>
          </w:tcPr>
          <w:p>
            <w:pPr>
              <w:spacing w:after="0"/>
              <w:rPr>
                <w:sz w:val="1"/>
                <w:szCs w:val="1"/>
                <w:color w:val="auto"/>
              </w:rPr>
            </w:pPr>
          </w:p>
        </w:tc>
      </w:tr>
      <w:tr>
        <w:trPr>
          <w:trHeight w:val="214"/>
        </w:trPr>
        <w:tc>
          <w:tcPr>
            <w:tcW w:w="738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272,530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343,992</w:t>
            </w:r>
          </w:p>
        </w:tc>
        <w:tc>
          <w:tcPr>
            <w:tcW w:w="0" w:type="dxa"/>
            <w:vAlign w:val="bottom"/>
          </w:tcPr>
          <w:p>
            <w:pPr>
              <w:spacing w:after="0"/>
              <w:rPr>
                <w:sz w:val="1"/>
                <w:szCs w:val="1"/>
                <w:color w:val="auto"/>
              </w:rPr>
            </w:pPr>
          </w:p>
        </w:tc>
      </w:tr>
      <w:tr>
        <w:trPr>
          <w:trHeight w:val="194"/>
        </w:trPr>
        <w:tc>
          <w:tcPr>
            <w:tcW w:w="7380" w:type="dxa"/>
            <w:vAlign w:val="bottom"/>
            <w:shd w:val="clear" w:color="auto" w:fill="CCEEFF"/>
          </w:tcPr>
          <w:p>
            <w:pPr>
              <w:ind w:left="380"/>
              <w:spacing w:after="0" w:line="174" w:lineRule="exact"/>
              <w:rPr>
                <w:sz w:val="20"/>
                <w:szCs w:val="20"/>
                <w:color w:val="auto"/>
              </w:rPr>
            </w:pPr>
            <w:r>
              <w:rPr>
                <w:rFonts w:ascii="Arial" w:cs="Arial" w:eastAsia="Arial" w:hAnsi="Arial"/>
                <w:sz w:val="16"/>
                <w:szCs w:val="16"/>
                <w:color w:val="auto"/>
              </w:rPr>
              <w:t>Inventories</w:t>
            </w:r>
          </w:p>
        </w:tc>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6"/>
                <w:szCs w:val="16"/>
                <w:color w:val="0000FF"/>
              </w:rPr>
              <w:t>Note 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54,858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54,454</w:t>
            </w:r>
          </w:p>
        </w:tc>
        <w:tc>
          <w:tcPr>
            <w:tcW w:w="0" w:type="dxa"/>
            <w:vAlign w:val="bottom"/>
          </w:tcPr>
          <w:p>
            <w:pPr>
              <w:spacing w:after="0"/>
              <w:rPr>
                <w:sz w:val="1"/>
                <w:szCs w:val="1"/>
                <w:color w:val="auto"/>
              </w:rPr>
            </w:pPr>
          </w:p>
        </w:tc>
      </w:tr>
      <w:tr>
        <w:trPr>
          <w:trHeight w:val="214"/>
        </w:trPr>
        <w:tc>
          <w:tcPr>
            <w:tcW w:w="7380" w:type="dxa"/>
            <w:vAlign w:val="bottom"/>
            <w:tcBorders>
              <w:top w:val="single" w:sz="8" w:color="CCEEFF"/>
              <w:bottom w:val="single" w:sz="8" w:color="CCEEFF"/>
            </w:tcBorders>
          </w:tcPr>
          <w:p>
            <w:pPr>
              <w:ind w:left="380"/>
              <w:spacing w:after="0"/>
              <w:rPr>
                <w:sz w:val="20"/>
                <w:szCs w:val="20"/>
                <w:color w:val="auto"/>
              </w:rPr>
            </w:pPr>
            <w:r>
              <w:rPr>
                <w:rFonts w:ascii="Arial" w:cs="Arial" w:eastAsia="Arial" w:hAnsi="Arial"/>
                <w:sz w:val="16"/>
                <w:szCs w:val="16"/>
                <w:color w:val="auto"/>
              </w:rPr>
              <w:t>Prepaid expenses</w:t>
            </w:r>
          </w:p>
        </w:tc>
        <w:tc>
          <w:tcPr>
            <w:tcW w:w="20" w:type="dxa"/>
            <w:vAlign w:val="bottom"/>
            <w:tcBorders>
              <w:top w:val="single" w:sz="8" w:color="0000FF"/>
              <w:bottom w:val="single" w:sz="8" w:color="CCEEFF"/>
            </w:tcBorders>
          </w:tcPr>
          <w:p>
            <w:pPr>
              <w:spacing w:after="0"/>
              <w:rPr>
                <w:sz w:val="18"/>
                <w:szCs w:val="18"/>
                <w:color w:val="auto"/>
              </w:rPr>
            </w:pPr>
          </w:p>
        </w:tc>
        <w:tc>
          <w:tcPr>
            <w:tcW w:w="480" w:type="dxa"/>
            <w:vAlign w:val="bottom"/>
            <w:tcBorders>
              <w:top w:val="single" w:sz="8" w:color="0000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34,322</w:t>
            </w:r>
          </w:p>
        </w:tc>
        <w:tc>
          <w:tcPr>
            <w:tcW w:w="1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auto"/>
            </w:tcBorders>
          </w:tcPr>
          <w:p>
            <w:pPr>
              <w:spacing w:after="0"/>
              <w:rPr>
                <w:sz w:val="18"/>
                <w:szCs w:val="18"/>
                <w:color w:val="auto"/>
              </w:rPr>
            </w:pP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36,674</w:t>
            </w:r>
          </w:p>
        </w:tc>
        <w:tc>
          <w:tcPr>
            <w:tcW w:w="0" w:type="dxa"/>
            <w:vAlign w:val="bottom"/>
          </w:tcPr>
          <w:p>
            <w:pPr>
              <w:spacing w:after="0"/>
              <w:rPr>
                <w:sz w:val="1"/>
                <w:szCs w:val="1"/>
                <w:color w:val="auto"/>
              </w:rPr>
            </w:pPr>
          </w:p>
        </w:tc>
      </w:tr>
      <w:tr>
        <w:trPr>
          <w:trHeight w:val="207"/>
        </w:trPr>
        <w:tc>
          <w:tcPr>
            <w:tcW w:w="73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Total current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785,279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752,194</w:t>
            </w:r>
          </w:p>
        </w:tc>
        <w:tc>
          <w:tcPr>
            <w:tcW w:w="0" w:type="dxa"/>
            <w:vAlign w:val="bottom"/>
          </w:tcPr>
          <w:p>
            <w:pPr>
              <w:spacing w:after="0"/>
              <w:rPr>
                <w:sz w:val="1"/>
                <w:szCs w:val="1"/>
                <w:color w:val="auto"/>
              </w:rPr>
            </w:pPr>
          </w:p>
        </w:tc>
      </w:tr>
      <w:tr>
        <w:trPr>
          <w:trHeight w:val="160"/>
        </w:trPr>
        <w:tc>
          <w:tcPr>
            <w:tcW w:w="7380" w:type="dxa"/>
            <w:vAlign w:val="bottom"/>
          </w:tcPr>
          <w:p>
            <w:pPr>
              <w:ind w:left="20"/>
              <w:spacing w:after="0" w:line="161" w:lineRule="exact"/>
              <w:rPr>
                <w:sz w:val="20"/>
                <w:szCs w:val="20"/>
                <w:color w:val="auto"/>
              </w:rPr>
            </w:pPr>
            <w:r>
              <w:rPr>
                <w:rFonts w:ascii="Arial" w:cs="Arial" w:eastAsia="Arial" w:hAnsi="Arial"/>
                <w:sz w:val="16"/>
                <w:szCs w:val="16"/>
                <w:color w:val="auto"/>
              </w:rPr>
              <w:t>Property, plant and equipment, at cost less accumulated depreciation, depletion and amortization of</w:t>
            </w:r>
          </w:p>
        </w:tc>
        <w:tc>
          <w:tcPr>
            <w:tcW w:w="1020" w:type="dxa"/>
            <w:vAlign w:val="bottom"/>
            <w:gridSpan w:val="4"/>
            <w:vMerge w:val="restart"/>
          </w:tcPr>
          <w:p>
            <w:pPr>
              <w:spacing w:after="0"/>
              <w:rPr>
                <w:sz w:val="20"/>
                <w:szCs w:val="20"/>
                <w:color w:val="auto"/>
              </w:rPr>
            </w:pPr>
            <w:r>
              <w:rPr>
                <w:rFonts w:ascii="Arial" w:cs="Arial" w:eastAsia="Arial" w:hAnsi="Arial"/>
                <w:sz w:val="16"/>
                <w:szCs w:val="16"/>
                <w:color w:val="0000FF"/>
              </w:rPr>
              <w:t>Note D</w:t>
            </w: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8,054,653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8,225,197</w:t>
            </w:r>
          </w:p>
        </w:tc>
        <w:tc>
          <w:tcPr>
            <w:tcW w:w="0" w:type="dxa"/>
            <w:vAlign w:val="bottom"/>
          </w:tcPr>
          <w:p>
            <w:pPr>
              <w:spacing w:after="0"/>
              <w:rPr>
                <w:sz w:val="1"/>
                <w:szCs w:val="1"/>
                <w:color w:val="auto"/>
              </w:rPr>
            </w:pPr>
          </w:p>
        </w:tc>
      </w:tr>
      <w:tr>
        <w:trPr>
          <w:trHeight w:val="174"/>
        </w:trPr>
        <w:tc>
          <w:tcPr>
            <w:tcW w:w="7380" w:type="dxa"/>
            <w:vAlign w:val="bottom"/>
          </w:tcPr>
          <w:p>
            <w:pPr>
              <w:ind w:left="20"/>
              <w:spacing w:after="0" w:line="174" w:lineRule="exact"/>
              <w:rPr>
                <w:sz w:val="20"/>
                <w:szCs w:val="20"/>
                <w:color w:val="auto"/>
              </w:rPr>
            </w:pPr>
            <w:r>
              <w:rPr>
                <w:rFonts w:ascii="Arial" w:cs="Arial" w:eastAsia="Arial" w:hAnsi="Arial"/>
                <w:sz w:val="16"/>
                <w:szCs w:val="16"/>
                <w:color w:val="auto"/>
              </w:rPr>
              <w:t>$13,811,539 in 2024 and $13,135,385 in 2023</w:t>
            </w:r>
          </w:p>
        </w:tc>
        <w:tc>
          <w:tcPr>
            <w:tcW w:w="102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38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Operating lease assets</w:t>
            </w: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FF"/>
            </w:tcBorders>
            <w:shd w:val="clear" w:color="auto" w:fill="CCEEFF"/>
          </w:tcPr>
          <w:p>
            <w:pPr>
              <w:spacing w:after="0" w:line="174" w:lineRule="exact"/>
              <w:rPr>
                <w:sz w:val="20"/>
                <w:szCs w:val="20"/>
                <w:color w:val="auto"/>
              </w:rPr>
            </w:pPr>
            <w:r>
              <w:rPr>
                <w:rFonts w:ascii="Arial" w:cs="Arial" w:eastAsia="Arial" w:hAnsi="Arial"/>
                <w:sz w:val="16"/>
                <w:szCs w:val="16"/>
                <w:color w:val="0000FF"/>
                <w:w w:val="95"/>
              </w:rPr>
              <w:t>Note T</w:t>
            </w:r>
          </w:p>
        </w:tc>
        <w:tc>
          <w:tcPr>
            <w:tcW w:w="52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777,536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745,185</w:t>
            </w:r>
          </w:p>
        </w:tc>
        <w:tc>
          <w:tcPr>
            <w:tcW w:w="0" w:type="dxa"/>
            <w:vAlign w:val="bottom"/>
          </w:tcPr>
          <w:p>
            <w:pPr>
              <w:spacing w:after="0"/>
              <w:rPr>
                <w:sz w:val="1"/>
                <w:szCs w:val="1"/>
                <w:color w:val="auto"/>
              </w:rPr>
            </w:pPr>
          </w:p>
        </w:tc>
      </w:tr>
      <w:tr>
        <w:trPr>
          <w:trHeight w:val="174"/>
        </w:trPr>
        <w:tc>
          <w:tcPr>
            <w:tcW w:w="7380" w:type="dxa"/>
            <w:vAlign w:val="bottom"/>
          </w:tcPr>
          <w:p>
            <w:pPr>
              <w:ind w:left="20"/>
              <w:spacing w:after="0" w:line="174" w:lineRule="exact"/>
              <w:rPr>
                <w:sz w:val="20"/>
                <w:szCs w:val="20"/>
                <w:color w:val="auto"/>
              </w:rPr>
            </w:pPr>
            <w:r>
              <w:rPr>
                <w:rFonts w:ascii="Arial" w:cs="Arial" w:eastAsia="Arial" w:hAnsi="Arial"/>
                <w:sz w:val="16"/>
                <w:szCs w:val="16"/>
                <w:color w:val="auto"/>
              </w:rPr>
              <w:t>Deferred income taxes</w:t>
            </w:r>
          </w:p>
        </w:tc>
        <w:tc>
          <w:tcPr>
            <w:tcW w:w="1020" w:type="dxa"/>
            <w:vAlign w:val="bottom"/>
            <w:gridSpan w:val="4"/>
          </w:tcPr>
          <w:p>
            <w:pPr>
              <w:spacing w:after="0" w:line="174" w:lineRule="exact"/>
              <w:rPr>
                <w:sz w:val="20"/>
                <w:szCs w:val="20"/>
                <w:color w:val="auto"/>
              </w:rPr>
            </w:pPr>
            <w:r>
              <w:rPr>
                <w:rFonts w:ascii="Arial" w:cs="Arial" w:eastAsia="Arial" w:hAnsi="Arial"/>
                <w:sz w:val="16"/>
                <w:szCs w:val="16"/>
                <w:color w:val="0000FF"/>
              </w:rPr>
              <w:t>Note H</w:t>
            </w:r>
          </w:p>
        </w:tc>
        <w:tc>
          <w:tcPr>
            <w:tcW w:w="320" w:type="dxa"/>
            <w:vAlign w:val="bottom"/>
          </w:tcPr>
          <w:p>
            <w:pPr>
              <w:spacing w:after="0"/>
              <w:rPr>
                <w:sz w:val="15"/>
                <w:szCs w:val="15"/>
                <w:color w:val="auto"/>
              </w:rPr>
            </w:pPr>
          </w:p>
        </w:tc>
        <w:tc>
          <w:tcPr>
            <w:tcW w:w="1200" w:type="dxa"/>
            <w:vAlign w:val="bottom"/>
            <w:gridSpan w:val="2"/>
          </w:tcPr>
          <w:p>
            <w:pPr>
              <w:jc w:val="right"/>
              <w:ind w:right="180"/>
              <w:spacing w:after="0" w:line="174"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charges and other assets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43,686</w:t>
            </w:r>
          </w:p>
        </w:tc>
        <w:tc>
          <w:tcPr>
            <w:tcW w:w="0" w:type="dxa"/>
            <w:vAlign w:val="bottom"/>
          </w:tcPr>
          <w:p>
            <w:pPr>
              <w:spacing w:after="0"/>
              <w:rPr>
                <w:sz w:val="1"/>
                <w:szCs w:val="1"/>
                <w:color w:val="auto"/>
              </w:rPr>
            </w:pPr>
          </w:p>
        </w:tc>
      </w:tr>
      <w:tr>
        <w:trPr>
          <w:trHeight w:val="207"/>
        </w:trPr>
        <w:tc>
          <w:tcPr>
            <w:tcW w:w="7380" w:type="dxa"/>
            <w:vAlign w:val="bottom"/>
          </w:tcPr>
          <w:p>
            <w:pPr>
              <w:ind w:left="860"/>
              <w:spacing w:after="0"/>
              <w:rPr>
                <w:sz w:val="20"/>
                <w:szCs w:val="20"/>
                <w:color w:val="auto"/>
              </w:rPr>
            </w:pPr>
            <w:r>
              <w:rPr>
                <w:rFonts w:ascii="Arial" w:cs="Arial" w:eastAsia="Arial" w:hAnsi="Arial"/>
                <w:sz w:val="16"/>
                <w:szCs w:val="16"/>
                <w:color w:val="auto"/>
              </w:rPr>
              <w:t>Total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9,667,479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9,766,697</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 AND EQUITY</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3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ind w:left="380"/>
              <w:spacing w:after="0" w:line="175" w:lineRule="exact"/>
              <w:rPr>
                <w:sz w:val="20"/>
                <w:szCs w:val="20"/>
                <w:color w:val="auto"/>
              </w:rPr>
            </w:pPr>
            <w:r>
              <w:rPr>
                <w:rFonts w:ascii="Arial" w:cs="Arial" w:eastAsia="Arial" w:hAnsi="Arial"/>
                <w:sz w:val="16"/>
                <w:szCs w:val="16"/>
                <w:color w:val="auto"/>
              </w:rPr>
              <w:t>Current maturities of long-term debt, finance lease</w:t>
            </w:r>
          </w:p>
        </w:tc>
        <w:tc>
          <w:tcPr>
            <w:tcW w:w="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Note F</w:t>
            </w:r>
          </w:p>
        </w:tc>
        <w:tc>
          <w:tcPr>
            <w:tcW w:w="320" w:type="dxa"/>
            <w:vAlign w:val="bottom"/>
            <w:shd w:val="clear" w:color="auto" w:fill="CCEEFF"/>
          </w:tcPr>
          <w:p>
            <w:pPr>
              <w:jc w:val="right"/>
              <w:ind w:right="140"/>
              <w:spacing w:after="0" w:line="175" w:lineRule="exact"/>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871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14"/>
        </w:trPr>
        <w:tc>
          <w:tcPr>
            <w:tcW w:w="7380" w:type="dxa"/>
            <w:vAlign w:val="bottom"/>
            <w:tcBorders>
              <w:top w:val="single" w:sz="8" w:color="CCEEFF"/>
            </w:tcBorders>
          </w:tcPr>
          <w:p>
            <w:pPr>
              <w:ind w:left="380"/>
              <w:spacing w:after="0"/>
              <w:rPr>
                <w:sz w:val="20"/>
                <w:szCs w:val="20"/>
                <w:color w:val="auto"/>
              </w:rPr>
            </w:pPr>
            <w:r>
              <w:rPr>
                <w:rFonts w:ascii="Arial" w:cs="Arial" w:eastAsia="Arial" w:hAnsi="Arial"/>
                <w:sz w:val="16"/>
                <w:szCs w:val="16"/>
                <w:color w:val="auto"/>
              </w:rPr>
              <w:t>Accounts payable</w:t>
            </w: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472,165</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446,891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taxes payable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21,007</w:t>
            </w:r>
          </w:p>
        </w:tc>
        <w:tc>
          <w:tcPr>
            <w:tcW w:w="0" w:type="dxa"/>
            <w:vAlign w:val="bottom"/>
          </w:tcPr>
          <w:p>
            <w:pPr>
              <w:spacing w:after="0"/>
              <w:rPr>
                <w:sz w:val="1"/>
                <w:szCs w:val="1"/>
                <w:color w:val="auto"/>
              </w:rPr>
            </w:pPr>
          </w:p>
        </w:tc>
      </w:tr>
      <w:tr>
        <w:trPr>
          <w:trHeight w:val="214"/>
        </w:trPr>
        <w:tc>
          <w:tcPr>
            <w:tcW w:w="7380" w:type="dxa"/>
            <w:vAlign w:val="bottom"/>
          </w:tcPr>
          <w:p>
            <w:pPr>
              <w:ind w:left="380"/>
              <w:spacing w:after="0"/>
              <w:rPr>
                <w:sz w:val="20"/>
                <w:szCs w:val="20"/>
                <w:color w:val="auto"/>
              </w:rPr>
            </w:pPr>
            <w:r>
              <w:rPr>
                <w:rFonts w:ascii="Arial" w:cs="Arial" w:eastAsia="Arial" w:hAnsi="Arial"/>
                <w:sz w:val="16"/>
                <w:szCs w:val="16"/>
                <w:color w:val="auto"/>
              </w:rPr>
              <w:t>Other taxes payable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31,685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29,339</w:t>
            </w:r>
          </w:p>
        </w:tc>
        <w:tc>
          <w:tcPr>
            <w:tcW w:w="0" w:type="dxa"/>
            <w:vAlign w:val="bottom"/>
          </w:tcPr>
          <w:p>
            <w:pPr>
              <w:spacing w:after="0"/>
              <w:rPr>
                <w:sz w:val="1"/>
                <w:szCs w:val="1"/>
                <w:color w:val="auto"/>
              </w:rPr>
            </w:pPr>
          </w:p>
        </w:tc>
      </w:tr>
      <w:tr>
        <w:trPr>
          <w:trHeight w:val="194"/>
        </w:trPr>
        <w:tc>
          <w:tcPr>
            <w:tcW w:w="7380" w:type="dxa"/>
            <w:vAlign w:val="bottom"/>
            <w:shd w:val="clear" w:color="auto" w:fill="CCEEFF"/>
          </w:tcPr>
          <w:p>
            <w:pPr>
              <w:ind w:left="380"/>
              <w:spacing w:after="0" w:line="174" w:lineRule="exact"/>
              <w:rPr>
                <w:sz w:val="20"/>
                <w:szCs w:val="20"/>
                <w:color w:val="auto"/>
              </w:rPr>
            </w:pPr>
            <w:r>
              <w:rPr>
                <w:rFonts w:ascii="Arial" w:cs="Arial" w:eastAsia="Arial" w:hAnsi="Arial"/>
                <w:sz w:val="16"/>
                <w:szCs w:val="16"/>
                <w:color w:val="auto"/>
              </w:rPr>
              <w:t>Operating lease liabilities</w:t>
            </w:r>
          </w:p>
        </w:tc>
        <w:tc>
          <w:tcPr>
            <w:tcW w:w="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spacing w:after="0" w:line="174" w:lineRule="exact"/>
              <w:rPr>
                <w:sz w:val="20"/>
                <w:szCs w:val="20"/>
                <w:color w:val="auto"/>
              </w:rPr>
            </w:pPr>
            <w:r>
              <w:rPr>
                <w:rFonts w:ascii="Arial" w:cs="Arial" w:eastAsia="Arial" w:hAnsi="Arial"/>
                <w:sz w:val="16"/>
                <w:szCs w:val="16"/>
                <w:color w:val="0000FF"/>
              </w:rPr>
              <w:t>Note 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253,208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207,840</w:t>
            </w:r>
          </w:p>
        </w:tc>
        <w:tc>
          <w:tcPr>
            <w:tcW w:w="0" w:type="dxa"/>
            <w:vAlign w:val="bottom"/>
          </w:tcPr>
          <w:p>
            <w:pPr>
              <w:spacing w:after="0"/>
              <w:rPr>
                <w:sz w:val="1"/>
                <w:szCs w:val="1"/>
                <w:color w:val="auto"/>
              </w:rPr>
            </w:pPr>
          </w:p>
        </w:tc>
      </w:tr>
      <w:tr>
        <w:trPr>
          <w:trHeight w:val="214"/>
        </w:trPr>
        <w:tc>
          <w:tcPr>
            <w:tcW w:w="7380" w:type="dxa"/>
            <w:vAlign w:val="bottom"/>
            <w:tcBorders>
              <w:top w:val="single" w:sz="8" w:color="CCEEFF"/>
            </w:tcBorders>
          </w:tcPr>
          <w:p>
            <w:pPr>
              <w:ind w:left="380"/>
              <w:spacing w:after="0"/>
              <w:rPr>
                <w:sz w:val="20"/>
                <w:szCs w:val="20"/>
                <w:color w:val="auto"/>
              </w:rPr>
            </w:pPr>
            <w:r>
              <w:rPr>
                <w:rFonts w:ascii="Arial" w:cs="Arial" w:eastAsia="Arial" w:hAnsi="Arial"/>
                <w:sz w:val="16"/>
                <w:szCs w:val="16"/>
                <w:color w:val="auto"/>
              </w:rPr>
              <w:t>Other accrued liabilities</w:t>
            </w: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117,802</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130,033</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380"/>
              <w:spacing w:after="0" w:line="174" w:lineRule="exact"/>
              <w:rPr>
                <w:sz w:val="20"/>
                <w:szCs w:val="20"/>
                <w:color w:val="auto"/>
              </w:rPr>
            </w:pPr>
            <w:r>
              <w:rPr>
                <w:rFonts w:ascii="Arial" w:cs="Arial" w:eastAsia="Arial" w:hAnsi="Arial"/>
                <w:sz w:val="16"/>
                <w:szCs w:val="16"/>
                <w:color w:val="auto"/>
              </w:rPr>
              <w:t xml:space="preserve">Current asset retirement obligations </w:t>
            </w:r>
            <w:r>
              <w:rPr>
                <w:rFonts w:ascii="Arial" w:cs="Arial" w:eastAsia="Arial" w:hAnsi="Arial"/>
                <w:sz w:val="20"/>
                <w:szCs w:val="20"/>
                <w:color w:val="auto"/>
                <w:vertAlign w:val="superscript"/>
              </w:rPr>
              <w:t>1</w:t>
            </w:r>
          </w:p>
        </w:tc>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6"/>
                <w:szCs w:val="16"/>
                <w:color w:val="0000FF"/>
              </w:rPr>
              <w:t>Note 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48,080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10,712</w:t>
            </w:r>
          </w:p>
        </w:tc>
        <w:tc>
          <w:tcPr>
            <w:tcW w:w="0" w:type="dxa"/>
            <w:vAlign w:val="bottom"/>
          </w:tcPr>
          <w:p>
            <w:pPr>
              <w:spacing w:after="0"/>
              <w:rPr>
                <w:sz w:val="1"/>
                <w:szCs w:val="1"/>
                <w:color w:val="auto"/>
              </w:rPr>
            </w:pPr>
          </w:p>
        </w:tc>
      </w:tr>
      <w:tr>
        <w:trPr>
          <w:trHeight w:val="207"/>
        </w:trPr>
        <w:tc>
          <w:tcPr>
            <w:tcW w:w="7380" w:type="dxa"/>
            <w:vAlign w:val="bottom"/>
            <w:tcBorders>
              <w:top w:val="single" w:sz="8" w:color="CCEEFF"/>
            </w:tcBorders>
          </w:tcPr>
          <w:p>
            <w:pPr>
              <w:ind w:left="860"/>
              <w:spacing w:after="0"/>
              <w:rPr>
                <w:sz w:val="20"/>
                <w:szCs w:val="20"/>
                <w:color w:val="auto"/>
              </w:rPr>
            </w:pPr>
            <w:r>
              <w:rPr>
                <w:rFonts w:ascii="Arial" w:cs="Arial" w:eastAsia="Arial" w:hAnsi="Arial"/>
                <w:sz w:val="16"/>
                <w:szCs w:val="16"/>
                <w:color w:val="auto"/>
              </w:rPr>
              <w:t>Total current liabilities</w:t>
            </w:r>
          </w:p>
        </w:tc>
        <w:tc>
          <w:tcPr>
            <w:tcW w:w="2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942,814</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846,545</w:t>
            </w:r>
          </w:p>
        </w:tc>
        <w:tc>
          <w:tcPr>
            <w:tcW w:w="0" w:type="dxa"/>
            <w:vAlign w:val="bottom"/>
          </w:tcPr>
          <w:p>
            <w:pPr>
              <w:spacing w:after="0"/>
              <w:rPr>
                <w:sz w:val="1"/>
                <w:szCs w:val="1"/>
                <w:color w:val="auto"/>
              </w:rPr>
            </w:pPr>
          </w:p>
        </w:tc>
      </w:tr>
      <w:tr>
        <w:trPr>
          <w:trHeight w:val="194"/>
        </w:trPr>
        <w:tc>
          <w:tcPr>
            <w:tcW w:w="738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Long-term debt, including finance lease obligation</w:t>
            </w: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FF"/>
            </w:tcBorders>
            <w:shd w:val="clear" w:color="auto" w:fill="CCEEFF"/>
          </w:tcPr>
          <w:p>
            <w:pPr>
              <w:spacing w:after="0" w:line="174" w:lineRule="exact"/>
              <w:rPr>
                <w:sz w:val="20"/>
                <w:szCs w:val="20"/>
                <w:color w:val="auto"/>
              </w:rPr>
            </w:pPr>
            <w:r>
              <w:rPr>
                <w:rFonts w:ascii="Arial" w:cs="Arial" w:eastAsia="Arial" w:hAnsi="Arial"/>
                <w:sz w:val="16"/>
                <w:szCs w:val="16"/>
                <w:color w:val="0000FF"/>
                <w:w w:val="95"/>
              </w:rPr>
              <w:t>Note F</w:t>
            </w:r>
          </w:p>
        </w:tc>
        <w:tc>
          <w:tcPr>
            <w:tcW w:w="52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1,274,502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1,328,352</w:t>
            </w:r>
          </w:p>
        </w:tc>
        <w:tc>
          <w:tcPr>
            <w:tcW w:w="0" w:type="dxa"/>
            <w:vAlign w:val="bottom"/>
          </w:tcPr>
          <w:p>
            <w:pPr>
              <w:spacing w:after="0"/>
              <w:rPr>
                <w:sz w:val="1"/>
                <w:szCs w:val="1"/>
                <w:color w:val="auto"/>
              </w:rPr>
            </w:pPr>
          </w:p>
        </w:tc>
      </w:tr>
      <w:tr>
        <w:trPr>
          <w:trHeight w:val="174"/>
        </w:trPr>
        <w:tc>
          <w:tcPr>
            <w:tcW w:w="7380" w:type="dxa"/>
            <w:vAlign w:val="bottom"/>
          </w:tcPr>
          <w:p>
            <w:pPr>
              <w:ind w:left="20"/>
              <w:spacing w:after="0" w:line="174" w:lineRule="exact"/>
              <w:rPr>
                <w:sz w:val="20"/>
                <w:szCs w:val="20"/>
                <w:color w:val="auto"/>
              </w:rPr>
            </w:pPr>
            <w:r>
              <w:rPr>
                <w:rFonts w:ascii="Arial" w:cs="Arial" w:eastAsia="Arial" w:hAnsi="Arial"/>
                <w:sz w:val="16"/>
                <w:szCs w:val="16"/>
                <w:color w:val="auto"/>
              </w:rPr>
              <w:t>Asset retirement obligations</w:t>
            </w:r>
          </w:p>
        </w:tc>
        <w:tc>
          <w:tcPr>
            <w:tcW w:w="1020" w:type="dxa"/>
            <w:vAlign w:val="bottom"/>
            <w:gridSpan w:val="4"/>
          </w:tcPr>
          <w:p>
            <w:pPr>
              <w:spacing w:after="0" w:line="174" w:lineRule="exact"/>
              <w:rPr>
                <w:sz w:val="20"/>
                <w:szCs w:val="20"/>
                <w:color w:val="auto"/>
              </w:rPr>
            </w:pPr>
            <w:r>
              <w:rPr>
                <w:rFonts w:ascii="Arial" w:cs="Arial" w:eastAsia="Arial" w:hAnsi="Arial"/>
                <w:sz w:val="16"/>
                <w:szCs w:val="16"/>
                <w:color w:val="0000FF"/>
              </w:rPr>
              <w:t>Note G</w:t>
            </w:r>
          </w:p>
        </w:tc>
        <w:tc>
          <w:tcPr>
            <w:tcW w:w="320" w:type="dxa"/>
            <w:vAlign w:val="bottom"/>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960,804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904,051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309,605</w:t>
            </w:r>
          </w:p>
        </w:tc>
        <w:tc>
          <w:tcPr>
            <w:tcW w:w="0" w:type="dxa"/>
            <w:vAlign w:val="bottom"/>
          </w:tcPr>
          <w:p>
            <w:pPr>
              <w:spacing w:after="0"/>
              <w:rPr>
                <w:sz w:val="1"/>
                <w:szCs w:val="1"/>
                <w:color w:val="auto"/>
              </w:rPr>
            </w:pPr>
          </w:p>
        </w:tc>
      </w:tr>
      <w:tr>
        <w:trPr>
          <w:trHeight w:val="174"/>
        </w:trPr>
        <w:tc>
          <w:tcPr>
            <w:tcW w:w="7380" w:type="dxa"/>
            <w:vAlign w:val="bottom"/>
          </w:tcPr>
          <w:p>
            <w:pPr>
              <w:ind w:left="20"/>
              <w:spacing w:after="0" w:line="174" w:lineRule="exact"/>
              <w:rPr>
                <w:sz w:val="20"/>
                <w:szCs w:val="20"/>
                <w:color w:val="auto"/>
              </w:rPr>
            </w:pPr>
            <w:r>
              <w:rPr>
                <w:rFonts w:ascii="Arial" w:cs="Arial" w:eastAsia="Arial" w:hAnsi="Arial"/>
                <w:sz w:val="16"/>
                <w:szCs w:val="16"/>
                <w:color w:val="auto"/>
              </w:rPr>
              <w:t>Non-current operating lease liabilities</w:t>
            </w:r>
          </w:p>
        </w:tc>
        <w:tc>
          <w:tcPr>
            <w:tcW w:w="2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Arial" w:cs="Arial" w:eastAsia="Arial" w:hAnsi="Arial"/>
                <w:sz w:val="16"/>
                <w:szCs w:val="16"/>
                <w:color w:val="0000FF"/>
              </w:rPr>
              <w:t>Note T</w:t>
            </w:r>
          </w:p>
        </w:tc>
        <w:tc>
          <w:tcPr>
            <w:tcW w:w="320" w:type="dxa"/>
            <w:vAlign w:val="bottom"/>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537,381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551,845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8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Deferred income taxes</w:t>
            </w:r>
          </w:p>
        </w:tc>
        <w:tc>
          <w:tcPr>
            <w:tcW w:w="1020" w:type="dxa"/>
            <w:vAlign w:val="bottom"/>
            <w:gridSpan w:val="4"/>
            <w:shd w:val="clear" w:color="auto" w:fill="CCEEFF"/>
          </w:tcPr>
          <w:p>
            <w:pPr>
              <w:spacing w:after="0" w:line="174" w:lineRule="exact"/>
              <w:rPr>
                <w:sz w:val="20"/>
                <w:szCs w:val="20"/>
                <w:color w:val="auto"/>
              </w:rPr>
            </w:pPr>
            <w:r>
              <w:rPr>
                <w:rFonts w:ascii="Arial" w:cs="Arial" w:eastAsia="Arial" w:hAnsi="Arial"/>
                <w:sz w:val="16"/>
                <w:szCs w:val="16"/>
                <w:color w:val="0000FF"/>
              </w:rPr>
              <w:t>Note H</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b w:val="1"/>
                <w:bCs w:val="1"/>
                <w:color w:val="auto"/>
              </w:rPr>
              <w:t>335,790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276,646</w:t>
            </w:r>
          </w:p>
        </w:tc>
        <w:tc>
          <w:tcPr>
            <w:tcW w:w="0" w:type="dxa"/>
            <w:vAlign w:val="bottom"/>
          </w:tcPr>
          <w:p>
            <w:pPr>
              <w:spacing w:after="0"/>
              <w:rPr>
                <w:sz w:val="1"/>
                <w:szCs w:val="1"/>
                <w:color w:val="auto"/>
              </w:rPr>
            </w:pPr>
          </w:p>
        </w:tc>
      </w:tr>
      <w:tr>
        <w:trPr>
          <w:trHeight w:val="207"/>
        </w:trPr>
        <w:tc>
          <w:tcPr>
            <w:tcW w:w="7380" w:type="dxa"/>
            <w:vAlign w:val="bottom"/>
            <w:tcBorders>
              <w:top w:val="single" w:sz="8" w:color="CCEEFF"/>
            </w:tcBorders>
          </w:tcPr>
          <w:p>
            <w:pPr>
              <w:ind w:left="860"/>
              <w:spacing w:after="0"/>
              <w:rPr>
                <w:sz w:val="20"/>
                <w:szCs w:val="20"/>
                <w:color w:val="auto"/>
              </w:rPr>
            </w:pPr>
            <w:r>
              <w:rPr>
                <w:rFonts w:ascii="Arial" w:cs="Arial" w:eastAsia="Arial" w:hAnsi="Arial"/>
                <w:sz w:val="16"/>
                <w:szCs w:val="16"/>
                <w:color w:val="auto"/>
              </w:rPr>
              <w:t>Total liabilities</w:t>
            </w:r>
          </w:p>
        </w:tc>
        <w:tc>
          <w:tcPr>
            <w:tcW w:w="2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4,325,636</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4,217,044</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Equity</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380"/>
              <w:spacing w:after="0"/>
              <w:rPr>
                <w:sz w:val="20"/>
                <w:szCs w:val="20"/>
                <w:color w:val="auto"/>
              </w:rPr>
            </w:pPr>
            <w:r>
              <w:rPr>
                <w:rFonts w:ascii="Arial" w:cs="Arial" w:eastAsia="Arial" w:hAnsi="Arial"/>
                <w:sz w:val="16"/>
                <w:szCs w:val="16"/>
                <w:color w:val="auto"/>
              </w:rPr>
              <w:t>Cumulative Preferred Stock, par $100, authorized 400,000 shares, none issued</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7380" w:type="dxa"/>
            <w:vAlign w:val="bottom"/>
            <w:shd w:val="clear" w:color="auto" w:fill="CCEEFF"/>
          </w:tcPr>
          <w:p>
            <w:pPr>
              <w:ind w:left="380"/>
              <w:spacing w:after="0" w:line="161" w:lineRule="exact"/>
              <w:rPr>
                <w:sz w:val="20"/>
                <w:szCs w:val="20"/>
                <w:color w:val="auto"/>
              </w:rPr>
            </w:pPr>
            <w:r>
              <w:rPr>
                <w:rFonts w:ascii="Arial" w:cs="Arial" w:eastAsia="Arial" w:hAnsi="Arial"/>
                <w:sz w:val="16"/>
                <w:szCs w:val="16"/>
                <w:color w:val="auto"/>
              </w:rPr>
              <w:t>Common Stock, par $1.00, authorized 450,000,000 shares, issued 195,100,628 shares in</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195,101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2024 and 195,100,628 shares in 2023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80" w:type="dxa"/>
            <w:vAlign w:val="bottom"/>
          </w:tcPr>
          <w:p>
            <w:pPr>
              <w:ind w:left="380"/>
              <w:spacing w:after="0"/>
              <w:rPr>
                <w:sz w:val="20"/>
                <w:szCs w:val="20"/>
                <w:color w:val="auto"/>
              </w:rPr>
            </w:pPr>
            <w:r>
              <w:rPr>
                <w:rFonts w:ascii="Arial" w:cs="Arial" w:eastAsia="Arial" w:hAnsi="Arial"/>
                <w:sz w:val="16"/>
                <w:szCs w:val="16"/>
                <w:color w:val="auto"/>
              </w:rPr>
              <w:t>Capital in excess of par value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848,950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880,297</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6,773,289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6,546,079</w:t>
            </w:r>
          </w:p>
        </w:tc>
        <w:tc>
          <w:tcPr>
            <w:tcW w:w="0" w:type="dxa"/>
            <w:vAlign w:val="bottom"/>
          </w:tcPr>
          <w:p>
            <w:pPr>
              <w:spacing w:after="0"/>
              <w:rPr>
                <w:sz w:val="1"/>
                <w:szCs w:val="1"/>
                <w:color w:val="auto"/>
              </w:rPr>
            </w:pPr>
          </w:p>
        </w:tc>
      </w:tr>
      <w:tr>
        <w:trPr>
          <w:trHeight w:val="174"/>
        </w:trPr>
        <w:tc>
          <w:tcPr>
            <w:tcW w:w="7380" w:type="dxa"/>
            <w:vAlign w:val="bottom"/>
          </w:tcPr>
          <w:p>
            <w:pPr>
              <w:ind w:left="380"/>
              <w:spacing w:after="0" w:line="174" w:lineRule="exact"/>
              <w:rPr>
                <w:sz w:val="20"/>
                <w:szCs w:val="20"/>
                <w:color w:val="auto"/>
              </w:rPr>
            </w:pPr>
            <w:r>
              <w:rPr>
                <w:rFonts w:ascii="Arial" w:cs="Arial" w:eastAsia="Arial" w:hAnsi="Arial"/>
                <w:sz w:val="16"/>
                <w:szCs w:val="16"/>
                <w:color w:val="auto"/>
              </w:rPr>
              <w:t>Accumulated other comprehensive loss</w:t>
            </w:r>
          </w:p>
        </w:tc>
        <w:tc>
          <w:tcPr>
            <w:tcW w:w="1020" w:type="dxa"/>
            <w:vAlign w:val="bottom"/>
            <w:gridSpan w:val="4"/>
          </w:tcPr>
          <w:p>
            <w:pPr>
              <w:spacing w:after="0" w:line="174" w:lineRule="exact"/>
              <w:rPr>
                <w:sz w:val="20"/>
                <w:szCs w:val="20"/>
                <w:color w:val="auto"/>
              </w:rPr>
            </w:pPr>
            <w:r>
              <w:rPr>
                <w:rFonts w:ascii="Arial" w:cs="Arial" w:eastAsia="Arial" w:hAnsi="Arial"/>
                <w:sz w:val="16"/>
                <w:szCs w:val="16"/>
                <w:color w:val="0000FF"/>
              </w:rPr>
              <w:t>Note N</w:t>
            </w:r>
          </w:p>
        </w:tc>
        <w:tc>
          <w:tcPr>
            <w:tcW w:w="320" w:type="dxa"/>
            <w:vAlign w:val="bottom"/>
          </w:tcPr>
          <w:p>
            <w:pPr>
              <w:spacing w:after="0"/>
              <w:rPr>
                <w:sz w:val="15"/>
                <w:szCs w:val="15"/>
                <w:color w:val="auto"/>
              </w:rPr>
            </w:pPr>
          </w:p>
        </w:tc>
        <w:tc>
          <w:tcPr>
            <w:tcW w:w="110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(628,072)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74" w:lineRule="exact"/>
              <w:rPr>
                <w:sz w:val="20"/>
                <w:szCs w:val="20"/>
                <w:color w:val="auto"/>
              </w:rPr>
            </w:pPr>
            <w:r>
              <w:rPr>
                <w:rFonts w:ascii="Arial" w:cs="Arial" w:eastAsia="Arial" w:hAnsi="Arial"/>
                <w:sz w:val="16"/>
                <w:szCs w:val="16"/>
                <w:color w:val="auto"/>
              </w:rPr>
              <w:t>(521,117)</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Treasury stock</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(1,995,018)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(1,737,566)</w:t>
            </w:r>
          </w:p>
        </w:tc>
        <w:tc>
          <w:tcPr>
            <w:tcW w:w="0" w:type="dxa"/>
            <w:vAlign w:val="bottom"/>
          </w:tcPr>
          <w:p>
            <w:pPr>
              <w:spacing w:after="0"/>
              <w:rPr>
                <w:sz w:val="1"/>
                <w:szCs w:val="1"/>
                <w:color w:val="auto"/>
              </w:rPr>
            </w:pPr>
          </w:p>
        </w:tc>
      </w:tr>
      <w:tr>
        <w:trPr>
          <w:trHeight w:val="207"/>
        </w:trPr>
        <w:tc>
          <w:tcPr>
            <w:tcW w:w="7380" w:type="dxa"/>
            <w:vAlign w:val="bottom"/>
          </w:tcPr>
          <w:p>
            <w:pPr>
              <w:ind w:left="860"/>
              <w:spacing w:after="0"/>
              <w:rPr>
                <w:sz w:val="20"/>
                <w:szCs w:val="20"/>
                <w:color w:val="auto"/>
              </w:rPr>
            </w:pPr>
            <w:r>
              <w:rPr>
                <w:rFonts w:ascii="Arial" w:cs="Arial" w:eastAsia="Arial" w:hAnsi="Arial"/>
                <w:sz w:val="16"/>
                <w:szCs w:val="16"/>
                <w:color w:val="auto"/>
              </w:rPr>
              <w:t>Murphy Shareholders' Equity</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5,194,250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5,362,794</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Noncontrolling interest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147,593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186,859</w:t>
            </w:r>
          </w:p>
        </w:tc>
        <w:tc>
          <w:tcPr>
            <w:tcW w:w="0" w:type="dxa"/>
            <w:vAlign w:val="bottom"/>
          </w:tcPr>
          <w:p>
            <w:pPr>
              <w:spacing w:after="0"/>
              <w:rPr>
                <w:sz w:val="1"/>
                <w:szCs w:val="1"/>
                <w:color w:val="auto"/>
              </w:rPr>
            </w:pPr>
          </w:p>
        </w:tc>
      </w:tr>
      <w:tr>
        <w:trPr>
          <w:trHeight w:val="207"/>
        </w:trPr>
        <w:tc>
          <w:tcPr>
            <w:tcW w:w="738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Total equity</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5,341,843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5,549,653</w:t>
            </w:r>
          </w:p>
        </w:tc>
        <w:tc>
          <w:tcPr>
            <w:tcW w:w="0" w:type="dxa"/>
            <w:vAlign w:val="bottom"/>
          </w:tcPr>
          <w:p>
            <w:pPr>
              <w:spacing w:after="0"/>
              <w:rPr>
                <w:sz w:val="1"/>
                <w:szCs w:val="1"/>
                <w:color w:val="auto"/>
              </w:rPr>
            </w:pPr>
          </w:p>
        </w:tc>
      </w:tr>
      <w:tr>
        <w:trPr>
          <w:trHeight w:val="232"/>
        </w:trPr>
        <w:tc>
          <w:tcPr>
            <w:tcW w:w="73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Total liabilities and equity</w:t>
            </w: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9,667,479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9,766,697</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20"/>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The prior-period amount has been reclassified to conform to the current period presentation.</w:t>
      </w:r>
    </w:p>
    <w:p>
      <w:pPr>
        <w:spacing w:after="0" w:line="7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520"/>
        <w:spacing w:after="0" w:line="292" w:lineRule="auto"/>
        <w:rPr>
          <w:sz w:val="20"/>
          <w:szCs w:val="20"/>
          <w:color w:val="auto"/>
        </w:rPr>
      </w:pPr>
      <w:r>
        <w:rPr>
          <w:rFonts w:ascii="Arial" w:cs="Arial" w:eastAsia="Arial" w:hAnsi="Arial"/>
          <w:sz w:val="18"/>
          <w:szCs w:val="18"/>
          <w:b w:val="1"/>
          <w:bCs w:val="1"/>
          <w:color w:val="auto"/>
        </w:rPr>
        <w:t>MURPHY OIL CORPORATION AND CONSOLIDATED SUBSIDIARIES CONSOLIDATED STATEMENTS OF OPERATIONS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Years Ended December 31 (Thousands of dollars except per share amounts)</w:t>
            </w:r>
          </w:p>
        </w:tc>
        <w:tc>
          <w:tcPr>
            <w:tcW w:w="320" w:type="dxa"/>
            <w:vAlign w:val="bottom"/>
          </w:tcPr>
          <w:p>
            <w:pPr>
              <w:spacing w:after="0"/>
              <w:rPr>
                <w:sz w:val="18"/>
                <w:szCs w:val="18"/>
                <w:color w:val="auto"/>
              </w:rPr>
            </w:pPr>
          </w:p>
        </w:tc>
        <w:tc>
          <w:tcPr>
            <w:tcW w:w="1100" w:type="dxa"/>
            <w:vAlign w:val="bottom"/>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6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60"/>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7"/>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 and other income</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Revenue from production</w:t>
            </w:r>
          </w:p>
        </w:tc>
        <w:tc>
          <w:tcPr>
            <w:tcW w:w="320" w:type="dxa"/>
            <w:vAlign w:val="bottom"/>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3,014,856</w:t>
            </w:r>
          </w:p>
        </w:tc>
        <w:tc>
          <w:tcPr>
            <w:tcW w:w="10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3,376,639</w:t>
            </w:r>
          </w:p>
        </w:tc>
        <w:tc>
          <w:tcPr>
            <w:tcW w:w="100" w:type="dxa"/>
            <w:vAlign w:val="bottom"/>
          </w:tcPr>
          <w:p>
            <w:pPr>
              <w:spacing w:after="0"/>
              <w:rPr>
                <w:sz w:val="18"/>
                <w:szCs w:val="18"/>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4,038,451</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Sales of purchased natural gas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181,689</w:t>
            </w:r>
          </w:p>
        </w:tc>
        <w:tc>
          <w:tcPr>
            <w:tcW w:w="0" w:type="dxa"/>
            <w:vAlign w:val="bottom"/>
          </w:tcPr>
          <w:p>
            <w:pPr>
              <w:spacing w:after="0"/>
              <w:rPr>
                <w:sz w:val="1"/>
                <w:szCs w:val="1"/>
                <w:color w:val="auto"/>
              </w:rPr>
            </w:pPr>
          </w:p>
        </w:tc>
      </w:tr>
      <w:tr>
        <w:trPr>
          <w:trHeight w:val="207"/>
        </w:trPr>
        <w:tc>
          <w:tcPr>
            <w:tcW w:w="6720" w:type="dxa"/>
            <w:vAlign w:val="bottom"/>
            <w:gridSpan w:val="2"/>
          </w:tcPr>
          <w:p>
            <w:pPr>
              <w:ind w:left="440"/>
              <w:spacing w:after="0"/>
              <w:rPr>
                <w:sz w:val="20"/>
                <w:szCs w:val="20"/>
                <w:color w:val="auto"/>
              </w:rPr>
            </w:pPr>
            <w:r>
              <w:rPr>
                <w:rFonts w:ascii="Arial" w:cs="Arial" w:eastAsia="Arial" w:hAnsi="Arial"/>
                <w:sz w:val="16"/>
                <w:szCs w:val="16"/>
                <w:color w:val="auto"/>
              </w:rPr>
              <w:t>Total revenue from sales to customers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3,018,598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3,448,854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4,220,140</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on derivative instruments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(320,410)</w:t>
            </w:r>
          </w:p>
        </w:tc>
        <w:tc>
          <w:tcPr>
            <w:tcW w:w="0" w:type="dxa"/>
            <w:vAlign w:val="bottom"/>
          </w:tcPr>
          <w:p>
            <w:pPr>
              <w:spacing w:after="0"/>
              <w:rPr>
                <w:sz w:val="1"/>
                <w:szCs w:val="1"/>
                <w:color w:val="auto"/>
              </w:rPr>
            </w:pPr>
          </w:p>
        </w:tc>
      </w:tr>
      <w:tr>
        <w:trPr>
          <w:trHeight w:val="214"/>
        </w:trPr>
        <w:tc>
          <w:tcPr>
            <w:tcW w:w="6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Gain on sale of assets and other operating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32,932</w:t>
            </w:r>
          </w:p>
        </w:tc>
        <w:tc>
          <w:tcPr>
            <w:tcW w:w="0" w:type="dxa"/>
            <w:vAlign w:val="bottom"/>
          </w:tcPr>
          <w:p>
            <w:pPr>
              <w:spacing w:after="0"/>
              <w:rPr>
                <w:sz w:val="1"/>
                <w:szCs w:val="1"/>
                <w:color w:val="auto"/>
              </w:rPr>
            </w:pPr>
          </w:p>
        </w:tc>
      </w:tr>
      <w:tr>
        <w:trPr>
          <w:trHeight w:val="207"/>
        </w:trPr>
        <w:tc>
          <w:tcPr>
            <w:tcW w:w="6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revenues and 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3,028,474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3,460,147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3,932,662</w:t>
            </w:r>
          </w:p>
        </w:tc>
        <w:tc>
          <w:tcPr>
            <w:tcW w:w="0" w:type="dxa"/>
            <w:vAlign w:val="bottom"/>
          </w:tcPr>
          <w:p>
            <w:pPr>
              <w:spacing w:after="0"/>
              <w:rPr>
                <w:sz w:val="1"/>
                <w:szCs w:val="1"/>
                <w:color w:val="auto"/>
              </w:rPr>
            </w:pPr>
          </w:p>
        </w:tc>
      </w:tr>
      <w:tr>
        <w:trPr>
          <w:trHeight w:val="194"/>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Lease 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936,960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784,391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679,342</w:t>
            </w:r>
          </w:p>
        </w:tc>
        <w:tc>
          <w:tcPr>
            <w:tcW w:w="0" w:type="dxa"/>
            <w:vAlign w:val="bottom"/>
          </w:tcPr>
          <w:p>
            <w:pPr>
              <w:spacing w:after="0"/>
              <w:rPr>
                <w:sz w:val="1"/>
                <w:szCs w:val="1"/>
                <w:color w:val="auto"/>
              </w:rPr>
            </w:pPr>
          </w:p>
        </w:tc>
      </w:tr>
      <w:tr>
        <w:trPr>
          <w:trHeight w:val="214"/>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Severance and ad valorem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39,162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42,787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57,012</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Transportation, gathering and processing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210,827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212,711</w:t>
            </w:r>
          </w:p>
        </w:tc>
        <w:tc>
          <w:tcPr>
            <w:tcW w:w="0" w:type="dxa"/>
            <w:vAlign w:val="bottom"/>
          </w:tcPr>
          <w:p>
            <w:pPr>
              <w:spacing w:after="0"/>
              <w:rPr>
                <w:sz w:val="1"/>
                <w:szCs w:val="1"/>
                <w:color w:val="auto"/>
              </w:rPr>
            </w:pPr>
          </w:p>
        </w:tc>
      </w:tr>
      <w:tr>
        <w:trPr>
          <w:trHeight w:val="214"/>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Costs of purchased natural gas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51,682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171,991</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Exploration expenses, including undeveloped lease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133,197</w:t>
            </w:r>
          </w:p>
        </w:tc>
        <w:tc>
          <w:tcPr>
            <w:tcW w:w="0" w:type="dxa"/>
            <w:vAlign w:val="bottom"/>
          </w:tcPr>
          <w:p>
            <w:pPr>
              <w:spacing w:after="0"/>
              <w:rPr>
                <w:sz w:val="1"/>
                <w:szCs w:val="1"/>
                <w:color w:val="auto"/>
              </w:rPr>
            </w:pPr>
          </w:p>
        </w:tc>
      </w:tr>
      <w:tr>
        <w:trPr>
          <w:trHeight w:val="214"/>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Selling and general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110,085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131,121</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865,753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776,817</w:t>
            </w:r>
          </w:p>
        </w:tc>
        <w:tc>
          <w:tcPr>
            <w:tcW w:w="0" w:type="dxa"/>
            <w:vAlign w:val="bottom"/>
          </w:tcPr>
          <w:p>
            <w:pPr>
              <w:spacing w:after="0"/>
              <w:rPr>
                <w:sz w:val="1"/>
                <w:szCs w:val="1"/>
                <w:color w:val="auto"/>
              </w:rPr>
            </w:pPr>
          </w:p>
        </w:tc>
      </w:tr>
      <w:tr>
        <w:trPr>
          <w:trHeight w:val="214"/>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Accretion of asset retirement obligations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52,511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46,059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46,243</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 of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operating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137,518</w:t>
            </w:r>
          </w:p>
        </w:tc>
        <w:tc>
          <w:tcPr>
            <w:tcW w:w="0" w:type="dxa"/>
            <w:vAlign w:val="bottom"/>
          </w:tcPr>
          <w:p>
            <w:pPr>
              <w:spacing w:after="0"/>
              <w:rPr>
                <w:sz w:val="1"/>
                <w:szCs w:val="1"/>
                <w:color w:val="auto"/>
              </w:rPr>
            </w:pPr>
          </w:p>
        </w:tc>
      </w:tr>
      <w:tr>
        <w:trPr>
          <w:trHeight w:val="207"/>
        </w:trPr>
        <w:tc>
          <w:tcPr>
            <w:tcW w:w="6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2,425,881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2,418,118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2,345,952</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income from continuing operations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602,593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1,042,029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1,586,710</w:t>
            </w:r>
          </w:p>
        </w:tc>
        <w:tc>
          <w:tcPr>
            <w:tcW w:w="0" w:type="dxa"/>
            <w:vAlign w:val="bottom"/>
          </w:tcPr>
          <w:p>
            <w:pPr>
              <w:spacing w:after="0"/>
              <w:rPr>
                <w:sz w:val="1"/>
                <w:szCs w:val="1"/>
                <w:color w:val="auto"/>
              </w:rPr>
            </w:pPr>
          </w:p>
        </w:tc>
      </w:tr>
      <w:tr>
        <w:trPr>
          <w:trHeight w:val="194"/>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(loss)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Other income (loss)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70,902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14,310</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(105,926)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(150,759)</w:t>
            </w:r>
          </w:p>
        </w:tc>
        <w:tc>
          <w:tcPr>
            <w:tcW w:w="0" w:type="dxa"/>
            <w:vAlign w:val="bottom"/>
          </w:tcPr>
          <w:p>
            <w:pPr>
              <w:spacing w:after="0"/>
              <w:rPr>
                <w:sz w:val="1"/>
                <w:szCs w:val="1"/>
                <w:color w:val="auto"/>
              </w:rPr>
            </w:pPr>
          </w:p>
        </w:tc>
      </w:tr>
      <w:tr>
        <w:trPr>
          <w:trHeight w:val="207"/>
        </w:trPr>
        <w:tc>
          <w:tcPr>
            <w:tcW w:w="6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other loss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(136,449)</w:t>
            </w:r>
          </w:p>
        </w:tc>
        <w:tc>
          <w:tcPr>
            <w:tcW w:w="0" w:type="dxa"/>
            <w:vAlign w:val="bottom"/>
          </w:tcPr>
          <w:p>
            <w:pPr>
              <w:spacing w:after="0"/>
              <w:rPr>
                <w:sz w:val="1"/>
                <w:szCs w:val="1"/>
                <w:color w:val="auto"/>
              </w:rPr>
            </w:pPr>
          </w:p>
        </w:tc>
      </w:tr>
      <w:tr>
        <w:trPr>
          <w:trHeight w:val="20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567,569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921,069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1,450,261</w:t>
            </w:r>
          </w:p>
        </w:tc>
        <w:tc>
          <w:tcPr>
            <w:tcW w:w="0" w:type="dxa"/>
            <w:vAlign w:val="bottom"/>
          </w:tcPr>
          <w:p>
            <w:pPr>
              <w:spacing w:after="0"/>
              <w:rPr>
                <w:sz w:val="1"/>
                <w:szCs w:val="1"/>
                <w:color w:val="auto"/>
              </w:rPr>
            </w:pPr>
          </w:p>
        </w:tc>
      </w:tr>
      <w:tr>
        <w:trPr>
          <w:trHeight w:val="214"/>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78,272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309,464</w:t>
            </w:r>
          </w:p>
        </w:tc>
        <w:tc>
          <w:tcPr>
            <w:tcW w:w="0" w:type="dxa"/>
            <w:vAlign w:val="bottom"/>
          </w:tcPr>
          <w:p>
            <w:pPr>
              <w:spacing w:after="0"/>
              <w:rPr>
                <w:sz w:val="1"/>
                <w:szCs w:val="1"/>
                <w:color w:val="auto"/>
              </w:rPr>
            </w:pPr>
          </w:p>
        </w:tc>
      </w:tr>
      <w:tr>
        <w:trPr>
          <w:trHeight w:val="20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489,297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1,140,797</w:t>
            </w:r>
          </w:p>
        </w:tc>
        <w:tc>
          <w:tcPr>
            <w:tcW w:w="0" w:type="dxa"/>
            <w:vAlign w:val="bottom"/>
          </w:tcPr>
          <w:p>
            <w:pPr>
              <w:spacing w:after="0"/>
              <w:rPr>
                <w:sz w:val="1"/>
                <w:szCs w:val="1"/>
                <w:color w:val="auto"/>
              </w:rPr>
            </w:pPr>
          </w:p>
        </w:tc>
      </w:tr>
      <w:tr>
        <w:trPr>
          <w:trHeight w:val="214"/>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Loss from discontinued operations, net of income taxes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0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including noncontrolling interest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486,485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723,681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1,138,719</w:t>
            </w:r>
          </w:p>
        </w:tc>
        <w:tc>
          <w:tcPr>
            <w:tcW w:w="0" w:type="dxa"/>
            <w:vAlign w:val="bottom"/>
          </w:tcPr>
          <w:p>
            <w:pPr>
              <w:spacing w:after="0"/>
              <w:rPr>
                <w:sz w:val="1"/>
                <w:szCs w:val="1"/>
                <w:color w:val="auto"/>
              </w:rPr>
            </w:pPr>
          </w:p>
        </w:tc>
      </w:tr>
      <w:tr>
        <w:trPr>
          <w:trHeight w:val="214"/>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Net income attributable to noncontrolling interest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79,314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173,672</w:t>
            </w:r>
          </w:p>
        </w:tc>
        <w:tc>
          <w:tcPr>
            <w:tcW w:w="0" w:type="dxa"/>
            <w:vAlign w:val="bottom"/>
          </w:tcPr>
          <w:p>
            <w:pPr>
              <w:spacing w:after="0"/>
              <w:rPr>
                <w:sz w:val="1"/>
                <w:szCs w:val="1"/>
                <w:color w:val="auto"/>
              </w:rPr>
            </w:pPr>
          </w:p>
        </w:tc>
      </w:tr>
      <w:tr>
        <w:trPr>
          <w:trHeight w:val="232"/>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MURPHY</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407,171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661,559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965,047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NET INCOME (LOSS) PER COMMON SHARE –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Continuing operations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14"/>
        </w:trPr>
        <w:tc>
          <w:tcPr>
            <w:tcW w:w="6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2"/>
        </w:trPr>
        <w:tc>
          <w:tcPr>
            <w:tcW w:w="6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NET INCOME (LOSS) PER COMMON SHARE –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Continuing operations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4"/>
        </w:trPr>
        <w:tc>
          <w:tcPr>
            <w:tcW w:w="6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2"/>
        </w:trPr>
        <w:tc>
          <w:tcPr>
            <w:tcW w:w="6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Cash dividends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20" w:type="dxa"/>
            <w:vAlign w:val="bottom"/>
            <w:gridSpan w:val="2"/>
            <w:vMerge w:val="continue"/>
          </w:tcPr>
          <w:p>
            <w:pPr>
              <w:spacing w:after="0"/>
              <w:rPr>
                <w:sz w:val="16"/>
                <w:szCs w:val="16"/>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1.200</w:t>
            </w:r>
          </w:p>
        </w:tc>
        <w:tc>
          <w:tcPr>
            <w:tcW w:w="100" w:type="dxa"/>
            <w:vAlign w:val="bottom"/>
          </w:tcPr>
          <w:p>
            <w:pPr>
              <w:spacing w:after="0"/>
              <w:rPr>
                <w:sz w:val="16"/>
                <w:szCs w:val="16"/>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6"/>
                <w:szCs w:val="16"/>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0.825</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common shares outstanding (thousands)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150,011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155,277</w:t>
            </w:r>
          </w:p>
        </w:tc>
        <w:tc>
          <w:tcPr>
            <w:tcW w:w="0" w:type="dxa"/>
            <w:vAlign w:val="bottom"/>
          </w:tcPr>
          <w:p>
            <w:pPr>
              <w:spacing w:after="0"/>
              <w:rPr>
                <w:sz w:val="1"/>
                <w:szCs w:val="1"/>
                <w:color w:val="auto"/>
              </w:rPr>
            </w:pPr>
          </w:p>
        </w:tc>
      </w:tr>
      <w:tr>
        <w:trPr>
          <w:trHeight w:val="214"/>
        </w:trPr>
        <w:tc>
          <w:tcPr>
            <w:tcW w:w="6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151,027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260"/>
        <w:spacing w:after="0" w:line="323" w:lineRule="auto"/>
        <w:rPr>
          <w:sz w:val="20"/>
          <w:szCs w:val="20"/>
          <w:color w:val="auto"/>
        </w:rPr>
      </w:pPr>
      <w:r>
        <w:rPr>
          <w:rFonts w:ascii="Arial" w:cs="Arial" w:eastAsia="Arial" w:hAnsi="Arial"/>
          <w:sz w:val="17"/>
          <w:szCs w:val="17"/>
          <w:b w:val="1"/>
          <w:bCs w:val="1"/>
          <w:color w:val="auto"/>
        </w:rPr>
        <w:t>MURPHY OIL CORPORATION AND CONSOLIDATED SUBSIDIARIES CONSOLIDATED STATEMENTS OF COMPREHENSIVE INCOME (LOSS)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Years Ended December 31 (Thousands of dollars)</w:t>
            </w:r>
          </w:p>
        </w:tc>
        <w:tc>
          <w:tcPr>
            <w:tcW w:w="320" w:type="dxa"/>
            <w:vAlign w:val="bottom"/>
          </w:tcPr>
          <w:p>
            <w:pPr>
              <w:spacing w:after="0"/>
              <w:rPr>
                <w:sz w:val="18"/>
                <w:szCs w:val="18"/>
                <w:color w:val="auto"/>
              </w:rPr>
            </w:pPr>
          </w:p>
        </w:tc>
        <w:tc>
          <w:tcPr>
            <w:tcW w:w="1100" w:type="dxa"/>
            <w:vAlign w:val="bottom"/>
          </w:tcPr>
          <w:p>
            <w:pPr>
              <w:jc w:val="right"/>
              <w:ind w:right="44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60"/>
              <w:spacing w:after="0"/>
              <w:rPr>
                <w:sz w:val="20"/>
                <w:szCs w:val="20"/>
                <w:color w:val="auto"/>
              </w:rPr>
            </w:pPr>
            <w:r>
              <w:rPr>
                <w:rFonts w:ascii="Arial" w:cs="Arial" w:eastAsia="Arial" w:hAnsi="Arial"/>
                <w:sz w:val="16"/>
                <w:szCs w:val="16"/>
                <w:color w:val="auto"/>
              </w:rPr>
              <w:t>2022</w:t>
            </w:r>
          </w:p>
        </w:tc>
      </w:tr>
      <w:tr>
        <w:trPr>
          <w:trHeight w:val="207"/>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including noncontrolling interest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486,485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723,681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1,138,719</w:t>
            </w:r>
          </w:p>
        </w:tc>
      </w:tr>
      <w:tr>
        <w:trPr>
          <w:trHeight w:val="212"/>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(loss) gain from foreign currency translation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(134,692)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(106,335)</w:t>
            </w:r>
          </w:p>
        </w:tc>
      </w:tr>
      <w:tr>
        <w:trPr>
          <w:trHeight w:val="214"/>
        </w:trPr>
        <w:tc>
          <w:tcPr>
            <w:tcW w:w="6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Retirement and postretirement benefit plans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99,360</w:t>
            </w:r>
          </w:p>
        </w:tc>
      </w:tr>
      <w:tr>
        <w:trPr>
          <w:trHeight w:val="207"/>
        </w:trPr>
        <w:tc>
          <w:tcPr>
            <w:tcW w:w="67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(106,955)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(6,975)</w:t>
            </w:r>
          </w:p>
        </w:tc>
      </w:tr>
      <w:tr>
        <w:trPr>
          <w:trHeight w:val="207"/>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income including noncontrolling interest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379,530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737,250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1,131,744</w:t>
            </w:r>
          </w:p>
        </w:tc>
      </w:tr>
      <w:tr>
        <w:trPr>
          <w:trHeight w:val="207"/>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79,314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173,672</w:t>
            </w:r>
          </w:p>
        </w:tc>
      </w:tr>
      <w:tr>
        <w:trPr>
          <w:trHeight w:val="207"/>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 INCOME ATTRIBUTABLE TO MURPHY</w:t>
            </w:r>
          </w:p>
        </w:tc>
        <w:tc>
          <w:tcPr>
            <w:tcW w:w="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300,216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675,128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958,072</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520"/>
        <w:spacing w:after="0" w:line="292" w:lineRule="auto"/>
        <w:rPr>
          <w:sz w:val="20"/>
          <w:szCs w:val="20"/>
          <w:color w:val="auto"/>
        </w:rPr>
      </w:pPr>
      <w:r>
        <w:rPr>
          <w:rFonts w:ascii="Arial" w:cs="Arial" w:eastAsia="Arial" w:hAnsi="Arial"/>
          <w:sz w:val="18"/>
          <w:szCs w:val="18"/>
          <w:b w:val="1"/>
          <w:bCs w:val="1"/>
          <w:color w:val="auto"/>
        </w:rPr>
        <w:t>MURPHY OIL CORPORATION AND CONSOLIDATED SUBSIDIARIES CONSOLIDATED STATEMENTS OF CASH FLOWS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Years Ended December 31 (Thousands of dollars)</w:t>
            </w:r>
          </w:p>
        </w:tc>
        <w:tc>
          <w:tcPr>
            <w:tcW w:w="320" w:type="dxa"/>
            <w:vAlign w:val="bottom"/>
          </w:tcPr>
          <w:p>
            <w:pPr>
              <w:spacing w:after="0"/>
              <w:rPr>
                <w:sz w:val="18"/>
                <w:szCs w:val="18"/>
                <w:color w:val="auto"/>
              </w:rPr>
            </w:pPr>
          </w:p>
        </w:tc>
        <w:tc>
          <w:tcPr>
            <w:tcW w:w="1120" w:type="dxa"/>
            <w:vAlign w:val="bottom"/>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6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60"/>
              <w:spacing w:after="0"/>
              <w:rPr>
                <w:sz w:val="20"/>
                <w:szCs w:val="20"/>
                <w:color w:val="auto"/>
              </w:rPr>
            </w:pPr>
            <w:r>
              <w:rPr>
                <w:rFonts w:ascii="Arial" w:cs="Arial" w:eastAsia="Arial" w:hAnsi="Arial"/>
                <w:sz w:val="16"/>
                <w:szCs w:val="16"/>
                <w:color w:val="auto"/>
              </w:rPr>
              <w:t>2022</w:t>
            </w:r>
          </w:p>
        </w:tc>
      </w:tr>
      <w:tr>
        <w:trPr>
          <w:trHeight w:val="207"/>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Net income including noncontrolling interest</w:t>
            </w:r>
          </w:p>
        </w:tc>
        <w:tc>
          <w:tcPr>
            <w:tcW w:w="320" w:type="dxa"/>
            <w:vAlign w:val="bottom"/>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486,485</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723,681</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1,138,719</w:t>
            </w:r>
          </w:p>
        </w:tc>
      </w:tr>
      <w:tr>
        <w:trPr>
          <w:trHeight w:val="160"/>
        </w:trPr>
        <w:tc>
          <w:tcPr>
            <w:tcW w:w="668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6"/>
                <w:szCs w:val="16"/>
                <w:color w:val="auto"/>
              </w:rPr>
              <w:t>Adjustments to reconcile net income to net cash provided by continuing operations</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14"/>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6680" w:type="dxa"/>
            <w:vAlign w:val="bottom"/>
            <w:gridSpan w:val="2"/>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865,753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861,602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776,817</w:t>
            </w:r>
          </w:p>
        </w:tc>
      </w:tr>
      <w:tr>
        <w:trPr>
          <w:trHeight w:val="21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Unsuccessful exploration well costs and previously suspended exploration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82,085</w:t>
            </w:r>
          </w:p>
        </w:tc>
      </w:tr>
      <w:tr>
        <w:trPr>
          <w:trHeight w:val="214"/>
        </w:trPr>
        <w:tc>
          <w:tcPr>
            <w:tcW w:w="6680" w:type="dxa"/>
            <w:vAlign w:val="bottom"/>
            <w:gridSpan w:val="2"/>
          </w:tcPr>
          <w:p>
            <w:pPr>
              <w:ind w:left="340"/>
              <w:spacing w:after="0"/>
              <w:rPr>
                <w:sz w:val="20"/>
                <w:szCs w:val="20"/>
                <w:color w:val="auto"/>
              </w:rPr>
            </w:pPr>
            <w:r>
              <w:rPr>
                <w:rFonts w:ascii="Arial" w:cs="Arial" w:eastAsia="Arial" w:hAnsi="Arial"/>
                <w:sz w:val="16"/>
                <w:szCs w:val="16"/>
                <w:color w:val="auto"/>
              </w:rPr>
              <w:t>Deferred income tax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72,434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179,823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286,079</w:t>
            </w:r>
          </w:p>
        </w:tc>
      </w:tr>
      <w:tr>
        <w:trPr>
          <w:trHeight w:val="21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Impairment of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62,909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80" w:type="dxa"/>
            <w:vAlign w:val="bottom"/>
            <w:gridSpan w:val="2"/>
          </w:tcPr>
          <w:p>
            <w:pPr>
              <w:ind w:left="340"/>
              <w:spacing w:after="0"/>
              <w:rPr>
                <w:sz w:val="20"/>
                <w:szCs w:val="20"/>
                <w:color w:val="auto"/>
              </w:rPr>
            </w:pPr>
            <w:r>
              <w:rPr>
                <w:rFonts w:ascii="Arial" w:cs="Arial" w:eastAsia="Arial" w:hAnsi="Arial"/>
                <w:sz w:val="16"/>
                <w:szCs w:val="16"/>
                <w:color w:val="auto"/>
              </w:rPr>
              <w:t>Accretion of asset retirement obligations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52,511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46,059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46,243</w:t>
            </w:r>
          </w:p>
        </w:tc>
      </w:tr>
      <w:tr>
        <w:trPr>
          <w:trHeight w:val="21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Long-term non-cash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89,246</w:t>
            </w:r>
          </w:p>
        </w:tc>
      </w:tr>
      <w:tr>
        <w:trPr>
          <w:trHeight w:val="214"/>
        </w:trPr>
        <w:tc>
          <w:tcPr>
            <w:tcW w:w="6680" w:type="dxa"/>
            <w:vAlign w:val="bottom"/>
            <w:gridSpan w:val="2"/>
          </w:tcPr>
          <w:p>
            <w:pPr>
              <w:ind w:left="340"/>
              <w:spacing w:after="0"/>
              <w:rPr>
                <w:sz w:val="20"/>
                <w:szCs w:val="20"/>
                <w:color w:val="auto"/>
              </w:rPr>
            </w:pPr>
            <w:r>
              <w:rPr>
                <w:rFonts w:ascii="Arial" w:cs="Arial" w:eastAsia="Arial" w:hAnsi="Arial"/>
                <w:sz w:val="16"/>
                <w:szCs w:val="16"/>
                <w:color w:val="auto"/>
              </w:rPr>
              <w:t>Amortization of undeveloped leases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9,587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13,300</w:t>
            </w:r>
          </w:p>
        </w:tc>
      </w:tr>
      <w:tr>
        <w:trPr>
          <w:trHeight w:val="21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Loss from discontinued operations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r>
      <w:tr>
        <w:trPr>
          <w:trHeight w:val="214"/>
        </w:trPr>
        <w:tc>
          <w:tcPr>
            <w:tcW w:w="6680" w:type="dxa"/>
            <w:vAlign w:val="bottom"/>
            <w:gridSpan w:val="2"/>
          </w:tcPr>
          <w:p>
            <w:pPr>
              <w:ind w:left="340"/>
              <w:spacing w:after="0"/>
              <w:rPr>
                <w:sz w:val="20"/>
                <w:szCs w:val="20"/>
                <w:color w:val="auto"/>
              </w:rPr>
            </w:pPr>
            <w:r>
              <w:rPr>
                <w:rFonts w:ascii="Arial" w:cs="Arial" w:eastAsia="Arial" w:hAnsi="Arial"/>
                <w:sz w:val="16"/>
                <w:szCs w:val="16"/>
                <w:color w:val="auto"/>
              </w:rPr>
              <w:t>Mark-to-market loss (gain) on derivative instruments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(214,788)</w:t>
            </w:r>
          </w:p>
        </w:tc>
      </w:tr>
      <w:tr>
        <w:trPr>
          <w:trHeight w:val="21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Contingent consideration payment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80" w:type="dxa"/>
            <w:vAlign w:val="bottom"/>
            <w:gridSpan w:val="2"/>
          </w:tcPr>
          <w:p>
            <w:pPr>
              <w:ind w:left="340"/>
              <w:spacing w:after="0"/>
              <w:rPr>
                <w:sz w:val="20"/>
                <w:szCs w:val="20"/>
                <w:color w:val="auto"/>
              </w:rPr>
            </w:pPr>
            <w:r>
              <w:rPr>
                <w:rFonts w:ascii="Arial" w:cs="Arial" w:eastAsia="Arial" w:hAnsi="Arial"/>
                <w:sz w:val="16"/>
                <w:szCs w:val="16"/>
                <w:color w:val="auto"/>
              </w:rPr>
              <w:t>Mark-to-market loss on contingent consideration</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78,285</w:t>
            </w:r>
          </w:p>
        </w:tc>
      </w:tr>
      <w:tr>
        <w:trPr>
          <w:trHeight w:val="21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Gain from sale of assets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(17,899)</w:t>
            </w:r>
          </w:p>
        </w:tc>
      </w:tr>
      <w:tr>
        <w:trPr>
          <w:trHeight w:val="214"/>
        </w:trPr>
        <w:tc>
          <w:tcPr>
            <w:tcW w:w="6680" w:type="dxa"/>
            <w:vAlign w:val="bottom"/>
            <w:gridSpan w:val="2"/>
          </w:tcPr>
          <w:p>
            <w:pPr>
              <w:ind w:left="340"/>
              <w:spacing w:after="0"/>
              <w:rPr>
                <w:sz w:val="20"/>
                <w:szCs w:val="20"/>
                <w:color w:val="auto"/>
              </w:rPr>
            </w:pPr>
            <w:r>
              <w:rPr>
                <w:rFonts w:ascii="Arial" w:cs="Arial" w:eastAsia="Arial" w:hAnsi="Arial"/>
                <w:sz w:val="16"/>
                <w:szCs w:val="16"/>
                <w:color w:val="auto"/>
              </w:rPr>
              <w:t>Other operating activities,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(18,349)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(74,728)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(34,193)</w:t>
            </w:r>
          </w:p>
        </w:tc>
      </w:tr>
      <w:tr>
        <w:trPr>
          <w:trHeight w:val="21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decrease (increase) in non-cash working capital</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74,883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(99,361)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(65,728)</w:t>
            </w:r>
          </w:p>
        </w:tc>
      </w:tr>
      <w:tr>
        <w:trPr>
          <w:trHeight w:val="207"/>
        </w:trPr>
        <w:tc>
          <w:tcPr>
            <w:tcW w:w="668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color w:val="auto"/>
              </w:rPr>
              <w:t>Net cash provided by continuing operations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1,728,990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1,748,755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2,180,244</w:t>
            </w:r>
          </w:p>
        </w:tc>
      </w:tr>
      <w:tr>
        <w:trPr>
          <w:trHeight w:val="19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Property additions and dry hole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(908,164)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(1,066,015)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(985,461)</w:t>
            </w:r>
          </w:p>
        </w:tc>
      </w:tr>
      <w:tr>
        <w:trPr>
          <w:trHeight w:val="21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 of oil and natural gas properties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(128,538)</w:t>
            </w: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Proceeds from sales of property, plant and equipment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102,913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4,528</w:t>
            </w:r>
          </w:p>
        </w:tc>
      </w:tr>
      <w:tr>
        <w:trPr>
          <w:trHeight w:val="207"/>
        </w:trPr>
        <w:tc>
          <w:tcPr>
            <w:tcW w:w="6680" w:type="dxa"/>
            <w:vAlign w:val="bottom"/>
            <w:tcBorders>
              <w:top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Net cash required by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(908,164)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(998,680)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(1,109,471)</w:t>
            </w:r>
          </w:p>
        </w:tc>
      </w:tr>
      <w:tr>
        <w:trPr>
          <w:trHeight w:val="194"/>
        </w:trPr>
        <w:tc>
          <w:tcPr>
            <w:tcW w:w="668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Retirement of debt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(647,707)</w:t>
            </w: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Early redemption of debt cost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(15,700)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(8,295)</w:t>
            </w:r>
          </w:p>
        </w:tc>
      </w:tr>
      <w:tr>
        <w:trPr>
          <w:trHeight w:val="21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issuance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Debt issuance cost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(10,145)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Borrowings on revolving credit facility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Repayment of revolving credit facility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(350,000)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21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Issue costs of revolving credit facility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(14,353)</w:t>
            </w: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(301,350)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(128,219)</w:t>
            </w: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(118,580)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(183,038)</w:t>
            </w:r>
          </w:p>
        </w:tc>
      </w:tr>
      <w:tr>
        <w:trPr>
          <w:trHeight w:val="21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Withholding tax on stock-based incentive awards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(17,631)</w:t>
            </w:r>
          </w:p>
        </w:tc>
      </w:tr>
      <w:tr>
        <w:trPr>
          <w:trHeight w:val="21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Finance lease obligation payments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(636)</w:t>
            </w:r>
          </w:p>
        </w:tc>
      </w:tr>
      <w:tr>
        <w:trPr>
          <w:trHeight w:val="214"/>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Contingent consideration payment</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(60,243)</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(81,742)</w:t>
            </w:r>
          </w:p>
        </w:tc>
      </w:tr>
      <w:tr>
        <w:trPr>
          <w:trHeight w:val="207"/>
        </w:trPr>
        <w:tc>
          <w:tcPr>
            <w:tcW w:w="668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color w:val="auto"/>
              </w:rPr>
              <w:t>Net cash required by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(716,541)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(923,718)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(1,081,621)</w:t>
            </w:r>
          </w:p>
        </w:tc>
      </w:tr>
      <w:tr>
        <w:trPr>
          <w:trHeight w:val="207"/>
        </w:trPr>
        <w:tc>
          <w:tcPr>
            <w:tcW w:w="66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Net cash required by discontinued operations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r>
      <w:tr>
        <w:trPr>
          <w:trHeight w:val="214"/>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w:t>
            </w:r>
          </w:p>
        </w:tc>
      </w:tr>
      <w:tr>
        <w:trPr>
          <w:trHeight w:val="207"/>
        </w:trPr>
        <w:tc>
          <w:tcPr>
            <w:tcW w:w="66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106,495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(29,221)</w:t>
            </w:r>
          </w:p>
        </w:tc>
      </w:tr>
      <w:tr>
        <w:trPr>
          <w:trHeight w:val="214"/>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317,074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491,963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521,184</w:t>
            </w:r>
          </w:p>
        </w:tc>
      </w:tr>
      <w:tr>
        <w:trPr>
          <w:trHeight w:val="232"/>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423,569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317,074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491,963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500"/>
        <w:spacing w:after="0" w:line="323" w:lineRule="auto"/>
        <w:rPr>
          <w:sz w:val="20"/>
          <w:szCs w:val="20"/>
          <w:color w:val="auto"/>
        </w:rPr>
      </w:pPr>
      <w:r>
        <w:rPr>
          <w:rFonts w:ascii="Arial" w:cs="Arial" w:eastAsia="Arial" w:hAnsi="Arial"/>
          <w:sz w:val="17"/>
          <w:szCs w:val="17"/>
          <w:b w:val="1"/>
          <w:bCs w:val="1"/>
          <w:color w:val="auto"/>
        </w:rPr>
        <w:t>MURPHY OIL CORPORATION AND CONSOLIDATED SUBSIDIARIES CONSOLIDATED STATEMENTS OF STOCKHOLDERS’ EQUITY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Years Ended December 31 (Thousands of dollars except number of shares)</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2022</w:t>
            </w:r>
          </w:p>
        </w:tc>
      </w:tr>
      <w:tr>
        <w:trPr>
          <w:trHeight w:val="23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00"/>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Balance at beginning and end of year - par $1.00, authorized 450,000,000 shares at</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7"/>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December 31, 2024, 2023 and 2022, issued 195,100,628 shares at December 31, 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1"/>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2023 and 2022</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195,101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195,101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195,101</w:t>
            </w:r>
          </w:p>
        </w:tc>
      </w:tr>
      <w:tr>
        <w:trPr>
          <w:trHeight w:val="19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Capital in Excess of Par Value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Balance at beginning of year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880,297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893,578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926,698</w:t>
            </w:r>
          </w:p>
        </w:tc>
      </w:tr>
      <w:tr>
        <w:trPr>
          <w:trHeight w:val="214"/>
        </w:trPr>
        <w:tc>
          <w:tcPr>
            <w:tcW w:w="702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Restricted stock transactions and other </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(58,362)</w:t>
            </w:r>
          </w:p>
        </w:tc>
      </w:tr>
      <w:tr>
        <w:trPr>
          <w:trHeight w:val="214"/>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39,192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25,242</w:t>
            </w:r>
          </w:p>
        </w:tc>
      </w:tr>
      <w:tr>
        <w:trPr>
          <w:trHeight w:val="207"/>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Balance at end of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848,950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880,297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893,578</w:t>
            </w:r>
          </w:p>
        </w:tc>
      </w:tr>
      <w:tr>
        <w:trPr>
          <w:trHeight w:val="194"/>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Retained Earnings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6,546,079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6,055,498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5,218,670</w:t>
            </w:r>
          </w:p>
        </w:tc>
      </w:tr>
      <w:tr>
        <w:trPr>
          <w:trHeight w:val="214"/>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Murphy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407,171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661,559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965,047</w:t>
            </w:r>
          </w:p>
        </w:tc>
      </w:tr>
      <w:tr>
        <w:trPr>
          <w:trHeight w:val="21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(179,961)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(128,219)</w:t>
            </w:r>
          </w:p>
        </w:tc>
      </w:tr>
      <w:tr>
        <w:trPr>
          <w:trHeight w:val="207"/>
        </w:trPr>
        <w:tc>
          <w:tcPr>
            <w:tcW w:w="7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Balance at end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6,773,289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6,546,079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6,055,498</w:t>
            </w:r>
          </w:p>
        </w:tc>
      </w:tr>
      <w:tr>
        <w:trPr>
          <w:trHeight w:val="19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4"/>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Balance at beginning of year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(521,117)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(534,686)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(527,711)</w:t>
            </w:r>
          </w:p>
        </w:tc>
      </w:tr>
      <w:tr>
        <w:trPr>
          <w:trHeight w:val="21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currency translation (loss) gain, net of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(134,692)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(106,335)</w:t>
            </w:r>
          </w:p>
        </w:tc>
      </w:tr>
      <w:tr>
        <w:trPr>
          <w:trHeight w:val="214"/>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Retirement and postretirement benefit plans, net of income taxes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99,360</w:t>
            </w:r>
          </w:p>
        </w:tc>
      </w:tr>
      <w:tr>
        <w:trPr>
          <w:trHeight w:val="207"/>
        </w:trPr>
        <w:tc>
          <w:tcPr>
            <w:tcW w:w="70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Balance at end of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(628,072)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(534,686)</w:t>
            </w:r>
          </w:p>
        </w:tc>
      </w:tr>
      <w:tr>
        <w:trPr>
          <w:trHeight w:val="194"/>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Treasury Stock</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(1,737,566)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(1,614,717)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(1,655,447)</w:t>
            </w:r>
          </w:p>
        </w:tc>
      </w:tr>
      <w:tr>
        <w:trPr>
          <w:trHeight w:val="214"/>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(302,681)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Awarded restricted stock, net of forfeitures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40,730</w:t>
            </w:r>
          </w:p>
        </w:tc>
      </w:tr>
      <w:tr>
        <w:trPr>
          <w:trHeight w:val="180"/>
        </w:trPr>
        <w:tc>
          <w:tcPr>
            <w:tcW w:w="702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Balance at end of year – 49,255,504 shares of common stock in 2024, 42,351,986 shares of</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1"/>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common stock in 2023 and 39,633,309 shares of common stock in 2022</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(1,995,018)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(1,737,566)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(1,614,717)</w:t>
            </w:r>
          </w:p>
        </w:tc>
      </w:tr>
      <w:tr>
        <w:trPr>
          <w:trHeight w:val="207"/>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Murphy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5,194,250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5,362,794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4,994,774</w:t>
            </w:r>
          </w:p>
        </w:tc>
      </w:tr>
      <w:tr>
        <w:trPr>
          <w:trHeight w:val="194"/>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186,859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163,485</w:t>
            </w:r>
          </w:p>
        </w:tc>
      </w:tr>
      <w:tr>
        <w:trPr>
          <w:trHeight w:val="214"/>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79,314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173,672</w:t>
            </w:r>
          </w:p>
        </w:tc>
      </w:tr>
      <w:tr>
        <w:trPr>
          <w:trHeight w:val="21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 owners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(118,580)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(183,038)</w:t>
            </w:r>
          </w:p>
        </w:tc>
      </w:tr>
      <w:tr>
        <w:trPr>
          <w:trHeight w:val="207"/>
        </w:trPr>
        <w:tc>
          <w:tcPr>
            <w:tcW w:w="7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Balance at end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147,593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154,119</w:t>
            </w:r>
          </w:p>
        </w:tc>
      </w:tr>
      <w:tr>
        <w:trPr>
          <w:trHeight w:val="232"/>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5,341,843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5,549,653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5,148,893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20"/>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Prior-period amounts have been aggregated to conform to the current period presentation.</w:t>
      </w:r>
    </w:p>
    <w:p>
      <w:pPr>
        <w:spacing w:after="0" w:line="7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5540"/>
        <w:spacing w:after="0" w:line="323" w:lineRule="auto"/>
        <w:rPr>
          <w:sz w:val="20"/>
          <w:szCs w:val="20"/>
          <w:color w:val="auto"/>
        </w:rPr>
      </w:pPr>
      <w:r>
        <w:rPr>
          <w:rFonts w:ascii="Arial" w:cs="Arial" w:eastAsia="Arial" w:hAnsi="Arial"/>
          <w:sz w:val="17"/>
          <w:szCs w:val="17"/>
          <w:b w:val="1"/>
          <w:bCs w:val="1"/>
          <w:color w:val="auto"/>
        </w:rPr>
        <w:t>MURPHY OIL CORPORATION AND CONSOLIDATED SUBSIDIARIES NOTES TO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 xml:space="preserve">These notes are an integral part of the consolidated financial statements of Murphy Oil Corporation and Consolidated Subsidiaries (Murphy/the Company) on pages </w:t>
      </w:r>
      <w:r>
        <w:rPr>
          <w:rFonts w:ascii="Arial" w:cs="Arial" w:eastAsia="Arial" w:hAnsi="Arial"/>
          <w:sz w:val="18"/>
          <w:szCs w:val="18"/>
          <w:u w:val="single" w:color="auto"/>
          <w:color w:val="0000FF"/>
        </w:rPr>
        <w:t>71</w:t>
      </w:r>
      <w:r>
        <w:rPr>
          <w:rFonts w:ascii="Arial" w:cs="Arial" w:eastAsia="Arial" w:hAnsi="Arial"/>
          <w:sz w:val="18"/>
          <w:szCs w:val="18"/>
          <w:color w:val="auto"/>
        </w:rPr>
        <w:t>-</w:t>
      </w:r>
      <w:r>
        <w:rPr>
          <w:rFonts w:ascii="Arial" w:cs="Arial" w:eastAsia="Arial" w:hAnsi="Arial"/>
          <w:sz w:val="18"/>
          <w:szCs w:val="18"/>
          <w:u w:val="single" w:color="auto"/>
          <w:color w:val="0000FF"/>
        </w:rPr>
        <w:t>105</w:t>
      </w:r>
      <w:r>
        <w:rPr>
          <w:rFonts w:ascii="Arial" w:cs="Arial" w:eastAsia="Arial" w:hAnsi="Arial"/>
          <w:sz w:val="18"/>
          <w:szCs w:val="18"/>
          <w:color w:val="auto"/>
        </w:rPr>
        <w:t xml:space="preserve"> of the Form 10-K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1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NATURE OF BUSINESS – Murphy Oil Corporation is an international oil and natural gas company that conducts its business through various operating subsidiaries. The Company primarily produces oil and natural gas in the U.S. and Canada and conducts oil and natural gas exploration activities worldwide.</w:t>
      </w:r>
    </w:p>
    <w:p>
      <w:pPr>
        <w:spacing w:after="0" w:line="7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BASIS OF PRESENTATION AND PRINCIPLES OF CONSOLIDATION – The consolidated financial statements include the accounts of Murphy Oil Corporation and all majority-owned subsidiaries and are presented in conformity with GAAP. Undivided interests in oil and natural gas joint ventures are consolidated on a proportionate basis. Investments in affiliates in which the Company owns from 20% to 50% are accounted for by the equity method. Murphy reports 100% of the sales volume, revenues, costs, assets and liabilities including the 20% noncontrolling interest in MP GOM in accordance with accounting for noncontrolling interest as prescribed by Financial Accounting Standards Board (FASB) Accounting Standards Codification (ASC) 810-10-45, “Consolidations”. Other investments are generally carried at cost. Intercompany accounts and transactions are eliminated.</w:t>
      </w:r>
    </w:p>
    <w:p>
      <w:pPr>
        <w:spacing w:after="0" w:line="8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USE OF ESTIMATES – Preparing the financial statements of the Company in accordance with GAAP requires management to make a number of estimates and assumptions that affect the reporting of amounts of assets, liabilities, revenues and expenses and the disclosure of contingent assets and liabilities. Actual results may differ from the estimates.</w:t>
      </w:r>
    </w:p>
    <w:p>
      <w:pPr>
        <w:spacing w:after="0" w:line="7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 RECOGNITION – Revenues from sales of crude oil, natural gas and NGLs are recorded when deliveries have occurred and legal ownership of the commodity transfers to the customer; the amount of revenue recognized reflects the consideration expected in exchange for those commodities. The Company measures revenue based on consideration specified in a contract and excludes taxes and other amounts collected on behalf of third parties. Revenues from the production of oil and natural gas properties, in which Murphy shares in the undivided interest with other producers, are recognized based on the actual volumes sold by the Company during the period. Natural gas imbalances occur when the Company’s actual natural gas sales volumes differ from its proportional share of production from the well. The Company follows the sales method of accounting for these natural gas imbalances. The Company records a liability for natural gas imbalances when it has sold more than its working interest of natural gas production and the estimated remaining reserves make it doubtful that partners can recoup their share of production from the field. At December 31, 2024 and 2023, the liabilities for natural gas balancing were immaterial. Gains and losses on asset disposals or retirements are included in net income/(loss) as a component of revenues.</w:t>
      </w:r>
    </w:p>
    <w:p>
      <w:pPr>
        <w:spacing w:after="0" w:line="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CASH EQUIVALENTS – Short-term investments, which include government securities and other instruments with government securities as collateral, that are highly liquid and have a maturity of three months or less from the date of purchase are classified as cash equivalents.</w:t>
      </w:r>
    </w:p>
    <w:p>
      <w:pPr>
        <w:spacing w:after="0" w:line="3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MARKETABLE SECURITIES – The Company classifies investments in marketable securities as available-for-sale or held-to-maturity. The Company does not have any investments classified as trading securities. Available-for-sale securities are carried at fair value with the unrealized gain or loss, net of tax, reported in other comprehensive loss. Held-to-maturity securities are recorded at amortized cost. Premiums and discounts are amortized or accreted into earnings over the life of the related available-for-sale or held-to-maturity security. Dividend and interest income is recognized when earned. Unrealized losses considered to be other than temporary are recognized in earnings. The cost of securities sold is based on the specific identification method. The fair value of investment securities is determined by available market prices.</w:t>
      </w:r>
    </w:p>
    <w:p>
      <w:pPr>
        <w:spacing w:after="0" w:line="6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ACCOUNTS RECEIVABLE – At December 31, 2024 and 2023, the Company’s accounts receivable primarily consisted of amounts owed to the Company by customers for sales of crude oil and natural gas and operating costs related to joint venture partners working interest share. Trade accounts receivable are recorded at the invoiced amount and do not bear interest. The allowance for doubtful accounts is the Company’s best estimate of the amount of probable credit losses on these receivables. The Company reviews this allowance for adequacy at least quarterly and bases its assessment on a combination of current information about its customers, joint venture partners and historical write-off experience. Any trade accounts receivable balances written off are charged against the allowance for doubtful accounts. The Company has not experienced any significant credit-related losses in the past three years.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 (Continued)</w:t>
      </w:r>
    </w:p>
    <w:p>
      <w:pPr>
        <w:spacing w:after="0" w:line="396"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 xml:space="preserve">INVENTORIES – Amounts included in the Consolidated Balance Sheets include unsold crude oil production and materials and supplies associated with oil and natural gas production operations. Unsold crude oil production is carried in inventory at the lower of cost (applied on a first-in, first-out basis and including costs incurred to bring the inventory to its existing condition), or market. Materials and supplies inventories are valued at the lower of average cost or estimated market value and generally consist of tubulars and other drilling equipment. See </w:t>
      </w:r>
      <w:r>
        <w:rPr>
          <w:rFonts w:ascii="Arial" w:cs="Arial" w:eastAsia="Arial" w:hAnsi="Arial"/>
          <w:sz w:val="17"/>
          <w:szCs w:val="17"/>
          <w:u w:val="single" w:color="auto"/>
          <w:color w:val="0000FF"/>
        </w:rPr>
        <w:t>Note E</w:t>
      </w:r>
      <w:r>
        <w:rPr>
          <w:rFonts w:ascii="Arial" w:cs="Arial" w:eastAsia="Arial" w:hAnsi="Arial"/>
          <w:sz w:val="17"/>
          <w:szCs w:val="17"/>
          <w:color w:val="auto"/>
        </w:rPr>
        <w:t>.</w:t>
      </w:r>
    </w:p>
    <w:p>
      <w:pPr>
        <w:spacing w:after="0" w:line="5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PROPERTY, PLANT AND EQUIPMENT – The Company uses the successful efforts method to account for exploration and development expenditures. Leasehold acquisition costs are capitalized. If proved reserves are found on undeveloped property, the leasehold cost is transferred to proved properties. Costs of undeveloped leases associated with unproved properties are expensed over the life of the leases. Exploratory well costs are capitalized pending determination about whether proved reserves have been found. In certain cases, a determination of whether a drilled exploratory well has found proved reserves cannot be made immediately. This is generally due to the need for a major capital expenditure to produce and/or evacuate the hydrocarbon(s) found. The determination of whether to make such a capital expenditure is usually dependent on whether further exploratory or appraisal wells find a sufficient quantity of additional reserves. The Company continues to capitalize exploratory well costs in “Property, plant and equipment” when the well has found a sufficient quantity of reserves to justify its completion as a producing well and the Company is making sufficient progress assessing the reserves and the economic and operating viability of the project. The Company reevaluates its capitalized drilling costs at least annually to ascertain whether drilling costs continue to qualify for ongoing capitalization. Other exploratory costs, including geological and geophysical costs, are charged to expense as incurred. Development costs, including unsuccessful development wells, are capitalized. Interest is capitalized on significant development projects that are expected to take one year or more to complete.</w:t>
      </w:r>
    </w:p>
    <w:p>
      <w:pPr>
        <w:spacing w:after="0" w:line="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Oil and natural gas properties are evaluated by field for potential impairment. Other properties are evaluated for impairment on a specific asset basis or in groups of similar assets as applicable. An impairment is assessed when there is an indication that the estimated undiscounted future net cash flows of an asset are less than its carrying value. If an impairment occurs, the carrying value of the impaired asset is reduced to its fair value. See </w:t>
      </w:r>
      <w:r>
        <w:rPr>
          <w:rFonts w:ascii="Arial" w:cs="Arial" w:eastAsia="Arial" w:hAnsi="Arial"/>
          <w:sz w:val="18"/>
          <w:szCs w:val="18"/>
          <w:u w:val="single" w:color="auto"/>
          <w:color w:val="0000FF"/>
        </w:rPr>
        <w:t>Note D</w:t>
      </w:r>
      <w:r>
        <w:rPr>
          <w:rFonts w:ascii="Arial" w:cs="Arial" w:eastAsia="Arial" w:hAnsi="Arial"/>
          <w:sz w:val="18"/>
          <w:szCs w:val="18"/>
          <w:color w:val="auto"/>
        </w:rPr>
        <w:t xml:space="preserve"> for further discussion of impairment charges.</w:t>
      </w:r>
    </w:p>
    <w:p>
      <w:pPr>
        <w:spacing w:after="0" w:line="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The Company records a liability for ARO equal to the fair value of the estimated cost to retire an asset. The ARO liability is initially recorded in the period in which the obligation meets the definition of a liability, which is generally when a well is drilled, or the asset is placed in service. The ARO liability is estimated by the Company’s engineers using existing regulatory requirements and anticipated future inflation rates. When the liability is initially recorded, the Company increases the carrying amount of the related long-lived asset by an amount equal to the original liability. The liability is increased over time to reflect the change in its present value and the capitalized cost is depreciated over the useful life of the related long-lived asset. The Company reevaluates the adequacy of its recorded ARO liability at least annually. Actual costs of asset retirements such as dismantling oil and natural gas production facilities, plugging and abandoning wells and restoring sites are charged against the related liability. Any difference between costs incurred upon settlement of an ARO and the recorded liability is recognized as a gain or loss in the Company’s earnings. See </w:t>
      </w:r>
      <w:r>
        <w:rPr>
          <w:rFonts w:ascii="Arial" w:cs="Arial" w:eastAsia="Arial" w:hAnsi="Arial"/>
          <w:sz w:val="18"/>
          <w:szCs w:val="18"/>
          <w:u w:val="single" w:color="auto"/>
          <w:color w:val="0000FF"/>
        </w:rPr>
        <w:t>Note G</w:t>
      </w:r>
      <w:r>
        <w:rPr>
          <w:rFonts w:ascii="Arial" w:cs="Arial" w:eastAsia="Arial" w:hAnsi="Arial"/>
          <w:sz w:val="18"/>
          <w:szCs w:val="18"/>
          <w:color w:val="auto"/>
        </w:rPr>
        <w:t xml:space="preserve"> for further discussion.</w:t>
      </w:r>
    </w:p>
    <w:p>
      <w:pPr>
        <w:spacing w:after="0" w:line="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Depreciation and depletion of producing oil and natural gas properties are recorded based on units of production. Unit rates are computed for unamortized development drilling and completion costs using proved developed reserves and acquisition costs are amortized over proved reserves. Proved reserves are estimated by the Company’s engineers and are subject to future revisions based on the availability of additional information.</w:t>
      </w:r>
    </w:p>
    <w:p>
      <w:pPr>
        <w:spacing w:after="0" w:line="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CAPITALIZED INTEREST – Interest associated with borrowings from third parties is capitalized on significant oil and natural gas development projects when the expected development period extends for one year or more. Interest capitalized is credited in the Consolidated Statements of Operations and is added to the cost of the underlying asset for the development project in “Property, plant and equipment” in the Consolidated Balance Sheets. Capitalized interest is amortized over the useful life of the asset in the same manner as other development costs.</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LEASES – At inception, contracts are assessed for the presence of a lease according to criteria laid out by ASC 842, “Leases”. If a lease is present, further criteria is assessed to determine if the lease should be classified as an operating or finance lease. Operating leases are presented on the Consolidated Balance Sheets as “Operating lease assets” with the corresponding lease liabilities presented in “Operating lease liabilities” and “Non-current operating lease liabilities”. Finance lease assets are presented on the Consolidated Balance Sheets within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 (Continued)</w:t>
      </w:r>
    </w:p>
    <w:p>
      <w:pPr>
        <w:spacing w:after="0" w:line="39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“Property, plant and equipment”, with the corresponding liabilities presented in “Current maturities of long-term debt, finance lease” and “Long-term debt, including finance lease obligation”.</w:t>
      </w:r>
    </w:p>
    <w:p>
      <w:pPr>
        <w:spacing w:after="0" w:line="55"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Generally, lease liabilities are recognized at commencement and based on the present value of the future minimum lease payments to be made over the lease term. Lease assets are then recognized based on the value of the lease liabilities. Where implicit lease rates are not determinable, the minimum lease payments are discounted using the Company’s collateralized incremental borrowing rates.</w:t>
      </w:r>
    </w:p>
    <w:p>
      <w:pPr>
        <w:spacing w:after="0" w:line="70"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Operating leases are expensed according to their nature and recognized in “Lease operating expenses”, “Selling and general expenses” or capitalized in the consolidated financial statements. Finance leases are depreciated with the relevant expenses recognized in “Depreciation, depletion and amortization” and “Interest expense, net” on the Consolidated Statement of Operations.</w:t>
      </w:r>
    </w:p>
    <w:p>
      <w:pPr>
        <w:spacing w:after="0" w:line="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ENVIRONMENTAL LIABILITIES – A liability for environmental matters is established when it is probable that an environmental obligation exists, and the cost can be reasonably estimated. If there is a range of reasonably estimated costs, the most likely amount will be recorded. If no amount is most likely, the minimum of the range is used. Related expenditures are charged against the liability. Environmental remediation liabilities have not been discounted for the time value of future expected payments. Environmental expenditures that have future economic benefit are capitalized.</w:t>
      </w:r>
    </w:p>
    <w:p>
      <w:pPr>
        <w:spacing w:after="0" w:line="7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INCOME TAXES – The Company accounts for income taxes using the asset and liability method. Under this method, income taxes are provided for amounts currently payable and for amounts deferred as tax assets and liabilities arising from differences between the financial statement carrying amounts and the tax basis of existing assets and liabilities. Deferred income taxes are measured using the enacted tax rates that are assumed will be in effect when the differences reverse. The Company routinely assesses the realizability of deferred tax assets based on available evidence, including assumptions of future taxable income, tax planning strategies and other pertinent factors. A deferred tax asset valuation allowance is recorded when evidence indicates that it is more likely than not that all or a portion of these deferred tax assets will not be realized in a future period.</w:t>
      </w:r>
    </w:p>
    <w:p>
      <w:pPr>
        <w:spacing w:after="0" w:line="82"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color w:val="auto"/>
        </w:rPr>
        <w:t>The accounting rules for income tax uncertainties permit recognition of income tax benefits only when they are more likely than not to be realized. The Company includes potential penalties and interest for uncertain income tax positions in income tax expense.</w:t>
      </w:r>
    </w:p>
    <w:p>
      <w:pPr>
        <w:spacing w:after="0" w:line="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FOREIGN CURRENCY – Local currency is the functional currency used for recording operations in Canada and former refining and marketing activities in the United Kingdom. The U.S. dollar is the functional currency used to record all other operations. Exchange gains or losses from transactions in a currency other than the functional currency are included in earnings as part of interest and other income (loss). Gains or losses from translating foreign functional currencies into U.S. dollars are included in “Accumulated Other Comprehensive Loss” in Consolidated Statements of Stockholders’ Equity.</w:t>
      </w:r>
    </w:p>
    <w:p>
      <w:pPr>
        <w:spacing w:after="0" w:line="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DERIVATIVE INSTRUMENTS AND HEDGING ACTIVITIES – The fair value of a derivative instrument is recognized as an asset or liability in the Company’s Consolidated Balance Sheets. Upon entering into a derivative contract, the Company may designate the derivative as either a fair value hedge or a cash flow hedge, or it may decide that the contract is not a hedge for accounting purposes, and thenceforth, recognize changes in the fair value of the contract in earnings. Sale and purchase contracts in the normal course of business are not designated as hedges for accounting purposes.</w:t>
      </w:r>
    </w:p>
    <w:p>
      <w:pPr>
        <w:spacing w:after="0" w:line="7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documents the relationship between the derivative instrument designated as a hedge and the hedged items as well as its risk management objectives and strategy. Derivative instruments designated as fair value or cash flow hedges are linked to specific assets and liabilities or to specific firm commitments or forecasted transactions. The Company assesses at inception and on an ongoing basis, whether a derivative instrument accounted for as a hedge is highly effective in offsetting changes in the fair value or cash flows of the hedged item. A derivative that is not a highly effective hedge does not qualify for hedge accounting. The change in the fair value of a qualifying fair value hedge is recorded in earnings along with the gain or loss on the hedged item. The effective portion of the change in the fair value of a qualifying cash flow hedge is recorded in “Accumulated other comprehensive loss” in the Consolidated Balance Sheets until the hedged item is recognized currently in earnings. If a derivative instrument no longer qualifies as a cash flow hedge and the underlying forecasted transaction is no longer probable of occurring, hedge accounting is discontinued, and the gain or loss recorded in “Accumulated other comprehensive loss” is recognized immediately in earnings. All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 (Continued)</w:t>
      </w:r>
    </w:p>
    <w:p>
      <w:pPr>
        <w:spacing w:after="0" w:line="39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commodity price derivatives for the periods provided are not designated as cash flow or fair value hedges and therefore changes in fair value are recognized in earnings.</w:t>
      </w:r>
    </w:p>
    <w:p>
      <w:pPr>
        <w:spacing w:after="0" w:line="5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FAIR VALUE MEASUREMENTS – The Company carries certain assets and liabilities at fair value in its Consolidated Balance Sheets. Fair value is determined using various techniques depending on the availability of observable inputs. Level 1 inputs include quoted prices in active markets for identical assets or liabilities. Level 2 inputs include observable inputs other than quoted prices included within Level 1. Level 3 inputs are unobservable inputs which reflect assumptions about pricing by market participants. See </w:t>
      </w:r>
      <w:r>
        <w:rPr>
          <w:rFonts w:ascii="Arial" w:cs="Arial" w:eastAsia="Arial" w:hAnsi="Arial"/>
          <w:sz w:val="18"/>
          <w:szCs w:val="18"/>
          <w:u w:val="single" w:color="auto"/>
          <w:color w:val="0000FF"/>
        </w:rPr>
        <w:t>Note O</w:t>
      </w:r>
      <w:r>
        <w:rPr>
          <w:rFonts w:ascii="Arial" w:cs="Arial" w:eastAsia="Arial" w:hAnsi="Arial"/>
          <w:sz w:val="18"/>
          <w:szCs w:val="18"/>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11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Equity-Settled Awards – The fair value of awarded stock options, restricted stock units and other stock-based compensation that are settled with Company shares is determined based on a combination of management assumptions and the market value of the Company’s common stock. The Company uses a Monte Carlo valuation model to determine the fair value of performance-based restricted stock units (PSUs) with market based conditions, and expense is recognized over the three-year vesting period. The fair value of PSUs with performance-based conditions and time-based restricted stock units (RSUs) is determined based on the price of Company stock on the date of grant and expense is recognized over the vesting period.</w:t>
      </w:r>
    </w:p>
    <w:p>
      <w:pPr>
        <w:spacing w:after="0" w:line="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uses the Black-Scholes option pricing model for computing the fair value of equity-settled stock options. The primary assumptions made by management include the expected life of the stock option award and the expected volatility of Murphy’s common stock price. The Company uses both historical data and current information to support its assumptions. Stock option expense is recognized on a straight-line basis over the respective vesting period of two or three years. The Company estimates the number of stock options and PSUs that will not vest and adjusts its compensation expense accordingly. Differences between estimated and actual vested amounts are accounted for as an adjustment to expense, when known.</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Cash-Settled Awards – The Company accounts for stock appreciation rights (SARs) and cash-settled restricted time-based stock units (CRSUs) as liability awards. Expense associated with these awards is recognized over the vesting period based on the latest available estimate of the fair value of the awards, which is generally determined using a Black-Scholes method for SARs and the period-end price of the Company’s common stock for time-based CRSUs. When SARs are exercised and when CRSUs settle, the Company adjusts previously recorded expense to the final amounts paid out in cash for these awards. See </w:t>
      </w:r>
      <w:r>
        <w:rPr>
          <w:rFonts w:ascii="Arial" w:cs="Arial" w:eastAsia="Arial" w:hAnsi="Arial"/>
          <w:sz w:val="18"/>
          <w:szCs w:val="18"/>
          <w:u w:val="single" w:color="auto"/>
          <w:color w:val="0000FF"/>
        </w:rPr>
        <w:t>Note I</w:t>
      </w:r>
      <w:r>
        <w:rPr>
          <w:rFonts w:ascii="Arial" w:cs="Arial" w:eastAsia="Arial" w:hAnsi="Arial"/>
          <w:sz w:val="18"/>
          <w:szCs w:val="18"/>
          <w:color w:val="auto"/>
        </w:rPr>
        <w:t>.</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PENSION AND OTHER POSTRETIREMENT BENEFIT PLANS – The Company recognizes the funded status (the difference between the fair value of plan assets and the projected benefit obligation) of its defined benefit and other postretirement benefit plans in the Consolidated Balance Sheets. Changes in the funded status which have not yet been recognized in the Consolidated Statement of Operations are recorded net of tax in “Accumulated other comprehensive loss”. The remaining amounts in “Accumulated other comprehensive loss” include net actuarial losses and prior service (cost) credit. See </w:t>
      </w:r>
      <w:r>
        <w:rPr>
          <w:rFonts w:ascii="Arial" w:cs="Arial" w:eastAsia="Arial" w:hAnsi="Arial"/>
          <w:sz w:val="18"/>
          <w:szCs w:val="18"/>
          <w:u w:val="single" w:color="auto"/>
          <w:color w:val="0000FF"/>
        </w:rPr>
        <w:t>Note J</w:t>
      </w:r>
      <w:r>
        <w:rPr>
          <w:rFonts w:ascii="Arial" w:cs="Arial" w:eastAsia="Arial" w:hAnsi="Arial"/>
          <w:sz w:val="18"/>
          <w:szCs w:val="18"/>
          <w:color w:val="auto"/>
        </w:rPr>
        <w:t>.</w:t>
      </w:r>
    </w:p>
    <w:p>
      <w:pPr>
        <w:spacing w:after="0" w:line="7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NET INCOME (LOSS) PER COMMON SHARE – Basic net income (loss) per common share is computed by dividing net income (loss) for each reporting period by the weighted average number of common shares outstanding during the period. Diluted income (loss) per common share is computed by dividing net income (loss) for each reporting period by the weighted average number of common shares outstanding during the period plus the effects of all potentially dilutive common shares. Dilutive securities are not included in the computation of diluted income (loss) per share when a net loss occurs, as the inclusion would have the effect of reducing the diluted loss per share. See </w:t>
      </w:r>
      <w:r>
        <w:rPr>
          <w:rFonts w:ascii="Arial" w:cs="Arial" w:eastAsia="Arial" w:hAnsi="Arial"/>
          <w:sz w:val="17"/>
          <w:szCs w:val="17"/>
          <w:u w:val="single" w:color="auto"/>
          <w:color w:val="0000FF"/>
        </w:rPr>
        <w:t>Note L</w:t>
      </w:r>
      <w:r>
        <w:rPr>
          <w:rFonts w:ascii="Arial" w:cs="Arial" w:eastAsia="Arial" w:hAnsi="Arial"/>
          <w:sz w:val="17"/>
          <w:szCs w:val="17"/>
          <w:color w:val="auto"/>
        </w:rPr>
        <w:t>.</w:t>
      </w:r>
    </w:p>
    <w:p>
      <w:pPr>
        <w:spacing w:after="0" w:line="129" w:lineRule="exact"/>
        <w:rPr>
          <w:sz w:val="20"/>
          <w:szCs w:val="20"/>
          <w:color w:val="auto"/>
        </w:rPr>
      </w:pPr>
    </w:p>
    <w:p>
      <w:pPr>
        <w:ind w:right="4620"/>
        <w:spacing w:after="0" w:line="388" w:lineRule="auto"/>
        <w:rPr>
          <w:sz w:val="20"/>
          <w:szCs w:val="20"/>
          <w:color w:val="auto"/>
        </w:rPr>
      </w:pPr>
      <w:r>
        <w:rPr>
          <w:rFonts w:ascii="Arial" w:cs="Arial" w:eastAsia="Arial" w:hAnsi="Arial"/>
          <w:sz w:val="18"/>
          <w:szCs w:val="18"/>
          <w:b w:val="1"/>
          <w:bCs w:val="1"/>
          <w:color w:val="auto"/>
        </w:rPr>
        <w:t xml:space="preserve">Note B – New Accounting Principles and Recent Accounting Pronouncements </w:t>
      </w:r>
      <w:r>
        <w:rPr>
          <w:rFonts w:ascii="Arial" w:cs="Arial" w:eastAsia="Arial" w:hAnsi="Arial"/>
          <w:sz w:val="18"/>
          <w:szCs w:val="18"/>
          <w:u w:val="single" w:color="auto"/>
          <w:color w:val="auto"/>
        </w:rPr>
        <w:t>Accounting Principles Adopted</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Reportable Segment Disclosures. </w:t>
      </w:r>
      <w:r>
        <w:rPr>
          <w:rFonts w:ascii="Arial" w:cs="Arial" w:eastAsia="Arial" w:hAnsi="Arial"/>
          <w:sz w:val="18"/>
          <w:szCs w:val="18"/>
          <w:color w:val="auto"/>
        </w:rPr>
        <w:t>In November 2023, the FASB issued Accounting Standards Update (ASU)</w:t>
      </w:r>
      <w:r>
        <w:rPr>
          <w:rFonts w:ascii="Arial" w:cs="Arial" w:eastAsia="Arial" w:hAnsi="Arial"/>
          <w:sz w:val="18"/>
          <w:szCs w:val="18"/>
          <w:i w:val="1"/>
          <w:iCs w:val="1"/>
          <w:color w:val="auto"/>
        </w:rPr>
        <w:t xml:space="preserve"> 2023-07 Segment Reporting (Topic 280): Improvements to Reportable Segment Disclosures</w:t>
      </w:r>
      <w:r>
        <w:rPr>
          <w:rFonts w:ascii="Arial" w:cs="Arial" w:eastAsia="Arial" w:hAnsi="Arial"/>
          <w:sz w:val="18"/>
          <w:szCs w:val="18"/>
          <w:color w:val="auto"/>
        </w:rPr>
        <w:t>. The standard requires additional disclosures about operating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segment expense information provided to the chief operating decision maker, and extends certain disclosure requirements to interim periods. The Company adopted this standard in the fourth quarter of 2024. The adoption did not impact the determination of significant segments and had no material impact on the Company’s consolidated financial statements. These new disclosure requirements are applied retrospectively to all prior periods included in the financial statements. Refer to </w:t>
      </w:r>
      <w:r>
        <w:rPr>
          <w:rFonts w:ascii="Arial" w:cs="Arial" w:eastAsia="Arial" w:hAnsi="Arial"/>
          <w:sz w:val="18"/>
          <w:szCs w:val="18"/>
          <w:u w:val="single" w:color="auto"/>
          <w:color w:val="0000FF"/>
        </w:rPr>
        <w:t>Note S</w:t>
      </w:r>
      <w:r>
        <w:rPr>
          <w:rFonts w:ascii="Arial" w:cs="Arial" w:eastAsia="Arial" w:hAnsi="Arial"/>
          <w:sz w:val="18"/>
          <w:szCs w:val="18"/>
          <w:color w:val="auto"/>
        </w:rPr>
        <w: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New Accounting Principles and Recent Accounting Pronouncements (Continued)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1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i w:val="1"/>
          <w:iCs w:val="1"/>
          <w:color w:val="auto"/>
        </w:rPr>
        <w:t xml:space="preserve">Expense Disaggregation Disclosures. </w:t>
      </w:r>
      <w:r>
        <w:rPr>
          <w:rFonts w:ascii="Arial" w:cs="Arial" w:eastAsia="Arial" w:hAnsi="Arial"/>
          <w:sz w:val="18"/>
          <w:szCs w:val="18"/>
          <w:color w:val="auto"/>
        </w:rPr>
        <w:t>In November 2024, the FASB issued</w:t>
      </w:r>
      <w:r>
        <w:rPr>
          <w:rFonts w:ascii="Arial" w:cs="Arial" w:eastAsia="Arial" w:hAnsi="Arial"/>
          <w:sz w:val="18"/>
          <w:szCs w:val="18"/>
          <w:i w:val="1"/>
          <w:iCs w:val="1"/>
          <w:color w:val="auto"/>
        </w:rPr>
        <w:t xml:space="preserve"> ASU 2024-03 Income Statement—Reporting Comprehensive Income—Expense Disaggregation Disclosures (Subtopic 220-40): Disaggregation of Income Statement Expenses. </w:t>
      </w:r>
      <w:r>
        <w:rPr>
          <w:rFonts w:ascii="Arial" w:cs="Arial" w:eastAsia="Arial" w:hAnsi="Arial"/>
          <w:sz w:val="18"/>
          <w:szCs w:val="18"/>
          <w:color w:val="auto"/>
        </w:rPr>
        <w:t>The standard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reporting periods beginning after December 15, 2026, and interim 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We expect this ASU to only impact our disclosures with no impacts to our results of operations, cash flows and financial condition.</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Income Tax Disclosures. </w:t>
      </w:r>
      <w:r>
        <w:rPr>
          <w:rFonts w:ascii="Arial" w:cs="Arial" w:eastAsia="Arial" w:hAnsi="Arial"/>
          <w:sz w:val="18"/>
          <w:szCs w:val="18"/>
          <w:color w:val="auto"/>
        </w:rPr>
        <w:t>In December 2023, the FASB issued</w:t>
      </w:r>
      <w:r>
        <w:rPr>
          <w:rFonts w:ascii="Arial" w:cs="Arial" w:eastAsia="Arial" w:hAnsi="Arial"/>
          <w:sz w:val="18"/>
          <w:szCs w:val="18"/>
          <w:i w:val="1"/>
          <w:iCs w:val="1"/>
          <w:color w:val="auto"/>
        </w:rPr>
        <w:t xml:space="preserve"> ASU 2023-09 Income Taxes (Topic 740): Improvements to Income Tax Disclosures. </w:t>
      </w:r>
      <w:r>
        <w:rPr>
          <w:rFonts w:ascii="Arial" w:cs="Arial" w:eastAsia="Arial" w:hAnsi="Arial"/>
          <w:sz w:val="18"/>
          <w:szCs w:val="18"/>
          <w:color w:val="auto"/>
        </w:rPr>
        <w:t>The standard becomes effective for annual periods beginning after December 15, 2024. The update requires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include consistent categories and greater disaggregation of information in the rate reconciliation, as well as income taxes paid disaggregated by jurisdiction. We expect this ASU to only impact our disclosures with no impacts to our results of operations, cash flows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 from Contracts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Goods and Services</w:t>
      </w:r>
    </w:p>
    <w:p>
      <w:pPr>
        <w:spacing w:after="0" w:line="1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explores for and produces crude oil, natural gas and NGLs (collectively referred to as oil and natural gas) in select basins around the world. The Company’s revenue from sales of oil and natural gas production activities is primarily subdivided into two key geographic segments: the U.S. and Canada. Additionally, revenue from sales to customers is generated from three primary revenue streams: crude oil, natural gas and NGLs.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operated oil and natural gas production where a non-operated working interest owner does not take in kind its proportionate interest in the produced commodity, the Company acts as an agent for the working interest owner and recognizes revenue only for its own share of the commingled production. The exception to this is the reporting of the noncontrolling interest in MP GOM as prescribed by GAAP.</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U.S. - </w:t>
      </w:r>
      <w:r>
        <w:rPr>
          <w:rFonts w:ascii="Arial" w:cs="Arial" w:eastAsia="Arial" w:hAnsi="Arial"/>
          <w:sz w:val="18"/>
          <w:szCs w:val="18"/>
          <w:color w:val="auto"/>
        </w:rPr>
        <w:t>In the U.S., the Company primarily produces oil and natural gas from fields in the Eagle Ford Shale area of South Texas and in the Gulf</w:t>
      </w:r>
      <w:r>
        <w:rPr>
          <w:rFonts w:ascii="Arial" w:cs="Arial" w:eastAsia="Arial" w:hAnsi="Arial"/>
          <w:sz w:val="18"/>
          <w:szCs w:val="18"/>
          <w:i w:val="1"/>
          <w:iCs w:val="1"/>
          <w:color w:val="auto"/>
        </w:rPr>
        <w:t xml:space="preserve"> </w:t>
      </w:r>
      <w:r>
        <w:rPr>
          <w:rFonts w:ascii="Arial" w:cs="Arial" w:eastAsia="Arial" w:hAnsi="Arial"/>
          <w:sz w:val="18"/>
          <w:szCs w:val="18"/>
          <w:color w:val="auto"/>
        </w:rPr>
        <w:t>of America. Revenue is generally recognized when oil and natural gas is transferred to the customer at the delivery point. Revenue recognized is largely index-based with price adjustments for floating market differentials.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Canada - </w:t>
      </w:r>
      <w:r>
        <w:rPr>
          <w:rFonts w:ascii="Arial" w:cs="Arial" w:eastAsia="Arial" w:hAnsi="Arial"/>
          <w:sz w:val="18"/>
          <w:szCs w:val="18"/>
          <w:color w:val="auto"/>
        </w:rPr>
        <w:t>In Canada, contracts include long-term floating commodity index priced and natural gas physical forward sales fixed-price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The Company reviews performance-based on two key geographical segments and between onshore and offshore sources of revenue within these geographies.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 from Contracts with Customers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other income for each of the three years presented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2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7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31"/>
              <w:spacing w:after="0" w:line="181"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crude oil and condensate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gridSpan w:val="2"/>
          </w:tcPr>
          <w:p>
            <w:pPr>
              <w:ind w:left="440"/>
              <w:spacing w:after="0"/>
              <w:rPr>
                <w:sz w:val="20"/>
                <w:szCs w:val="20"/>
                <w:color w:val="auto"/>
              </w:rPr>
            </w:pPr>
            <w:r>
              <w:rPr>
                <w:rFonts w:ascii="Arial" w:cs="Arial" w:eastAsia="Arial" w:hAnsi="Arial"/>
                <w:sz w:val="18"/>
                <w:szCs w:val="18"/>
                <w:color w:val="auto"/>
              </w:rPr>
              <w:t>United States - Onshore</w:t>
            </w: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586,584</w:t>
            </w:r>
          </w:p>
        </w:tc>
        <w:tc>
          <w:tcPr>
            <w:tcW w:w="12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676,139</w:t>
            </w:r>
          </w:p>
        </w:tc>
        <w:tc>
          <w:tcPr>
            <w:tcW w:w="12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856,219</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1,777,723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2,072,353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2,229,658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gridSpan w:val="2"/>
          </w:tcPr>
          <w:p>
            <w:pPr>
              <w:ind w:left="440"/>
              <w:spacing w:after="0"/>
              <w:rPr>
                <w:sz w:val="20"/>
                <w:szCs w:val="20"/>
                <w:color w:val="auto"/>
              </w:rPr>
            </w:pPr>
            <w:r>
              <w:rPr>
                <w:rFonts w:ascii="Arial" w:cs="Arial" w:eastAsia="Arial" w:hAnsi="Arial"/>
                <w:sz w:val="18"/>
                <w:szCs w:val="18"/>
                <w:color w:val="auto"/>
              </w:rPr>
              <w:t>Canada - Onshore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70,855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131,400</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Canada - Offshore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193,961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117,747</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crude oil and condensate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2,635,660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2,916,252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3,357,848</w:t>
            </w:r>
          </w:p>
        </w:tc>
        <w:tc>
          <w:tcPr>
            <w:tcW w:w="0" w:type="dxa"/>
            <w:vAlign w:val="bottom"/>
          </w:tcPr>
          <w:p>
            <w:pPr>
              <w:spacing w:after="0"/>
              <w:rPr>
                <w:sz w:val="1"/>
                <w:szCs w:val="1"/>
                <w:color w:val="auto"/>
              </w:rPr>
            </w:pPr>
          </w:p>
        </w:tc>
      </w:tr>
      <w:tr>
        <w:trPr>
          <w:trHeight w:val="207"/>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Net natural gas liquids revenue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United States - Onshore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gridSpan w:val="2"/>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38,858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60,424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Canada - Onshore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7,454</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natural gas liquids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142,777</w:t>
            </w:r>
          </w:p>
        </w:tc>
        <w:tc>
          <w:tcPr>
            <w:tcW w:w="0" w:type="dxa"/>
            <w:vAlign w:val="bottom"/>
          </w:tcPr>
          <w:p>
            <w:pPr>
              <w:spacing w:after="0"/>
              <w:rPr>
                <w:sz w:val="1"/>
                <w:szCs w:val="1"/>
                <w:color w:val="auto"/>
              </w:rPr>
            </w:pPr>
          </w:p>
        </w:tc>
      </w:tr>
      <w:tr>
        <w:trPr>
          <w:trHeight w:val="207"/>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natural gas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gridSpan w:val="2"/>
          </w:tcPr>
          <w:p>
            <w:pPr>
              <w:ind w:left="440"/>
              <w:spacing w:after="0"/>
              <w:rPr>
                <w:sz w:val="20"/>
                <w:szCs w:val="20"/>
                <w:color w:val="auto"/>
              </w:rPr>
            </w:pPr>
            <w:r>
              <w:rPr>
                <w:rFonts w:ascii="Arial" w:cs="Arial" w:eastAsia="Arial" w:hAnsi="Arial"/>
                <w:sz w:val="18"/>
                <w:szCs w:val="18"/>
                <w:color w:val="auto"/>
              </w:rPr>
              <w:t>United States - Onshore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17,443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64,037</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440"/>
              <w:spacing w:after="0" w:line="228" w:lineRule="exact"/>
              <w:rPr>
                <w:sz w:val="20"/>
                <w:szCs w:val="20"/>
                <w:color w:val="auto"/>
              </w:rPr>
            </w:pPr>
            <w:r>
              <w:rPr>
                <w:rFonts w:ascii="Arial" w:cs="Arial" w:eastAsia="Arial" w:hAnsi="Arial"/>
                <w:sz w:val="18"/>
                <w:szCs w:val="18"/>
                <w:color w:val="auto"/>
              </w:rPr>
              <w:t xml:space="preserve">United States - Offshore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161,160</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Canada - Onshore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232,259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natural gas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300,031</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370,861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537,826</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Revenue from production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3,014,856</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3,376,639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4,038,451</w:t>
            </w:r>
          </w:p>
        </w:tc>
        <w:tc>
          <w:tcPr>
            <w:tcW w:w="0" w:type="dxa"/>
            <w:vAlign w:val="bottom"/>
          </w:tcPr>
          <w:p>
            <w:pPr>
              <w:spacing w:after="0"/>
              <w:rPr>
                <w:sz w:val="1"/>
                <w:szCs w:val="1"/>
                <w:color w:val="auto"/>
              </w:rPr>
            </w:pPr>
          </w:p>
        </w:tc>
      </w:tr>
      <w:tr>
        <w:trPr>
          <w:trHeight w:val="207"/>
        </w:trPr>
        <w:tc>
          <w:tcPr>
            <w:tcW w:w="672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Sales of purchased natural gas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00" w:type="dxa"/>
            <w:vAlign w:val="bottom"/>
            <w:gridSpan w:val="2"/>
          </w:tcPr>
          <w:p>
            <w:pPr>
              <w:ind w:left="440"/>
              <w:spacing w:after="0"/>
              <w:rPr>
                <w:sz w:val="20"/>
                <w:szCs w:val="20"/>
                <w:color w:val="auto"/>
              </w:rPr>
            </w:pPr>
            <w:r>
              <w:rPr>
                <w:rFonts w:ascii="Arial" w:cs="Arial" w:eastAsia="Arial" w:hAnsi="Arial"/>
                <w:sz w:val="18"/>
                <w:szCs w:val="18"/>
                <w:color w:val="auto"/>
              </w:rPr>
              <w:t>United States - Offshore</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Canada - Onshore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3,742</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181,485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sales of purchased natural gas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181,689</w:t>
            </w:r>
          </w:p>
        </w:tc>
        <w:tc>
          <w:tcPr>
            <w:tcW w:w="0" w:type="dxa"/>
            <w:vAlign w:val="bottom"/>
          </w:tcPr>
          <w:p>
            <w:pPr>
              <w:spacing w:after="0"/>
              <w:rPr>
                <w:sz w:val="1"/>
                <w:szCs w:val="1"/>
                <w:color w:val="auto"/>
              </w:rPr>
            </w:pPr>
          </w:p>
        </w:tc>
      </w:tr>
      <w:tr>
        <w:trPr>
          <w:trHeight w:val="220"/>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 from sales to customers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3,018,598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3,448,854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4,220,140</w:t>
            </w:r>
          </w:p>
        </w:tc>
        <w:tc>
          <w:tcPr>
            <w:tcW w:w="0" w:type="dxa"/>
            <w:vAlign w:val="bottom"/>
          </w:tcPr>
          <w:p>
            <w:pPr>
              <w:spacing w:after="0"/>
              <w:rPr>
                <w:sz w:val="1"/>
                <w:szCs w:val="1"/>
                <w:color w:val="auto"/>
              </w:rPr>
            </w:pPr>
          </w:p>
        </w:tc>
      </w:tr>
      <w:tr>
        <w:trPr>
          <w:trHeight w:val="220"/>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(Loss) on derivative instruments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(320,410)</w:t>
            </w:r>
          </w:p>
        </w:tc>
        <w:tc>
          <w:tcPr>
            <w:tcW w:w="0" w:type="dxa"/>
            <w:vAlign w:val="bottom"/>
          </w:tcPr>
          <w:p>
            <w:pPr>
              <w:spacing w:after="0"/>
              <w:rPr>
                <w:sz w:val="1"/>
                <w:szCs w:val="1"/>
                <w:color w:val="auto"/>
              </w:rPr>
            </w:pPr>
          </w:p>
        </w:tc>
      </w:tr>
      <w:tr>
        <w:trPr>
          <w:trHeight w:val="227"/>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Gain on sale of assets and other 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11,583</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32,932</w:t>
            </w:r>
          </w:p>
        </w:tc>
        <w:tc>
          <w:tcPr>
            <w:tcW w:w="0" w:type="dxa"/>
            <w:vAlign w:val="bottom"/>
          </w:tcPr>
          <w:p>
            <w:pPr>
              <w:spacing w:after="0"/>
              <w:rPr>
                <w:sz w:val="1"/>
                <w:szCs w:val="1"/>
                <w:color w:val="auto"/>
              </w:rPr>
            </w:pPr>
          </w:p>
        </w:tc>
      </w:tr>
      <w:tr>
        <w:trPr>
          <w:trHeight w:val="220"/>
        </w:trPr>
        <w:tc>
          <w:tcPr>
            <w:tcW w:w="67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revenues and other income</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3,028,474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3,460,147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hanging="107"/>
        <w:spacing w:after="0"/>
        <w:tabs>
          <w:tab w:leader="none" w:pos="120"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Includes revenue attributable to noncontrolling interest in MP GOM.</w:t>
      </w:r>
    </w:p>
    <w:p>
      <w:pPr>
        <w:spacing w:after="0" w:line="29" w:lineRule="exact"/>
        <w:rPr>
          <w:sz w:val="20"/>
          <w:szCs w:val="20"/>
          <w:color w:val="auto"/>
        </w:rPr>
      </w:pPr>
    </w:p>
    <w:p>
      <w:pPr>
        <w:ind w:left="160" w:right="40" w:hanging="147"/>
        <w:spacing w:after="0" w:line="225" w:lineRule="auto"/>
        <w:tabs>
          <w:tab w:leader="none" w:pos="10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Purchases of natural gas are reported on a gross basis when Murphy takes control of the product and has risks and rewards of ownership. Sales of natural gas are reported when the contractual performance obligations are satisfied. This occurs at the time the product is delivered to a third party purchaser at the contractually determinable price.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 and Asset Recognition</w:t>
      </w:r>
    </w:p>
    <w:p>
      <w:pPr>
        <w:spacing w:after="0" w:line="11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As of December 31, 2024 and 2023, receivables from contracts with customers, net of royalties and associated payables, on the balance sheet from continuing operations, were $ 178.3 million and $193.7 million, respectively. Payment terms for the Company’s sales vary across contracts and geographical regions, with the majority of the cash receipts required within 30 days of billing. Based on a forward-looking expected loss model in accordance with ASU 2016-13, the Company did not recognize any impairment losses on receivables or contract assets arising from customer contracts during the reporting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entered into any revenue contracts that have financing components as of December 31, 2024, 2023 or 2022.</w:t>
      </w:r>
    </w:p>
    <w:p>
      <w:pPr>
        <w:spacing w:after="0" w:line="11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does not employ sales incentive strategies such as commissions or bonuses for obtaining sales contracts. For the periods presented, the Company did not identify any assets to be recognized associated with the costs to obtain a contract with a customer.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 from Contracts with Customers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14"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spacing w:after="0" w:line="70"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The Company has entered into several long-term, fixed-price contracts in Canada. The underlying reason for entering a fixed price contract is generally unrelated to anticipated future prices or other observable data and serves a particular purpose in the Company’s long-term strategy.</w:t>
      </w:r>
    </w:p>
    <w:p>
      <w:pPr>
        <w:spacing w:after="0" w:line="33"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color w:val="auto"/>
        </w:rPr>
        <w:t>As of December 31, 2024, the Company had the following sales contracts in place which are expected to generate revenue from sales to customers for a period over 12 months starting at the inception of the contract: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Contracts Outstanding at December 31,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8"/>
                <w:szCs w:val="18"/>
                <w:b w:val="1"/>
                <w:bCs w:val="1"/>
                <w:color w:val="auto"/>
              </w:rPr>
              <w:t>Location</w:t>
            </w:r>
          </w:p>
        </w:tc>
        <w:tc>
          <w:tcPr>
            <w:tcW w:w="2300" w:type="dxa"/>
            <w:vAlign w:val="bottom"/>
            <w:tcBorders>
              <w:top w:val="single" w:sz="8" w:color="auto"/>
            </w:tcBorders>
            <w:gridSpan w:val="2"/>
            <w:vMerge w:val="restart"/>
          </w:tcPr>
          <w:p>
            <w:pPr>
              <w:ind w:left="600"/>
              <w:spacing w:after="0"/>
              <w:rPr>
                <w:sz w:val="20"/>
                <w:szCs w:val="20"/>
                <w:color w:val="auto"/>
              </w:rPr>
            </w:pPr>
            <w:r>
              <w:rPr>
                <w:rFonts w:ascii="Arial" w:cs="Arial" w:eastAsia="Arial" w:hAnsi="Arial"/>
                <w:sz w:val="18"/>
                <w:szCs w:val="18"/>
                <w:b w:val="1"/>
                <w:bCs w:val="1"/>
                <w:color w:val="auto"/>
              </w:rPr>
              <w:t>Commodity</w:t>
            </w:r>
          </w:p>
        </w:tc>
        <w:tc>
          <w:tcPr>
            <w:tcW w:w="12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8"/>
                <w:szCs w:val="18"/>
                <w:b w:val="1"/>
                <w:bCs w:val="1"/>
                <w:color w:val="auto"/>
              </w:rPr>
              <w:t>End Date</w:t>
            </w:r>
          </w:p>
        </w:tc>
        <w:tc>
          <w:tcPr>
            <w:tcW w:w="5120" w:type="dxa"/>
            <w:vAlign w:val="bottom"/>
            <w:tcBorders>
              <w:top w:val="single" w:sz="8" w:color="auto"/>
            </w:tcBorders>
            <w:gridSpan w:val="2"/>
            <w:vMerge w:val="restart"/>
          </w:tcPr>
          <w:p>
            <w:pPr>
              <w:ind w:left="2020"/>
              <w:spacing w:after="0"/>
              <w:rPr>
                <w:sz w:val="20"/>
                <w:szCs w:val="20"/>
                <w:color w:val="auto"/>
              </w:rPr>
            </w:pPr>
            <w:r>
              <w:rPr>
                <w:rFonts w:ascii="Arial" w:cs="Arial" w:eastAsia="Arial" w:hAnsi="Arial"/>
                <w:sz w:val="18"/>
                <w:szCs w:val="18"/>
                <w:b w:val="1"/>
                <w:bCs w:val="1"/>
                <w:color w:val="auto"/>
              </w:rPr>
              <w:t>Description</w:t>
            </w:r>
          </w:p>
        </w:tc>
        <w:tc>
          <w:tcPr>
            <w:tcW w:w="146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8"/>
                <w:szCs w:val="18"/>
                <w:b w:val="1"/>
                <w:bCs w:val="1"/>
                <w:color w:val="auto"/>
                <w:w w:val="99"/>
              </w:rPr>
              <w:t>Approximate</w:t>
            </w:r>
          </w:p>
        </w:tc>
        <w:tc>
          <w:tcPr>
            <w:tcW w:w="0" w:type="dxa"/>
            <w:vAlign w:val="bottom"/>
          </w:tcPr>
          <w:p>
            <w:pPr>
              <w:spacing w:after="0"/>
              <w:rPr>
                <w:sz w:val="1"/>
                <w:szCs w:val="1"/>
                <w:color w:val="auto"/>
              </w:rPr>
            </w:pPr>
          </w:p>
        </w:tc>
      </w:tr>
      <w:tr>
        <w:trPr>
          <w:trHeight w:val="240"/>
        </w:trPr>
        <w:tc>
          <w:tcPr>
            <w:tcW w:w="1160" w:type="dxa"/>
            <w:vAlign w:val="bottom"/>
            <w:gridSpan w:val="2"/>
            <w:vMerge w:val="continue"/>
          </w:tcPr>
          <w:p>
            <w:pPr>
              <w:spacing w:after="0"/>
              <w:rPr>
                <w:sz w:val="20"/>
                <w:szCs w:val="20"/>
                <w:color w:val="auto"/>
              </w:rPr>
            </w:pPr>
          </w:p>
        </w:tc>
        <w:tc>
          <w:tcPr>
            <w:tcW w:w="23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5120" w:type="dxa"/>
            <w:vAlign w:val="bottom"/>
            <w:gridSpan w:val="2"/>
            <w:vMerge w:val="continue"/>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8"/>
              </w:rPr>
              <w:t>Volumes</w:t>
            </w:r>
          </w:p>
        </w:tc>
        <w:tc>
          <w:tcPr>
            <w:tcW w:w="0" w:type="dxa"/>
            <w:vAlign w:val="bottom"/>
          </w:tcPr>
          <w:p>
            <w:pPr>
              <w:spacing w:after="0"/>
              <w:rPr>
                <w:sz w:val="1"/>
                <w:szCs w:val="1"/>
                <w:color w:val="auto"/>
              </w:rPr>
            </w:pPr>
          </w:p>
        </w:tc>
      </w:tr>
      <w:tr>
        <w:trPr>
          <w:trHeight w:val="220"/>
        </w:trPr>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Natural Gas and NGLs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Q2 2030</w:t>
            </w:r>
          </w:p>
        </w:tc>
        <w:tc>
          <w:tcPr>
            <w:tcW w:w="100" w:type="dxa"/>
            <w:vAlign w:val="bottom"/>
            <w:tcBorders>
              <w:top w:val="single" w:sz="8" w:color="CCEEFF"/>
            </w:tcBorders>
            <w:shd w:val="clear" w:color="auto" w:fill="CCEEFF"/>
          </w:tcPr>
          <w:p>
            <w:pPr>
              <w:spacing w:after="0"/>
              <w:rPr>
                <w:sz w:val="19"/>
                <w:szCs w:val="19"/>
                <w:color w:val="auto"/>
              </w:rPr>
            </w:pPr>
          </w:p>
        </w:tc>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Deliveries from dedicated acreage in Eagle Ford</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As produced</w:t>
            </w:r>
          </w:p>
        </w:tc>
        <w:tc>
          <w:tcPr>
            <w:tcW w:w="0" w:type="dxa"/>
            <w:vAlign w:val="bottom"/>
          </w:tcPr>
          <w:p>
            <w:pPr>
              <w:spacing w:after="0"/>
              <w:rPr>
                <w:sz w:val="1"/>
                <w:szCs w:val="1"/>
                <w:color w:val="auto"/>
              </w:rPr>
            </w:pPr>
          </w:p>
        </w:tc>
      </w:tr>
      <w:tr>
        <w:trPr>
          <w:trHeight w:val="227"/>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Natural Gas</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Q4 2025</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Contracts to sell natural gas at USD index pricing</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25 MMCFD</w:t>
            </w:r>
          </w:p>
        </w:tc>
        <w:tc>
          <w:tcPr>
            <w:tcW w:w="0" w:type="dxa"/>
            <w:vAlign w:val="bottom"/>
          </w:tcPr>
          <w:p>
            <w:pPr>
              <w:spacing w:after="0"/>
              <w:rPr>
                <w:sz w:val="1"/>
                <w:szCs w:val="1"/>
                <w:color w:val="auto"/>
              </w:rPr>
            </w:pPr>
          </w:p>
        </w:tc>
      </w:tr>
      <w:tr>
        <w:trPr>
          <w:trHeight w:val="227"/>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Q4 2026</w:t>
            </w: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 to sell natural gas at USD index pricing</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49 MMCFD</w:t>
            </w:r>
          </w:p>
        </w:tc>
        <w:tc>
          <w:tcPr>
            <w:tcW w:w="0" w:type="dxa"/>
            <w:vAlign w:val="bottom"/>
          </w:tcPr>
          <w:p>
            <w:pPr>
              <w:spacing w:after="0"/>
              <w:rPr>
                <w:sz w:val="1"/>
                <w:szCs w:val="1"/>
                <w:color w:val="auto"/>
              </w:rPr>
            </w:pPr>
          </w:p>
        </w:tc>
      </w:tr>
      <w:tr>
        <w:trPr>
          <w:trHeight w:val="227"/>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Natural Gas</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Q4 2027</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Contracts to sell natural gas at USD index pricing</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30 MMCFD</w:t>
            </w:r>
          </w:p>
        </w:tc>
        <w:tc>
          <w:tcPr>
            <w:tcW w:w="0" w:type="dxa"/>
            <w:vAlign w:val="bottom"/>
          </w:tcPr>
          <w:p>
            <w:pPr>
              <w:spacing w:after="0"/>
              <w:rPr>
                <w:sz w:val="1"/>
                <w:szCs w:val="1"/>
                <w:color w:val="auto"/>
              </w:rPr>
            </w:pPr>
          </w:p>
        </w:tc>
      </w:tr>
      <w:tr>
        <w:trPr>
          <w:trHeight w:val="227"/>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Q4 2028</w:t>
            </w: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 to sell natural gas at USD index pricing</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 MMCFD</w:t>
            </w:r>
          </w:p>
        </w:tc>
        <w:tc>
          <w:tcPr>
            <w:tcW w:w="0" w:type="dxa"/>
            <w:vAlign w:val="bottom"/>
          </w:tcPr>
          <w:p>
            <w:pPr>
              <w:spacing w:after="0"/>
              <w:rPr>
                <w:sz w:val="1"/>
                <w:szCs w:val="1"/>
                <w:color w:val="auto"/>
              </w:rPr>
            </w:pPr>
          </w:p>
        </w:tc>
      </w:tr>
      <w:tr>
        <w:trPr>
          <w:trHeight w:val="227"/>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Natural Gas</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Q4 2025</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Contracts to sell natural gas at CAD fixed pricing</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40 MMCFD</w:t>
            </w:r>
          </w:p>
        </w:tc>
        <w:tc>
          <w:tcPr>
            <w:tcW w:w="0" w:type="dxa"/>
            <w:vAlign w:val="bottom"/>
          </w:tcPr>
          <w:p>
            <w:pPr>
              <w:spacing w:after="0"/>
              <w:rPr>
                <w:sz w:val="1"/>
                <w:szCs w:val="1"/>
                <w:color w:val="auto"/>
              </w:rPr>
            </w:pPr>
          </w:p>
        </w:tc>
      </w:tr>
      <w:tr>
        <w:trPr>
          <w:trHeight w:val="227"/>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Q4 2026</w:t>
            </w: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 to sell natural gas at CAD fixed pricing</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50 MMCFD</w:t>
            </w:r>
          </w:p>
        </w:tc>
        <w:tc>
          <w:tcPr>
            <w:tcW w:w="0" w:type="dxa"/>
            <w:vAlign w:val="bottom"/>
          </w:tcPr>
          <w:p>
            <w:pPr>
              <w:spacing w:after="0"/>
              <w:rPr>
                <w:sz w:val="1"/>
                <w:szCs w:val="1"/>
                <w:color w:val="auto"/>
              </w:rPr>
            </w:pPr>
          </w:p>
        </w:tc>
      </w:tr>
      <w:tr>
        <w:trPr>
          <w:trHeight w:val="23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NGLs</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Q2 2025</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Contracts to sell NGLs at CAD index pricing</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As produced</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fixed price contracts above are accounted for as normal sales and purchases for accounting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Property, Plant and Equipment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plant and equipment assets for the respective periods are presented as follows: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8"/>
                <w:szCs w:val="18"/>
                <w:b w:val="1"/>
                <w:bCs w:val="1"/>
                <w:color w:val="auto"/>
              </w:rPr>
              <w:t>December 31, 2024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8"/>
                <w:szCs w:val="18"/>
                <w:color w:val="auto"/>
              </w:rPr>
              <w:t>December 31, 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4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line="181" w:lineRule="exact"/>
              <w:rPr>
                <w:sz w:val="20"/>
                <w:szCs w:val="20"/>
                <w:color w:val="auto"/>
              </w:rPr>
            </w:pPr>
            <w:r>
              <w:rPr>
                <w:rFonts w:ascii="Arial" w:cs="Arial" w:eastAsia="Arial" w:hAnsi="Arial"/>
                <w:sz w:val="18"/>
                <w:szCs w:val="18"/>
                <w:b w:val="1"/>
                <w:bCs w:val="1"/>
                <w:color w:val="auto"/>
              </w:rPr>
              <w:t>Cost</w:t>
            </w:r>
          </w:p>
        </w:tc>
        <w:tc>
          <w:tcPr>
            <w:tcW w:w="380" w:type="dxa"/>
            <w:vAlign w:val="bottom"/>
          </w:tcPr>
          <w:p>
            <w:pPr>
              <w:spacing w:after="0"/>
              <w:rPr>
                <w:sz w:val="15"/>
                <w:szCs w:val="15"/>
                <w:color w:val="auto"/>
              </w:rPr>
            </w:pPr>
          </w:p>
        </w:tc>
        <w:tc>
          <w:tcPr>
            <w:tcW w:w="1160" w:type="dxa"/>
            <w:vAlign w:val="bottom"/>
          </w:tcPr>
          <w:p>
            <w:pPr>
              <w:jc w:val="right"/>
              <w:ind w:right="533"/>
              <w:spacing w:after="0" w:line="181" w:lineRule="exact"/>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line="181" w:lineRule="exact"/>
              <w:rPr>
                <w:sz w:val="20"/>
                <w:szCs w:val="20"/>
                <w:color w:val="auto"/>
              </w:rPr>
            </w:pPr>
            <w:r>
              <w:rPr>
                <w:rFonts w:ascii="Arial" w:cs="Arial" w:eastAsia="Arial" w:hAnsi="Arial"/>
                <w:sz w:val="18"/>
                <w:szCs w:val="18"/>
                <w:color w:val="auto"/>
              </w:rPr>
              <w:t>Cost</w:t>
            </w:r>
          </w:p>
        </w:tc>
        <w:tc>
          <w:tcPr>
            <w:tcW w:w="380" w:type="dxa"/>
            <w:vAlign w:val="bottom"/>
          </w:tcPr>
          <w:p>
            <w:pPr>
              <w:spacing w:after="0"/>
              <w:rPr>
                <w:sz w:val="15"/>
                <w:szCs w:val="15"/>
                <w:color w:val="auto"/>
              </w:rPr>
            </w:pPr>
          </w:p>
        </w:tc>
        <w:tc>
          <w:tcPr>
            <w:tcW w:w="1160" w:type="dxa"/>
            <w:vAlign w:val="bottom"/>
          </w:tcPr>
          <w:p>
            <w:pPr>
              <w:jc w:val="right"/>
              <w:ind w:right="533"/>
              <w:spacing w:after="0" w:line="181" w:lineRule="exact"/>
              <w:rPr>
                <w:sz w:val="20"/>
                <w:szCs w:val="20"/>
                <w:color w:val="auto"/>
              </w:rPr>
            </w:pPr>
            <w:r>
              <w:rPr>
                <w:rFonts w:ascii="Arial" w:cs="Arial" w:eastAsia="Arial" w:hAnsi="Arial"/>
                <w:sz w:val="18"/>
                <w:szCs w:val="18"/>
                <w:color w:val="auto"/>
              </w:rPr>
              <w:t>Net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Exploration and production ¹</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21,716,358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8,021,620</w:t>
            </w:r>
          </w:p>
        </w:tc>
        <w:tc>
          <w:tcPr>
            <w:tcW w:w="24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rPr>
              <w:t>2</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8,201,475</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149,834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33,033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21,866,192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8,054,653</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21,360,582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8,225,197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6"/>
                <w:szCs w:val="16"/>
                <w:color w:val="auto"/>
              </w:rPr>
              <w:t>¹ Includes unproved mineral rights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gridSpan w:val="3"/>
            <w:vMerge w:val="continue"/>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283,015</w:t>
            </w:r>
          </w:p>
        </w:tc>
        <w:tc>
          <w:tcPr>
            <w:tcW w:w="10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151,341</w:t>
            </w:r>
          </w:p>
        </w:tc>
        <w:tc>
          <w:tcPr>
            <w:tcW w:w="24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351,000</w:t>
            </w:r>
          </w:p>
        </w:tc>
        <w:tc>
          <w:tcPr>
            <w:tcW w:w="10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228,329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hanging="113"/>
        <w:spacing w:after="0"/>
        <w:tabs>
          <w:tab w:leader="none" w:pos="12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Includes $13,335 in 2024 and $15,356 in 2023 related to administrative assets and support equipment.</w:t>
      </w:r>
    </w:p>
    <w:p>
      <w:pPr>
        <w:spacing w:after="0" w:line="80"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8"/>
          <w:szCs w:val="18"/>
          <w:u w:val="single" w:color="auto"/>
          <w:color w:val="auto"/>
        </w:rPr>
        <w:t>Divestments</w:t>
      </w:r>
    </w:p>
    <w:p>
      <w:pPr>
        <w:spacing w:after="0" w:line="11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September 15, 2023, the Company completed the previously announced divestment of certain non-core operated Kaybob Duvernay assets and all of our non-operated Placid Montney assets, located in Alberta, Canada for net cash proceeds of C$139.0 million. No gain or loss was recorded related to this transaction, and the effective date of the transaction was March 1, 2023.</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Property, Plant and Equipment (Continued)</w:t>
      </w:r>
    </w:p>
    <w:p>
      <w:pPr>
        <w:spacing w:after="0" w:line="3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of 2022, the Company completed the disposition of its 62.5% working interest of the Thunder Hawk field for a purchase price of $20.0 million less closing adjustments of $23.1 million, resulting in a total net payment to the buyer of $3.1 million. Additionally, the buyer assumed the ARO liabilities of approximately $47.9 million. A $17.9 million gain on sale was recorded in the period related to the sale. In September 2022, the Company completed the disposition of its working interests in Block CA-2 in Brunei for contingent consideration valued at approximately $8.7 million. No gain or loss was recorded related to this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1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August 2022, the Company acquired an additional working interest of 3.37% in the non-operated Lucius field for a purchase price of $78.5 million, net of closing adjustments. In June 2022, the Company acquired an additional working interest of 11.0% in the non-operated Kodiak field for a purchase price of $50.0 million, net of closing adjustments.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Impairments</w:t>
      </w:r>
    </w:p>
    <w:p>
      <w:pPr>
        <w:spacing w:after="0" w:line="1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2024, the Company recorded a pretax impairment charge of $62.9 million. In the first quarter of 2024, the Company recorded an impairment charge of $34.5 million related to the Calliope field, and in the fourth quarter of 2024, the Company recorded an impairment charge of $28.4 million related to the Nearly Headless Nick field. Both of the impairments were the result of operational issues that led to reserve reductions. There were no impairments recognized in 2023 and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recognized before tax impairments for each of the three years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United States - Offshore</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62,909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0"/>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62,909</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Exploratory Wells</w:t>
      </w:r>
    </w:p>
    <w:p>
      <w:pPr>
        <w:spacing w:after="0" w:line="11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spacing w:after="0" w:line="7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At December 31, 2024, 2023 and 2022, the Company had total capitalized drilling costs pending the determination of proved reserves of $72.1 million, $49.1 million and $171.9 million, respectively. The following table reflects the net changes in capitalized exploratory well costs for each of the three years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179,481</w:t>
            </w:r>
          </w:p>
        </w:tc>
        <w:tc>
          <w:tcPr>
            <w:tcW w:w="0" w:type="dxa"/>
            <w:vAlign w:val="bottom"/>
          </w:tcPr>
          <w:p>
            <w:pPr>
              <w:spacing w:after="0"/>
              <w:rPr>
                <w:sz w:val="1"/>
                <w:szCs w:val="1"/>
                <w:color w:val="auto"/>
              </w:rPr>
            </w:pPr>
          </w:p>
        </w:tc>
      </w:tr>
      <w:tr>
        <w:trPr>
          <w:trHeight w:val="227"/>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Additions pending the determination of proved reserves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49,408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33,440</w:t>
            </w:r>
          </w:p>
        </w:tc>
        <w:tc>
          <w:tcPr>
            <w:tcW w:w="0" w:type="dxa"/>
            <w:vAlign w:val="bottom"/>
          </w:tcPr>
          <w:p>
            <w:pPr>
              <w:spacing w:after="0"/>
              <w:rPr>
                <w:sz w:val="1"/>
                <w:szCs w:val="1"/>
                <w:color w:val="auto"/>
              </w:rPr>
            </w:pPr>
          </w:p>
        </w:tc>
      </w:tr>
      <w:tr>
        <w:trPr>
          <w:trHeight w:val="174"/>
        </w:trPr>
        <w:tc>
          <w:tcPr>
            <w:tcW w:w="6700" w:type="dxa"/>
            <w:vAlign w:val="bottom"/>
            <w:gridSpan w:val="3"/>
            <w:shd w:val="clear" w:color="auto" w:fill="CCEEFF"/>
          </w:tcPr>
          <w:p>
            <w:pPr>
              <w:ind w:left="20"/>
              <w:spacing w:after="0" w:line="174" w:lineRule="exact"/>
              <w:rPr>
                <w:sz w:val="20"/>
                <w:szCs w:val="20"/>
                <w:color w:val="auto"/>
              </w:rPr>
            </w:pPr>
            <w:r>
              <w:rPr>
                <w:rFonts w:ascii="Arial" w:cs="Arial" w:eastAsia="Arial" w:hAnsi="Arial"/>
                <w:sz w:val="18"/>
                <w:szCs w:val="18"/>
                <w:color w:val="auto"/>
              </w:rPr>
              <w:t>Reclassifications to proved properties based on the determination of proved</w:t>
            </w:r>
          </w:p>
        </w:tc>
        <w:tc>
          <w:tcPr>
            <w:tcW w:w="3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3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Divestment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27"/>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Capitalized exploration well costs charged to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(33,146)</w:t>
            </w:r>
          </w:p>
        </w:tc>
        <w:tc>
          <w:tcPr>
            <w:tcW w:w="0" w:type="dxa"/>
            <w:vAlign w:val="bottom"/>
          </w:tcPr>
          <w:p>
            <w:pPr>
              <w:spacing w:after="0"/>
              <w:rPr>
                <w:sz w:val="1"/>
                <w:szCs w:val="1"/>
                <w:color w:val="auto"/>
              </w:rPr>
            </w:pPr>
          </w:p>
        </w:tc>
      </w:tr>
      <w:tr>
        <w:trPr>
          <w:trHeight w:val="220"/>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171,860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Capital additions of $49.4 million, for the year ended December 31, 2024, are mainly for the non-operated Ocotillo #1 (Mississippi Canyon 40) exploration well in the Gulf of America and the Hai Su Vang-1X (Golden Sea Lion), Block 15/2-17 exploration well in Vietnam. Capitalized well costs charged to dry hole expense of $26.5 million, for the year ended December 31, 2024, related to the Hoffe Park #1 (Mississippi Canyon 166) exploration well.</w:t>
      </w:r>
    </w:p>
    <w:p>
      <w:pPr>
        <w:spacing w:after="0" w:line="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preceding table excludes well costs of $46.7 million and $129.2 million incurred and expensed directly to dry hole during the year ended December 31, 2024 and 2023, respectively. In 2024, these costs primarily include $27.6 million for the non-operated Orange #1 (Mississippi Canyon 216) and $26.1 million for the Sebastian #1 (Mississippi Canyon 387) exploration wells in the Gulf of America. In 2023, the amount primarily includes $ 82.0 million for the Chinook #7 (Walker Ridge 425) and $47.2 million for the non-operated Oso #1 (Atwater Valley 138) exploration wells in the Gulf of America.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Property, Plant and Equipment (Continued)</w:t>
      </w:r>
    </w:p>
    <w:p>
      <w:pPr>
        <w:spacing w:after="0" w:line="396"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color w:val="auto"/>
        </w:rPr>
        <w:t>The following table provides an aging of capitalized exploratory well costs based on the date the drilling was completed for each individual well.</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vMerge w:val="restart"/>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720" w:type="dxa"/>
            <w:vAlign w:val="bottom"/>
          </w:tcPr>
          <w:p>
            <w:pPr>
              <w:ind w:left="120"/>
              <w:spacing w:after="0" w:line="167" w:lineRule="exact"/>
              <w:rPr>
                <w:sz w:val="20"/>
                <w:szCs w:val="20"/>
                <w:color w:val="auto"/>
              </w:rPr>
            </w:pPr>
            <w:r>
              <w:rPr>
                <w:rFonts w:ascii="Arial" w:cs="Arial" w:eastAsia="Arial" w:hAnsi="Arial"/>
                <w:sz w:val="18"/>
                <w:szCs w:val="18"/>
                <w:b w:val="1"/>
                <w:bCs w:val="1"/>
                <w:color w:val="auto"/>
              </w:rPr>
              <w:t>No.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140"/>
              <w:spacing w:after="0" w:line="167" w:lineRule="exact"/>
              <w:rPr>
                <w:sz w:val="20"/>
                <w:szCs w:val="20"/>
                <w:color w:val="auto"/>
              </w:rPr>
            </w:pPr>
            <w:r>
              <w:rPr>
                <w:rFonts w:ascii="Arial" w:cs="Arial" w:eastAsia="Arial" w:hAnsi="Arial"/>
                <w:sz w:val="18"/>
                <w:szCs w:val="18"/>
                <w:color w:val="auto"/>
              </w:rPr>
              <w:t>No.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91"/>
              <w:spacing w:after="0" w:line="167" w:lineRule="exact"/>
              <w:rPr>
                <w:sz w:val="20"/>
                <w:szCs w:val="20"/>
                <w:color w:val="auto"/>
              </w:rPr>
            </w:pPr>
            <w:r>
              <w:rPr>
                <w:rFonts w:ascii="Arial" w:cs="Arial" w:eastAsia="Arial" w:hAnsi="Arial"/>
                <w:sz w:val="18"/>
                <w:szCs w:val="18"/>
                <w:color w:val="auto"/>
              </w:rPr>
              <w:t>No. of</w:t>
            </w:r>
          </w:p>
        </w:tc>
        <w:tc>
          <w:tcPr>
            <w:tcW w:w="0" w:type="dxa"/>
            <w:vAlign w:val="bottom"/>
          </w:tcPr>
          <w:p>
            <w:pPr>
              <w:spacing w:after="0"/>
              <w:rPr>
                <w:sz w:val="1"/>
                <w:szCs w:val="1"/>
                <w:color w:val="auto"/>
              </w:rPr>
            </w:pPr>
          </w:p>
        </w:tc>
      </w:tr>
      <w:tr>
        <w:trPr>
          <w:trHeight w:val="200"/>
        </w:trPr>
        <w:tc>
          <w:tcPr>
            <w:tcW w:w="3160" w:type="dxa"/>
            <w:vAlign w:val="bottom"/>
            <w:gridSpan w:val="3"/>
          </w:tcPr>
          <w:p>
            <w:pPr>
              <w:ind w:left="20"/>
              <w:spacing w:after="0" w:line="201" w:lineRule="exact"/>
              <w:rPr>
                <w:sz w:val="20"/>
                <w:szCs w:val="20"/>
                <w:color w:val="auto"/>
              </w:rPr>
            </w:pPr>
            <w:r>
              <w:rPr>
                <w:rFonts w:ascii="Arial" w:cs="Arial" w:eastAsia="Arial" w:hAnsi="Arial"/>
                <w:sz w:val="18"/>
                <w:szCs w:val="18"/>
                <w:i w:val="1"/>
                <w:iCs w:val="1"/>
                <w:color w:val="auto"/>
              </w:rPr>
              <w:t>(Thousands of dollars)</w:t>
            </w:r>
          </w:p>
        </w:tc>
        <w:tc>
          <w:tcPr>
            <w:tcW w:w="20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720" w:type="dxa"/>
            <w:vAlign w:val="bottom"/>
          </w:tcPr>
          <w:p>
            <w:pPr>
              <w:ind w:left="140"/>
              <w:spacing w:after="0" w:line="201" w:lineRule="exact"/>
              <w:rPr>
                <w:sz w:val="20"/>
                <w:szCs w:val="20"/>
                <w:color w:val="auto"/>
              </w:rPr>
            </w:pPr>
            <w:r>
              <w:rPr>
                <w:rFonts w:ascii="Arial" w:cs="Arial" w:eastAsia="Arial" w:hAnsi="Arial"/>
                <w:sz w:val="18"/>
                <w:szCs w:val="18"/>
                <w:b w:val="1"/>
                <w:bCs w:val="1"/>
                <w:color w:val="auto"/>
              </w:rPr>
              <w:t>Wells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right"/>
              <w:ind w:right="680"/>
              <w:spacing w:after="0" w:line="201" w:lineRule="exact"/>
              <w:rPr>
                <w:sz w:val="20"/>
                <w:szCs w:val="20"/>
                <w:color w:val="auto"/>
              </w:rPr>
            </w:pPr>
            <w:r>
              <w:rPr>
                <w:rFonts w:ascii="Arial" w:cs="Arial" w:eastAsia="Arial" w:hAnsi="Arial"/>
                <w:sz w:val="18"/>
                <w:szCs w:val="18"/>
                <w:color w:val="auto"/>
              </w:rPr>
              <w:t>Amount</w:t>
            </w:r>
          </w:p>
        </w:tc>
        <w:tc>
          <w:tcPr>
            <w:tcW w:w="680" w:type="dxa"/>
            <w:vAlign w:val="bottom"/>
          </w:tcPr>
          <w:p>
            <w:pPr>
              <w:ind w:left="160"/>
              <w:spacing w:after="0" w:line="201" w:lineRule="exact"/>
              <w:rPr>
                <w:sz w:val="20"/>
                <w:szCs w:val="20"/>
                <w:color w:val="auto"/>
              </w:rPr>
            </w:pPr>
            <w:r>
              <w:rPr>
                <w:rFonts w:ascii="Arial" w:cs="Arial" w:eastAsia="Arial" w:hAnsi="Arial"/>
                <w:sz w:val="18"/>
                <w:szCs w:val="18"/>
                <w:color w:val="auto"/>
              </w:rPr>
              <w:t>Wells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right"/>
              <w:ind w:right="680"/>
              <w:spacing w:after="0" w:line="201" w:lineRule="exact"/>
              <w:rPr>
                <w:sz w:val="20"/>
                <w:szCs w:val="20"/>
                <w:color w:val="auto"/>
              </w:rPr>
            </w:pPr>
            <w:r>
              <w:rPr>
                <w:rFonts w:ascii="Arial" w:cs="Arial" w:eastAsia="Arial" w:hAnsi="Arial"/>
                <w:sz w:val="18"/>
                <w:szCs w:val="18"/>
                <w:color w:val="auto"/>
              </w:rPr>
              <w:t>Amount</w:t>
            </w:r>
          </w:p>
        </w:tc>
        <w:tc>
          <w:tcPr>
            <w:tcW w:w="980" w:type="dxa"/>
            <w:vAlign w:val="bottom"/>
          </w:tcPr>
          <w:p>
            <w:pPr>
              <w:jc w:val="right"/>
              <w:ind w:right="311"/>
              <w:spacing w:after="0" w:line="201" w:lineRule="exact"/>
              <w:rPr>
                <w:sz w:val="20"/>
                <w:szCs w:val="20"/>
                <w:color w:val="auto"/>
              </w:rPr>
            </w:pPr>
            <w:r>
              <w:rPr>
                <w:rFonts w:ascii="Arial" w:cs="Arial" w:eastAsia="Arial" w:hAnsi="Arial"/>
                <w:sz w:val="18"/>
                <w:szCs w:val="18"/>
                <w:color w:val="auto"/>
              </w:rPr>
              <w:t>Wells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60" w:type="dxa"/>
            <w:vAlign w:val="bottom"/>
            <w:gridSpan w:val="3"/>
            <w:vMerge w:val="restart"/>
          </w:tcPr>
          <w:p>
            <w:pPr>
              <w:ind w:left="20"/>
              <w:spacing w:after="0"/>
              <w:rPr>
                <w:sz w:val="20"/>
                <w:szCs w:val="20"/>
                <w:color w:val="auto"/>
              </w:rPr>
            </w:pPr>
            <w:r>
              <w:rPr>
                <w:rFonts w:ascii="Arial" w:cs="Arial" w:eastAsia="Arial" w:hAnsi="Arial"/>
                <w:sz w:val="18"/>
                <w:szCs w:val="18"/>
                <w:color w:val="auto"/>
              </w:rPr>
              <w:t>Aging of capitalized well costs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1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Zero to one year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080" w:type="dxa"/>
            <w:vAlign w:val="bottom"/>
            <w:gridSpan w:val="2"/>
          </w:tcPr>
          <w:p>
            <w:pPr>
              <w:ind w:left="60"/>
              <w:spacing w:after="0"/>
              <w:rPr>
                <w:sz w:val="20"/>
                <w:szCs w:val="20"/>
                <w:color w:val="auto"/>
              </w:rPr>
            </w:pPr>
            <w:r>
              <w:rPr>
                <w:rFonts w:ascii="Arial" w:cs="Arial" w:eastAsia="Arial" w:hAnsi="Arial"/>
                <w:sz w:val="18"/>
                <w:szCs w:val="18"/>
                <w:color w:val="auto"/>
              </w:rPr>
              <w:t>One to two years</w:t>
            </w:r>
          </w:p>
        </w:tc>
        <w:tc>
          <w:tcPr>
            <w:tcW w:w="200" w:type="dxa"/>
            <w:vAlign w:val="bottom"/>
          </w:tcPr>
          <w:p>
            <w:pPr>
              <w:spacing w:after="0"/>
              <w:rPr>
                <w:sz w:val="19"/>
                <w:szCs w:val="19"/>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Two to three years</w:t>
            </w: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Three years or more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Of the $22.3 million of exploratory well costs capitalized more than one year at December 31, 2024, $15.1 million was in Vietnam, $4.4 million was in Canada and $2.7 million was in Brunei. In all geographical areas, either further appraisal or development drilling is planned and/or development studies/plans are in various stages of completion.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Inventories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for the respective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6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Thousands of dollars</w:t>
            </w:r>
            <w:r>
              <w:rPr>
                <w:rFonts w:ascii="Arial" w:cs="Arial" w:eastAsia="Arial" w:hAnsi="Arial"/>
                <w:sz w:val="18"/>
                <w:szCs w:val="18"/>
                <w:color w:val="auto"/>
              </w:rPr>
              <w:t>)</w:t>
            </w:r>
          </w:p>
        </w:tc>
        <w:tc>
          <w:tcPr>
            <w:tcW w:w="4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0"/>
        </w:trPr>
        <w:tc>
          <w:tcPr>
            <w:tcW w:w="3660" w:type="dxa"/>
            <w:vAlign w:val="bottom"/>
            <w:gridSpan w:val="3"/>
            <w:vMerge w:val="continue"/>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51"/>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Unsold crude oil</w:t>
            </w:r>
          </w:p>
        </w:tc>
        <w:tc>
          <w:tcPr>
            <w:tcW w:w="45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0" w:type="dxa"/>
            <w:vAlign w:val="bottom"/>
          </w:tcPr>
          <w:p>
            <w:pPr>
              <w:spacing w:after="0"/>
              <w:rPr>
                <w:sz w:val="1"/>
                <w:szCs w:val="1"/>
                <w:color w:val="auto"/>
              </w:rPr>
            </w:pPr>
          </w:p>
        </w:tc>
      </w:tr>
      <w:tr>
        <w:trPr>
          <w:trHeight w:val="227"/>
        </w:trPr>
        <w:tc>
          <w:tcPr>
            <w:tcW w:w="36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Materials and supplies</w:t>
            </w:r>
          </w:p>
        </w:tc>
        <w:tc>
          <w:tcPr>
            <w:tcW w:w="4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44,150</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Inventories</w:t>
            </w:r>
          </w:p>
        </w:tc>
        <w:tc>
          <w:tcPr>
            <w:tcW w:w="4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54,454</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jc w:val="right"/>
              <w:ind w:right="2431"/>
              <w:spacing w:after="0"/>
              <w:rPr>
                <w:sz w:val="20"/>
                <w:szCs w:val="20"/>
                <w:color w:val="auto"/>
              </w:rPr>
            </w:pPr>
            <w:r>
              <w:rPr>
                <w:rFonts w:ascii="Arial" w:cs="Arial" w:eastAsia="Arial" w:hAnsi="Arial"/>
                <w:sz w:val="18"/>
                <w:szCs w:val="18"/>
                <w:color w:val="auto"/>
              </w:rPr>
              <w:t>79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920" w:type="dxa"/>
            <w:vAlign w:val="bottom"/>
            <w:tcBorders>
              <w:bottom w:val="single" w:sz="8" w:color="9A9A9A"/>
            </w:tcBorders>
          </w:tcPr>
          <w:p>
            <w:pPr>
              <w:spacing w:after="0"/>
              <w:rPr>
                <w:sz w:val="18"/>
                <w:szCs w:val="18"/>
                <w:color w:val="auto"/>
              </w:rPr>
            </w:pPr>
          </w:p>
        </w:tc>
        <w:tc>
          <w:tcPr>
            <w:tcW w:w="45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Note F – Financing Arrangements and Debt</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8020" w:type="dxa"/>
            <w:vAlign w:val="bottom"/>
            <w:gridSpan w:val="3"/>
          </w:tcPr>
          <w:p>
            <w:pPr>
              <w:spacing w:after="0"/>
              <w:rPr>
                <w:sz w:val="20"/>
                <w:szCs w:val="20"/>
                <w:color w:val="auto"/>
              </w:rPr>
            </w:pPr>
            <w:r>
              <w:rPr>
                <w:rFonts w:ascii="Arial" w:cs="Arial" w:eastAsia="Arial" w:hAnsi="Arial"/>
                <w:sz w:val="18"/>
                <w:szCs w:val="18"/>
                <w:color w:val="auto"/>
              </w:rPr>
              <w:t>Long-term debt for the respective periods presented consisted of the following:</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vMerge w:val="restart"/>
          </w:tcPr>
          <w:p>
            <w:pPr>
              <w:spacing w:after="0"/>
              <w:rPr>
                <w:sz w:val="24"/>
                <w:szCs w:val="24"/>
                <w:color w:val="auto"/>
              </w:rPr>
            </w:pPr>
          </w:p>
        </w:tc>
        <w:tc>
          <w:tcPr>
            <w:tcW w:w="1780" w:type="dxa"/>
            <w:vAlign w:val="bottom"/>
            <w:vMerge w:val="restart"/>
          </w:tcPr>
          <w:p>
            <w:pPr>
              <w:spacing w:after="0"/>
              <w:rPr>
                <w:sz w:val="20"/>
                <w:szCs w:val="20"/>
                <w:color w:val="auto"/>
              </w:rPr>
            </w:pPr>
            <w:r>
              <w:rPr>
                <w:rFonts w:ascii="Arial" w:cs="Arial" w:eastAsia="Arial" w:hAnsi="Arial"/>
                <w:sz w:val="18"/>
                <w:szCs w:val="18"/>
                <w:i w:val="1"/>
                <w:iCs w:val="1"/>
                <w:color w:val="auto"/>
                <w:w w:val="98"/>
              </w:rPr>
              <w:t>(Thousands of dollars)</w:t>
            </w:r>
          </w:p>
        </w:tc>
        <w:tc>
          <w:tcPr>
            <w:tcW w:w="6220" w:type="dxa"/>
            <w:vAlign w:val="bottom"/>
            <w:vMerge w:val="restart"/>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62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51"/>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ind w:left="20"/>
              <w:spacing w:after="0"/>
              <w:rPr>
                <w:sz w:val="20"/>
                <w:szCs w:val="20"/>
                <w:color w:val="auto"/>
              </w:rPr>
            </w:pPr>
            <w:r>
              <w:rPr>
                <w:rFonts w:ascii="Arial" w:cs="Arial" w:eastAsia="Arial" w:hAnsi="Arial"/>
                <w:sz w:val="18"/>
                <w:szCs w:val="18"/>
                <w:color w:val="auto"/>
              </w:rPr>
              <w:t>Notes payable</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802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5.875% notes, due December 2027</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443,249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Arial" w:cs="Arial" w:eastAsia="Arial" w:hAnsi="Arial"/>
                <w:sz w:val="18"/>
                <w:szCs w:val="18"/>
                <w:color w:val="auto"/>
              </w:rPr>
              <w:t>6.375% notes, due July 2028</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148,590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372,226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7.05% notes, due May 2029</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117,582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Arial" w:cs="Arial" w:eastAsia="Arial" w:hAnsi="Arial"/>
                <w:sz w:val="18"/>
                <w:szCs w:val="18"/>
                <w:color w:val="auto"/>
              </w:rPr>
              <w:t>6.00% notes, due October 2032</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5.875% notes, due December 2042 ¹</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339,761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8"/>
                <w:szCs w:val="18"/>
                <w:color w:val="auto"/>
              </w:rPr>
              <w:t>Total notes payable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1,284,832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1,334,944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Unamortized debt issuance cost and discount on notes payable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8"/>
                <w:szCs w:val="18"/>
                <w:color w:val="auto"/>
              </w:rPr>
              <w:t>Total notes payable, net of unamortized discount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1,270,496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1,324,837</w:t>
            </w:r>
          </w:p>
        </w:tc>
        <w:tc>
          <w:tcPr>
            <w:tcW w:w="0" w:type="dxa"/>
            <w:vAlign w:val="bottom"/>
          </w:tcPr>
          <w:p>
            <w:pPr>
              <w:spacing w:after="0"/>
              <w:rPr>
                <w:sz w:val="1"/>
                <w:szCs w:val="1"/>
                <w:color w:val="auto"/>
              </w:rPr>
            </w:pPr>
          </w:p>
        </w:tc>
      </w:tr>
      <w:tr>
        <w:trPr>
          <w:trHeight w:val="227"/>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 obligations, due through November 2034</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8"/>
                <w:szCs w:val="18"/>
                <w:color w:val="auto"/>
              </w:rPr>
              <w:t>Total debt including current maturities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1,275,373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1,329,075</w:t>
            </w:r>
          </w:p>
        </w:tc>
        <w:tc>
          <w:tcPr>
            <w:tcW w:w="0" w:type="dxa"/>
            <w:vAlign w:val="bottom"/>
          </w:tcPr>
          <w:p>
            <w:pPr>
              <w:spacing w:after="0"/>
              <w:rPr>
                <w:sz w:val="1"/>
                <w:szCs w:val="1"/>
                <w:color w:val="auto"/>
              </w:rPr>
            </w:pPr>
          </w:p>
        </w:tc>
      </w:tr>
      <w:tr>
        <w:trPr>
          <w:trHeight w:val="227"/>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maturities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gridSpan w:val="2"/>
          </w:tcPr>
          <w:p>
            <w:pPr>
              <w:ind w:left="200"/>
              <w:spacing w:after="0"/>
              <w:rPr>
                <w:sz w:val="20"/>
                <w:szCs w:val="20"/>
                <w:color w:val="auto"/>
              </w:rPr>
            </w:pPr>
            <w:r>
              <w:rPr>
                <w:rFonts w:ascii="Arial" w:cs="Arial" w:eastAsia="Arial" w:hAnsi="Arial"/>
                <w:sz w:val="18"/>
                <w:szCs w:val="18"/>
                <w:color w:val="auto"/>
              </w:rPr>
              <w:t>Total long-term debt</w:t>
            </w: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1,274,502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00" w:hanging="93"/>
        <w:spacing w:after="0"/>
        <w:tabs>
          <w:tab w:leader="none" w:pos="10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Coupon rate may fluctuate 25 basis points if rating is periodically downgraded or upgraded by S&amp;P and Moody’s.</w:t>
      </w:r>
    </w:p>
    <w:p>
      <w:pPr>
        <w:spacing w:after="0" w:line="80"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color w:val="auto"/>
        </w:rPr>
        <w:t>The amounts of long-term principal repayable over each of the next five years and thereafter are as follows: nil in 2025, nil in 2026, $78.9 million in 2027, $148.6 million in 2028, $117.6 million in 2029 and $939.8 million thereafter.</w:t>
      </w:r>
    </w:p>
    <w:p>
      <w:pPr>
        <w:spacing w:after="0" w:line="55"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color w:val="auto"/>
        </w:rPr>
        <w:t>The Company also has a shelf registration statement on file with the SEC that permits the offer and sale of debt and/or equity securities through October 15, 2027.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During the fourth quarter of 2024, the Company entered into a credit agreement governing a $1.35 billion senior unsecured guaranteed RCF with a maturity date of October 7, 2029. The RCF extends the borrowing term and increases the borrowing capacity of the previous RCF. On the date the Company achieves certain credit ratings (Investment Grade Ratings Date), certain covenants will be modified as set forth in the RCF. In addition, prior to Investment Grade Ratings Date, the Company will be required to comply with a maximum consolidated leverage ratio of 3.25x and a minimum consolidated interest coverage ratio of 2.50x. From and after the Investment Grade Ratings Date, the Company will be required to comply with a maximum ratio of consolidated total debt to consolidated total capitalization of 60%. Borrowings under the RCF bear interest at rates based on either the “Alternate Base Rate”, the “Adjusted Term Secured Overnight Financing Rate (SOFR) Rate”, or the “Adjusted Daily Simple SOFR Rate”, respectively, plus the “Applicable Rate”. The “Alternate Base Rate” of interest is the highest of (a) the Wall Street Journal prime rate in effect on such day, (b) the New York Federal Reserve Bank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The “Adjusted Term SOFR Rate” of interest is equal to (a) the Term SOFR Rate for such Interest Period, plus (b) 0.10%. The “Adjusted Daily Simple SOFR Rate” of interest is equal to (a) the Daily Simple SOFR, plus (b) 0.10%. The “Applicable Rate” of interest means, for any day, the applicable rate per annum based upon the ratings of Moody’s Investors Service, Inc. and Standard and Poor’s Rating Services, respectively. The Company incurred $14.7 million in transaction costs and recorded the amount to “Deferred charges and other assets” in the Consolidated Balance Sheets, which is being amortized to interest expense over the term of the RCF. At December 31, 2024, the Company had no outstanding borrowings under the RCF and $0.4 million of outstanding letters of credit, which reduces the borrowing capacity of the RCF. At December 31, 2024, the interest rate in effect on borrowings under the facility would have been 6.68%. At December 31, 2024, the Company was in compliance with all covenants related to the RCF.</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Financing Arrangements and Debt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Offering</w:t>
      </w:r>
    </w:p>
    <w:p>
      <w:pPr>
        <w:spacing w:after="0" w:line="1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October 3, 2024, the Company closed the public offering of $600.0 million aggregate principal amount of new senior notes that bear interest at a rate of 6.000% per annum and mature on October 1, 2032. The Company has incurred transaction costs of $10.1 million on the issuance of these new notes. The Company will pay interest semi-annually on April 1 and October 1 of each year, beginning April 1, 2025. The proceeds of the $600.0 million notes were used to fund the repurchase and repayment of debt during the fourth quarter of 2024 to achieve a debt-neutral transaction.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Extinguishment</w:t>
      </w:r>
    </w:p>
    <w:p>
      <w:pPr>
        <w:spacing w:after="0" w:line="114"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In December 2024, the Company redeemed $79.0 million of the 2027 Notes. The total cost of the debt extinguishment of $1.2 million, consisting of cash costs of $0.8 million and non-cash costs of $0.4 million, is included in “Interest expense, net” on the Consolidated Statements of Operations for the year ended December 31, 2024.</w:t>
      </w:r>
    </w:p>
    <w:p>
      <w:pPr>
        <w:spacing w:after="0" w:line="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October 2024, the Company tendered an aggregate $521.1 million of its notes, comprised of: $258.8 million of the 2027 Notes, $200.2 million of the 2028 Notes and $62.1 million of the 2029 Notes. The total cost of the debt extinguishment of $18.2 million, consisting of cash costs of $14.9 million and non-cash costs of $3.3 million, is included in “Interest expense, net” on the Consolidated Statements of Operations for the year ended December 31, 2024.</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2024, the Company paid a total of $50.5 million to complete the open market repurchases of $26.5 million aggregate principal of its 2027 Notes and $23.5 million aggregate principal of its 2028 Notes. The total cost of debt extinguishment of $0.9 million, consisting of cash costs of $0.5 million and non-cash costs of $0.4 million, is included in “Interest expense, net” on the Consolidated Statements of Operations for the year ended December 31, 2024.</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2023, the Company tendered a total of $249.5 million of its 2027 Notes, 2028 Notes and 2029 Notes, retiring $250.0 million in aggregate principal. The cost of debt extinguishment of $1.3 million is included in “Interest expense, net” on the Consolidated Statement of Operations for the year ended December 31, 2023. There were no additional cash costs related to the November 2023 debt extinguishment on the 2027 Notes, 2028 Notes and 2029 Notes for the year ended December 31, 2023.</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2023, the Company redeemed the remaining $248.7 million principal outstanding of the 2025 Notes. The non-cash costs of debt extinguishment of $0.9 million were included in “Interest expense, net” on the Consolidated Statement of Operations for the year ended December 31,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Asset Retirement Obligations</w:t>
      </w:r>
    </w:p>
    <w:p>
      <w:pPr>
        <w:spacing w:after="0" w:line="11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The ARO liabilities recognized by the Company are related to the estimated costs to dismantle and abandon its producing oil and natural gas properties and related equipment.</w:t>
      </w:r>
    </w:p>
    <w:p>
      <w:pPr>
        <w:spacing w:after="0" w:line="55"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color w:val="auto"/>
        </w:rPr>
        <w:t>A reconciliation of the beginning and ending aggregate carrying amount of the ARO for the respective periods presented is shown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914,763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911,653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Accretion</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52,511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46,059</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Liabilities incurred</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gridSpan w:val="2"/>
          </w:tcPr>
          <w:p>
            <w:pPr>
              <w:ind w:left="440"/>
              <w:spacing w:after="0"/>
              <w:rPr>
                <w:sz w:val="20"/>
                <w:szCs w:val="20"/>
                <w:color w:val="auto"/>
              </w:rPr>
            </w:pPr>
            <w:r>
              <w:rPr>
                <w:rFonts w:ascii="Arial" w:cs="Arial" w:eastAsia="Arial" w:hAnsi="Arial"/>
                <w:sz w:val="18"/>
                <w:szCs w:val="18"/>
                <w:color w:val="auto"/>
              </w:rPr>
              <w:t>Revisions of previous estimates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Liabilities settled</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(95,637)</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Changes due to translation of foreign currencies</w:t>
            </w:r>
          </w:p>
        </w:tc>
        <w:tc>
          <w:tcPr>
            <w:tcW w:w="3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Balance at end of period</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1,008,884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914,763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Current portion of liability</w:t>
            </w:r>
          </w:p>
        </w:tc>
        <w:tc>
          <w:tcPr>
            <w:tcW w:w="3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Non-current portion of liability</w:t>
            </w:r>
          </w:p>
        </w:tc>
        <w:tc>
          <w:tcPr>
            <w:tcW w:w="3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960,804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904,051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31"/>
              <w:spacing w:after="0"/>
              <w:rPr>
                <w:sz w:val="20"/>
                <w:szCs w:val="20"/>
                <w:color w:val="auto"/>
              </w:rPr>
            </w:pPr>
            <w:r>
              <w:rPr>
                <w:rFonts w:ascii="Arial" w:cs="Arial" w:eastAsia="Arial" w:hAnsi="Arial"/>
                <w:sz w:val="18"/>
                <w:szCs w:val="18"/>
                <w:color w:val="auto"/>
              </w:rPr>
              <w:t>81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3100" w:type="dxa"/>
            <w:vAlign w:val="bottom"/>
            <w:tcBorders>
              <w:bottom w:val="single" w:sz="8" w:color="9A9A9A"/>
            </w:tcBorders>
          </w:tcPr>
          <w:p>
            <w:pPr>
              <w:spacing w:after="0"/>
              <w:rPr>
                <w:sz w:val="18"/>
                <w:szCs w:val="18"/>
                <w:color w:val="auto"/>
              </w:rPr>
            </w:pPr>
          </w:p>
        </w:tc>
        <w:tc>
          <w:tcPr>
            <w:tcW w:w="33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Asset Retirement Obligations (Continued)</w:t>
      </w:r>
    </w:p>
    <w:p>
      <w:pPr>
        <w:spacing w:after="0" w:line="200" w:lineRule="exact"/>
        <w:rPr>
          <w:sz w:val="20"/>
          <w:szCs w:val="20"/>
          <w:color w:val="auto"/>
        </w:rPr>
      </w:pPr>
    </w:p>
    <w:p>
      <w:pPr>
        <w:spacing w:after="0" w:line="263"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Income Taxes</w:t>
      </w:r>
    </w:p>
    <w:p>
      <w:pPr>
        <w:spacing w:after="0" w:line="116"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color w:val="auto"/>
        </w:rPr>
        <w:t>The components of income (loss) from continuing operations before income taxes for each of the three years presented and income tax expense (benefit) attributable thereto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7"/>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7"/>
        </w:trPr>
        <w:tc>
          <w:tcPr>
            <w:tcW w:w="80" w:type="dxa"/>
            <w:vAlign w:val="bottom"/>
          </w:tcPr>
          <w:p>
            <w:pPr>
              <w:spacing w:after="0"/>
              <w:rPr>
                <w:sz w:val="19"/>
                <w:szCs w:val="19"/>
                <w:color w:val="auto"/>
              </w:rPr>
            </w:pPr>
          </w:p>
        </w:tc>
        <w:tc>
          <w:tcPr>
            <w:tcW w:w="6620" w:type="dxa"/>
            <w:vAlign w:val="bottom"/>
            <w:gridSpan w:val="2"/>
          </w:tcPr>
          <w:p>
            <w:pPr>
              <w:ind w:left="26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468,202</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901,761</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1,306,200</w:t>
            </w:r>
          </w:p>
        </w:tc>
      </w:tr>
      <w:tr>
        <w:trPr>
          <w:trHeight w:val="227"/>
        </w:trPr>
        <w:tc>
          <w:tcPr>
            <w:tcW w:w="8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144,061</w:t>
            </w:r>
          </w:p>
        </w:tc>
      </w:tr>
      <w:tr>
        <w:trPr>
          <w:trHeight w:val="220"/>
        </w:trPr>
        <w:tc>
          <w:tcPr>
            <w:tcW w:w="80" w:type="dxa"/>
            <w:vAlign w:val="bottom"/>
          </w:tcPr>
          <w:p>
            <w:pPr>
              <w:spacing w:after="0"/>
              <w:rPr>
                <w:sz w:val="19"/>
                <w:szCs w:val="19"/>
                <w:color w:val="auto"/>
              </w:rPr>
            </w:pPr>
          </w:p>
        </w:tc>
        <w:tc>
          <w:tcPr>
            <w:tcW w:w="6620" w:type="dxa"/>
            <w:vAlign w:val="bottom"/>
            <w:gridSpan w:val="2"/>
          </w:tcPr>
          <w:p>
            <w:pPr>
              <w:ind w:left="7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567,569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921,069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1,450,261</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4"/>
        </w:trPr>
        <w:tc>
          <w:tcPr>
            <w:tcW w:w="670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7"/>
        </w:trPr>
        <w:tc>
          <w:tcPr>
            <w:tcW w:w="80" w:type="dxa"/>
            <w:vAlign w:val="bottom"/>
          </w:tcPr>
          <w:p>
            <w:pPr>
              <w:spacing w:after="0"/>
              <w:rPr>
                <w:sz w:val="19"/>
                <w:szCs w:val="19"/>
                <w:color w:val="auto"/>
              </w:rPr>
            </w:pPr>
          </w:p>
        </w:tc>
        <w:tc>
          <w:tcPr>
            <w:tcW w:w="6620" w:type="dxa"/>
            <w:vAlign w:val="bottom"/>
            <w:gridSpan w:val="2"/>
          </w:tcPr>
          <w:p>
            <w:pPr>
              <w:ind w:left="260"/>
              <w:spacing w:after="0"/>
              <w:rPr>
                <w:sz w:val="20"/>
                <w:szCs w:val="20"/>
                <w:color w:val="auto"/>
              </w:rPr>
            </w:pPr>
            <w:r>
              <w:rPr>
                <w:rFonts w:ascii="Arial" w:cs="Arial" w:eastAsia="Arial" w:hAnsi="Arial"/>
                <w:sz w:val="18"/>
                <w:szCs w:val="18"/>
                <w:color w:val="auto"/>
              </w:rPr>
              <w:t>U.S. Federal – Current</w:t>
            </w: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 Deferred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234,749</w:t>
            </w:r>
          </w:p>
        </w:tc>
      </w:tr>
      <w:tr>
        <w:trPr>
          <w:trHeight w:val="220"/>
        </w:trPr>
        <w:tc>
          <w:tcPr>
            <w:tcW w:w="8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Total U.S. Federal</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234,749</w:t>
            </w:r>
          </w:p>
        </w:tc>
      </w:tr>
      <w:tr>
        <w:trPr>
          <w:trHeight w:val="220"/>
        </w:trPr>
        <w:tc>
          <w:tcPr>
            <w:tcW w:w="8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r>
      <w:tr>
        <w:trPr>
          <w:trHeight w:val="220"/>
        </w:trPr>
        <w:tc>
          <w:tcPr>
            <w:tcW w:w="80" w:type="dxa"/>
            <w:vAlign w:val="bottom"/>
          </w:tcPr>
          <w:p>
            <w:pPr>
              <w:spacing w:after="0"/>
              <w:rPr>
                <w:sz w:val="19"/>
                <w:szCs w:val="19"/>
                <w:color w:val="auto"/>
              </w:rPr>
            </w:pPr>
          </w:p>
        </w:tc>
        <w:tc>
          <w:tcPr>
            <w:tcW w:w="6620" w:type="dxa"/>
            <w:vAlign w:val="bottom"/>
            <w:gridSpan w:val="2"/>
          </w:tcPr>
          <w:p>
            <w:pPr>
              <w:ind w:left="260"/>
              <w:spacing w:after="0"/>
              <w:rPr>
                <w:sz w:val="20"/>
                <w:szCs w:val="20"/>
                <w:color w:val="auto"/>
              </w:rPr>
            </w:pPr>
            <w:r>
              <w:rPr>
                <w:rFonts w:ascii="Arial" w:cs="Arial" w:eastAsia="Arial" w:hAnsi="Arial"/>
                <w:sz w:val="18"/>
                <w:szCs w:val="18"/>
                <w:color w:val="auto"/>
              </w:rPr>
              <w:t>Foreign – Current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18,134</w:t>
            </w:r>
          </w:p>
        </w:tc>
      </w:tr>
      <w:tr>
        <w:trPr>
          <w:trHeight w:val="227"/>
        </w:trPr>
        <w:tc>
          <w:tcPr>
            <w:tcW w:w="8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 Deferred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47,571</w:t>
            </w:r>
          </w:p>
        </w:tc>
      </w:tr>
      <w:tr>
        <w:trPr>
          <w:trHeight w:val="220"/>
        </w:trPr>
        <w:tc>
          <w:tcPr>
            <w:tcW w:w="8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Total 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65,705</w:t>
            </w: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78,272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309,464</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color w:val="auto"/>
        </w:rPr>
        <w:t>The following table reconciles income taxes based on the U.S. statutory tax rate to the Company’s income tax expense for each of the three years presented.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 based on the U.S. statutory tax rate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304,555</w:t>
            </w:r>
          </w:p>
        </w:tc>
        <w:tc>
          <w:tcPr>
            <w:tcW w:w="0" w:type="dxa"/>
            <w:vAlign w:val="bottom"/>
          </w:tcPr>
          <w:p>
            <w:pPr>
              <w:spacing w:after="0"/>
              <w:rPr>
                <w:sz w:val="1"/>
                <w:szCs w:val="1"/>
                <w:color w:val="auto"/>
              </w:rPr>
            </w:pPr>
          </w:p>
        </w:tc>
      </w:tr>
      <w:tr>
        <w:trPr>
          <w:trHeight w:val="227"/>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Foreign income subject to foreign tax rates different than the U.S. statutory rate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10,823</w:t>
            </w:r>
          </w:p>
        </w:tc>
        <w:tc>
          <w:tcPr>
            <w:tcW w:w="0" w:type="dxa"/>
            <w:vAlign w:val="bottom"/>
          </w:tcPr>
          <w:p>
            <w:pPr>
              <w:spacing w:after="0"/>
              <w:rPr>
                <w:sz w:val="1"/>
                <w:szCs w:val="1"/>
                <w:color w:val="auto"/>
              </w:rPr>
            </w:pPr>
          </w:p>
        </w:tc>
      </w:tr>
      <w:tr>
        <w:trPr>
          <w:trHeight w:val="227"/>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27"/>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U.S. tax benefit on certain foreign upstream investments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6700" w:type="dxa"/>
            <w:vAlign w:val="bottom"/>
            <w:gridSpan w:val="3"/>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Change in deferred tax asset valuation allowance related to other foreign exploration</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0" w:type="dxa"/>
            <w:vAlign w:val="bottom"/>
            <w:shd w:val="clear" w:color="auto" w:fill="CCEEFF"/>
          </w:tcPr>
          <w:p>
            <w:pPr>
              <w:spacing w:after="0"/>
              <w:rPr>
                <w:sz w:val="20"/>
                <w:szCs w:val="20"/>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expenditures</w:t>
            </w:r>
          </w:p>
        </w:tc>
        <w:tc>
          <w:tcPr>
            <w:tcW w:w="3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24,748</w:t>
            </w:r>
          </w:p>
        </w:tc>
        <w:tc>
          <w:tcPr>
            <w:tcW w:w="0" w:type="dxa"/>
            <w:vAlign w:val="bottom"/>
          </w:tcPr>
          <w:p>
            <w:pPr>
              <w:spacing w:after="0"/>
              <w:rPr>
                <w:sz w:val="1"/>
                <w:szCs w:val="1"/>
                <w:color w:val="auto"/>
              </w:rPr>
            </w:pPr>
          </w:p>
        </w:tc>
      </w:tr>
      <w:tr>
        <w:trPr>
          <w:trHeight w:val="227"/>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Tax effect on income attributable to noncontrolling interest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(16,656)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(36,471)</w:t>
            </w:r>
          </w:p>
        </w:tc>
        <w:tc>
          <w:tcPr>
            <w:tcW w:w="0" w:type="dxa"/>
            <w:vAlign w:val="bottom"/>
          </w:tcPr>
          <w:p>
            <w:pPr>
              <w:spacing w:after="0"/>
              <w:rPr>
                <w:sz w:val="1"/>
                <w:szCs w:val="1"/>
                <w:color w:val="auto"/>
              </w:rPr>
            </w:pPr>
          </w:p>
        </w:tc>
      </w:tr>
      <w:tr>
        <w:trPr>
          <w:trHeight w:val="227"/>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620" w:type="dxa"/>
            <w:vAlign w:val="bottom"/>
            <w:gridSpan w:val="2"/>
          </w:tcPr>
          <w:p>
            <w:pPr>
              <w:ind w:left="8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309,464</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ind w:left="5520"/>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8"/>
        </w:trPr>
        <w:tc>
          <w:tcPr>
            <w:tcW w:w="67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Income Taxes (Continued)</w:t>
      </w:r>
    </w:p>
    <w:p>
      <w:pPr>
        <w:spacing w:after="0" w:line="396"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color w:val="auto"/>
        </w:rPr>
        <w:t>An analysis of the Company’s deferred tax assets and deferred tax liabilities for the respective periods presented showing the tax effects of significant temporary differences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3"/>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Pr>
          <w:p>
            <w:pPr>
              <w:spacing w:after="0"/>
              <w:rPr>
                <w:sz w:val="17"/>
                <w:szCs w:val="17"/>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2023</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7"/>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7"/>
        </w:trPr>
        <w:tc>
          <w:tcPr>
            <w:tcW w:w="80" w:type="dxa"/>
            <w:vAlign w:val="bottom"/>
          </w:tcPr>
          <w:p>
            <w:pPr>
              <w:spacing w:after="0"/>
              <w:rPr>
                <w:sz w:val="19"/>
                <w:szCs w:val="19"/>
                <w:color w:val="auto"/>
              </w:rPr>
            </w:pPr>
          </w:p>
        </w:tc>
        <w:tc>
          <w:tcPr>
            <w:tcW w:w="8160" w:type="dxa"/>
            <w:vAlign w:val="bottom"/>
            <w:gridSpan w:val="2"/>
          </w:tcPr>
          <w:p>
            <w:pPr>
              <w:ind w:left="380"/>
              <w:spacing w:after="0"/>
              <w:rPr>
                <w:sz w:val="20"/>
                <w:szCs w:val="20"/>
                <w:color w:val="auto"/>
              </w:rPr>
            </w:pPr>
            <w:r>
              <w:rPr>
                <w:rFonts w:ascii="Arial" w:cs="Arial" w:eastAsia="Arial" w:hAnsi="Arial"/>
                <w:sz w:val="18"/>
                <w:szCs w:val="18"/>
                <w:color w:val="auto"/>
              </w:rPr>
              <w:t>Property and leasehold costs</w:t>
            </w: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225,379</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240,065</w:t>
            </w:r>
          </w:p>
        </w:tc>
      </w:tr>
      <w:tr>
        <w:trPr>
          <w:trHeight w:val="227"/>
        </w:trPr>
        <w:tc>
          <w:tcPr>
            <w:tcW w:w="8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Liabilities for dismantlements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34,258</w:t>
            </w:r>
          </w:p>
        </w:tc>
      </w:tr>
      <w:tr>
        <w:trPr>
          <w:trHeight w:val="227"/>
        </w:trPr>
        <w:tc>
          <w:tcPr>
            <w:tcW w:w="80" w:type="dxa"/>
            <w:vAlign w:val="bottom"/>
          </w:tcPr>
          <w:p>
            <w:pPr>
              <w:spacing w:after="0"/>
              <w:rPr>
                <w:sz w:val="19"/>
                <w:szCs w:val="19"/>
                <w:color w:val="auto"/>
              </w:rPr>
            </w:pPr>
          </w:p>
        </w:tc>
        <w:tc>
          <w:tcPr>
            <w:tcW w:w="8160" w:type="dxa"/>
            <w:vAlign w:val="bottom"/>
            <w:gridSpan w:val="2"/>
          </w:tcPr>
          <w:p>
            <w:pPr>
              <w:ind w:left="380"/>
              <w:spacing w:after="0"/>
              <w:rPr>
                <w:sz w:val="20"/>
                <w:szCs w:val="20"/>
                <w:color w:val="auto"/>
              </w:rPr>
            </w:pPr>
            <w:r>
              <w:rPr>
                <w:rFonts w:ascii="Arial" w:cs="Arial" w:eastAsia="Arial" w:hAnsi="Arial"/>
                <w:sz w:val="18"/>
                <w:szCs w:val="18"/>
                <w:color w:val="auto"/>
              </w:rPr>
              <w:t>Postretirement and other employee benefits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66,293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82,437</w:t>
            </w:r>
          </w:p>
        </w:tc>
      </w:tr>
      <w:tr>
        <w:trPr>
          <w:trHeight w:val="227"/>
        </w:trPr>
        <w:tc>
          <w:tcPr>
            <w:tcW w:w="8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 S. net operating loss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357,490</w:t>
            </w:r>
          </w:p>
        </w:tc>
      </w:tr>
      <w:tr>
        <w:trPr>
          <w:trHeight w:val="227"/>
        </w:trPr>
        <w:tc>
          <w:tcPr>
            <w:tcW w:w="80" w:type="dxa"/>
            <w:vAlign w:val="bottom"/>
          </w:tcPr>
          <w:p>
            <w:pPr>
              <w:spacing w:after="0"/>
              <w:rPr>
                <w:sz w:val="19"/>
                <w:szCs w:val="19"/>
                <w:color w:val="auto"/>
              </w:rPr>
            </w:pPr>
          </w:p>
        </w:tc>
        <w:tc>
          <w:tcPr>
            <w:tcW w:w="8160" w:type="dxa"/>
            <w:vAlign w:val="bottom"/>
            <w:gridSpan w:val="2"/>
          </w:tcPr>
          <w:p>
            <w:pPr>
              <w:ind w:left="380"/>
              <w:spacing w:after="0"/>
              <w:rPr>
                <w:sz w:val="20"/>
                <w:szCs w:val="20"/>
                <w:color w:val="auto"/>
              </w:rPr>
            </w:pPr>
            <w:r>
              <w:rPr>
                <w:rFonts w:ascii="Arial" w:cs="Arial" w:eastAsia="Arial" w:hAnsi="Arial"/>
                <w:sz w:val="18"/>
                <w:szCs w:val="18"/>
                <w:color w:val="auto"/>
              </w:rPr>
              <w:t>Investment in partnership</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9,096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14,655</w:t>
            </w:r>
          </w:p>
        </w:tc>
      </w:tr>
      <w:tr>
        <w:trPr>
          <w:trHeight w:val="227"/>
        </w:trPr>
        <w:tc>
          <w:tcPr>
            <w:tcW w:w="8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48,778</w:t>
            </w:r>
          </w:p>
        </w:tc>
      </w:tr>
      <w:tr>
        <w:trPr>
          <w:trHeight w:val="220"/>
        </w:trPr>
        <w:tc>
          <w:tcPr>
            <w:tcW w:w="80" w:type="dxa"/>
            <w:vAlign w:val="bottom"/>
          </w:tcPr>
          <w:p>
            <w:pPr>
              <w:spacing w:after="0"/>
              <w:rPr>
                <w:sz w:val="19"/>
                <w:szCs w:val="19"/>
                <w:color w:val="auto"/>
              </w:rPr>
            </w:pPr>
          </w:p>
        </w:tc>
        <w:tc>
          <w:tcPr>
            <w:tcW w:w="8160" w:type="dxa"/>
            <w:vAlign w:val="bottom"/>
            <w:gridSpan w:val="2"/>
          </w:tcPr>
          <w:p>
            <w:pPr>
              <w:ind w:left="900"/>
              <w:spacing w:after="0"/>
              <w:rPr>
                <w:sz w:val="20"/>
                <w:szCs w:val="20"/>
                <w:color w:val="auto"/>
              </w:rPr>
            </w:pPr>
            <w:r>
              <w:rPr>
                <w:rFonts w:ascii="Arial" w:cs="Arial" w:eastAsia="Arial" w:hAnsi="Arial"/>
                <w:sz w:val="18"/>
                <w:szCs w:val="18"/>
                <w:color w:val="auto"/>
              </w:rPr>
              <w:t>Total gross deferred tax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727,433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777,683</w:t>
            </w:r>
          </w:p>
        </w:tc>
      </w:tr>
      <w:tr>
        <w:trPr>
          <w:trHeight w:val="227"/>
        </w:trPr>
        <w:tc>
          <w:tcPr>
            <w:tcW w:w="8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(149,498)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(146,861)</w:t>
            </w:r>
          </w:p>
        </w:tc>
      </w:tr>
      <w:tr>
        <w:trPr>
          <w:trHeight w:val="220"/>
        </w:trPr>
        <w:tc>
          <w:tcPr>
            <w:tcW w:w="8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2"/>
          </w:tcPr>
          <w:p>
            <w:pPr>
              <w:ind w:left="90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577,935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630,822</w:t>
            </w:r>
          </w:p>
        </w:tc>
      </w:tr>
      <w:tr>
        <w:trPr>
          <w:trHeight w:val="207"/>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7"/>
        </w:trPr>
        <w:tc>
          <w:tcPr>
            <w:tcW w:w="80" w:type="dxa"/>
            <w:vAlign w:val="bottom"/>
          </w:tcPr>
          <w:p>
            <w:pPr>
              <w:spacing w:after="0"/>
              <w:rPr>
                <w:sz w:val="19"/>
                <w:szCs w:val="19"/>
                <w:color w:val="auto"/>
              </w:rPr>
            </w:pPr>
          </w:p>
        </w:tc>
        <w:tc>
          <w:tcPr>
            <w:tcW w:w="8160" w:type="dxa"/>
            <w:vAlign w:val="bottom"/>
            <w:gridSpan w:val="2"/>
          </w:tcPr>
          <w:p>
            <w:pPr>
              <w:ind w:left="380"/>
              <w:spacing w:after="0"/>
              <w:rPr>
                <w:sz w:val="20"/>
                <w:szCs w:val="20"/>
                <w:color w:val="auto"/>
              </w:rPr>
            </w:pPr>
            <w:r>
              <w:rPr>
                <w:rFonts w:ascii="Arial" w:cs="Arial" w:eastAsia="Arial" w:hAnsi="Arial"/>
                <w:sz w:val="18"/>
                <w:szCs w:val="18"/>
                <w:color w:val="auto"/>
              </w:rPr>
              <w:t>Deferred tax on undistributed foreign earnings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7"/>
        </w:trPr>
        <w:tc>
          <w:tcPr>
            <w:tcW w:w="8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depreciation, depletion and amortization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(811,178)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(847,981)</w:t>
            </w:r>
          </w:p>
        </w:tc>
      </w:tr>
      <w:tr>
        <w:trPr>
          <w:trHeight w:val="227"/>
        </w:trPr>
        <w:tc>
          <w:tcPr>
            <w:tcW w:w="8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deferred tax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(54,052)</w:t>
            </w:r>
          </w:p>
        </w:tc>
      </w:tr>
      <w:tr>
        <w:trPr>
          <w:trHeight w:val="220"/>
        </w:trPr>
        <w:tc>
          <w:tcPr>
            <w:tcW w:w="8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Total gross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(913,725)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(907,033)</w:t>
            </w:r>
          </w:p>
        </w:tc>
      </w:tr>
      <w:tr>
        <w:trPr>
          <w:trHeight w:val="220"/>
        </w:trPr>
        <w:tc>
          <w:tcPr>
            <w:tcW w:w="80" w:type="dxa"/>
            <w:vAlign w:val="bottom"/>
          </w:tcPr>
          <w:p>
            <w:pPr>
              <w:spacing w:after="0"/>
              <w:rPr>
                <w:sz w:val="19"/>
                <w:szCs w:val="19"/>
                <w:color w:val="auto"/>
              </w:rPr>
            </w:pPr>
          </w:p>
        </w:tc>
        <w:tc>
          <w:tcPr>
            <w:tcW w:w="8160" w:type="dxa"/>
            <w:vAlign w:val="bottom"/>
            <w:gridSpan w:val="2"/>
          </w:tcPr>
          <w:p>
            <w:pPr>
              <w:ind w:left="900"/>
              <w:spacing w:after="0"/>
              <w:rPr>
                <w:sz w:val="20"/>
                <w:szCs w:val="20"/>
                <w:color w:val="auto"/>
              </w:rPr>
            </w:pPr>
            <w:r>
              <w:rPr>
                <w:rFonts w:ascii="Arial" w:cs="Arial" w:eastAsia="Arial" w:hAnsi="Arial"/>
                <w:sz w:val="18"/>
                <w:szCs w:val="18"/>
                <w:color w:val="auto"/>
              </w:rPr>
              <w:t>Net deferred tax (liabilities) assets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(335,790)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(276,211)</w:t>
            </w:r>
          </w:p>
        </w:tc>
      </w:tr>
      <w:tr>
        <w:trPr>
          <w:trHeight w:val="20"/>
        </w:trPr>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management’s judgment, the net deferred tax assets in the preceding table are more likely than not to be realized based on the consideration of deferred tax liability reversals and future taxable income. The valuation allowance for deferred tax assets relates primarily to tax assets arising in foreign tax jurisdictions that in the judgment of management at the present time are more likely than not to be unrealized. The valuation allowance increased $2.6 million in 2024, related all to non-U.S. items. Subsequent reductions of the valuation allowance are expected to be reported as reductions of tax expense assuming no offsetting change in the deferred tax asset.</w:t>
      </w:r>
    </w:p>
    <w:p>
      <w:pPr>
        <w:spacing w:after="0" w:line="76"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The Company has a U.S. net operating loss carryforward of $1.4 billion at year-end 2024 with a corresponding deferred tax asset of $289.6 million. The Company believes the U.S. net operating loss being carried forward will more likely than not be utilized in future periods prior to expirations in 2036 and 2037.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Currently, the Company considers $100 million of Canada’s past foreign earnings not permanently reinvested, with an accompanying</w:t>
      </w:r>
    </w:p>
    <w:p>
      <w:pPr>
        <w:spacing w:after="0" w:line="23"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$5 million liability. At December 31, 2024, $1.5 billion of past foreign earnings are considered permanently reinvested. The Company closely and routinely monitors these reinvestment positions considering underlying facts and circumstances pertinent to our business and the future operation of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 Income Tax Positions</w:t>
      </w:r>
    </w:p>
    <w:p>
      <w:pPr>
        <w:spacing w:after="0" w:line="11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financial statement recognition of the benefit for a tax position is dependent upon the benefit being more likely than not to be sustainable upon ultimate settlement. If this threshold is met, the tax benefit is then measured and recognized at the largest amount that is greater than 50% likely of being realized upon ultimate settlement. Liabilities associated with uncertain income tax positions are included in “Other taxes payable” and “Deferred credits and other liabilities” in the Consolidated Balance Sheets for current and long-term portions, respectively. A reconciliation of the beginning and ending amount of the consolidated liability for unrecognized income tax benefits during the three years presented is shown in the following table.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Income Taxes (Continued)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27"/>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Additions for tax positions related to current year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7"/>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Additions for tax positions related to prior year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20"/>
        </w:trPr>
        <w:tc>
          <w:tcPr>
            <w:tcW w:w="80" w:type="dxa"/>
            <w:vAlign w:val="bottom"/>
          </w:tcPr>
          <w:p>
            <w:pPr>
              <w:spacing w:after="0"/>
              <w:rPr>
                <w:sz w:val="19"/>
                <w:szCs w:val="19"/>
                <w:color w:val="auto"/>
              </w:rPr>
            </w:pPr>
          </w:p>
        </w:tc>
        <w:tc>
          <w:tcPr>
            <w:tcW w:w="6620" w:type="dxa"/>
            <w:vAlign w:val="bottom"/>
            <w:gridSpan w:val="2"/>
          </w:tcPr>
          <w:p>
            <w:pPr>
              <w:ind w:left="60"/>
              <w:spacing w:after="0"/>
              <w:rPr>
                <w:sz w:val="20"/>
                <w:szCs w:val="20"/>
                <w:color w:val="auto"/>
              </w:rPr>
            </w:pPr>
            <w:r>
              <w:rPr>
                <w:rFonts w:ascii="Arial" w:cs="Arial" w:eastAsia="Arial" w:hAnsi="Arial"/>
                <w:sz w:val="18"/>
                <w:szCs w:val="18"/>
                <w:color w:val="auto"/>
              </w:rPr>
              <w:t>Balance at December 31</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r>
      <w:tr>
        <w:trPr>
          <w:trHeight w:val="20"/>
        </w:trPr>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additions or settlements to the above liability affect the Company’s effective income tax rate in the respective period of change. The Company accounts for any applicable interest and penalties on uncertain tax positions as a component of income tax expense. The Company also had other recorded liabilities of $0.3 million as of December 31, 2024, 2023 and 2022, respectively, for interest and penalties associated with uncertain tax positions. There were no interest or penalties associated with uncertain tax positions included in income tax expense for any period presented.</w:t>
      </w:r>
    </w:p>
    <w:p>
      <w:pPr>
        <w:spacing w:after="0" w:line="76" w:lineRule="exact"/>
        <w:rPr>
          <w:sz w:val="20"/>
          <w:szCs w:val="20"/>
          <w:color w:val="auto"/>
        </w:rPr>
      </w:pPr>
    </w:p>
    <w:p>
      <w:pPr>
        <w:ind w:right="520"/>
        <w:spacing w:after="0" w:line="285" w:lineRule="auto"/>
        <w:rPr>
          <w:sz w:val="20"/>
          <w:szCs w:val="20"/>
          <w:color w:val="auto"/>
        </w:rPr>
      </w:pPr>
      <w:r>
        <w:rPr>
          <w:rFonts w:ascii="Arial" w:cs="Arial" w:eastAsia="Arial" w:hAnsi="Arial"/>
          <w:sz w:val="17"/>
          <w:szCs w:val="17"/>
          <w:color w:val="auto"/>
        </w:rPr>
        <w:t>In 2025, the Company currently does not expect to add to the provision for uncertain tax positions. Although existing liabilities could be reduced by settlement with taxing authorities or due to statute of limitations closing, the Company believes that the changes in its unrecognized tax benefits due to these events will not have a material impact on the Consolidated Statement of Operations during 2025.</w:t>
      </w:r>
    </w:p>
    <w:p>
      <w:pPr>
        <w:spacing w:after="0" w:line="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December 31, 2024, the earliest years remaining open for audit and/or settlement in the Company’s major taxing jurisdictions are as follows: United States – 2016; Canada – 2016; and Malaysia – 2017. The Company has retained certain possible liabilities and rights to income tax receivables relating to Malaysia for the years prior to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Incentive Plans</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Murphy utilizes cash-based and/or share-based incentive awards to supplement normal salaries as compensation for executive management and certain employees. For share-based awards that qualify for equity accounting, costs are recognized as an expense in the Consolidated Statements of Operations, using a grant date fair value-based measurement method, over the periods that the awards vest. For cash-settled equity awards that are required to be accounted for under liability accounting rules, costs are recognized as expense using a fair value-based measurement method over the vesting period, but expense is adjusted as necessary through the date the award value is finally determined. Total expense for liability awards is ultimately adjusted to the final intrinsic value for the award.</w:t>
      </w:r>
    </w:p>
    <w:p>
      <w:pPr>
        <w:spacing w:after="0" w:line="80"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The Company currently has outstanding incentive awards issued to certain employees under the Annual Incentive Plan (AIP), the 2018 Long-Term Incentive Plan (2018 Long-Term Plan) and the 2020 Long-Term Incentive Plan (2020 Long-Term Plan).</w:t>
      </w:r>
    </w:p>
    <w:p>
      <w:pPr>
        <w:spacing w:after="0" w:line="5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2020 Long-Term Plan authorizes the Committee to make grants of the Company’s common stock to employees. These grants may be in the form of stock options (nonqualified or incentive), SARs, restricted stock, RSUs, performance units, performance shares, dividend equivalents and other stock-based incentives. The 2020 Long-Term Plan expires in 2030. A total of 5 million shares are issuable during the life of the 2020 Long-Term Plan. Shares issued pursuant to awards granted under this Plan may be shares that are authorized and unissued or shares that were reacquired by the Company, including shares purchased in the open market. Share awards that have been canceled, expired, forfeited or otherwise not issued under an award shall not count as shares issued under this Plan. Based on awards made to date, 1.2 million shares are available for grant under the 2020 Long-Term Plan at December 31, 2024.</w:t>
      </w:r>
    </w:p>
    <w:p>
      <w:pPr>
        <w:spacing w:after="0" w:line="82" w:lineRule="exact"/>
        <w:rPr>
          <w:sz w:val="20"/>
          <w:szCs w:val="20"/>
          <w:color w:val="auto"/>
        </w:rPr>
      </w:pPr>
    </w:p>
    <w:p>
      <w:pPr>
        <w:ind w:right="940"/>
        <w:spacing w:after="0" w:line="278" w:lineRule="auto"/>
        <w:rPr>
          <w:sz w:val="20"/>
          <w:szCs w:val="20"/>
          <w:color w:val="auto"/>
        </w:rPr>
      </w:pPr>
      <w:r>
        <w:rPr>
          <w:rFonts w:ascii="Arial" w:cs="Arial" w:eastAsia="Arial" w:hAnsi="Arial"/>
          <w:sz w:val="18"/>
          <w:szCs w:val="18"/>
          <w:color w:val="auto"/>
        </w:rPr>
        <w:t>The Company also has a Stock Plan for Non-Employee Directors (NEDs) that permits the issuance of RSUs and stock options or a combination thereof to the Company’s NEDs.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Incentive Plans (Continued)</w:t>
      </w:r>
    </w:p>
    <w:p>
      <w:pPr>
        <w:spacing w:after="0" w:line="396"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The Company currently has outstanding incentive awards issued to Directors under the 2021 Stock Plan for NEDs (2021 NED Plan) and the 2018 Stock Plan for NEDs. All awards on or after May 12, 2021, were made under the 2021 NED Plan.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generally expects to issue treasury shares to satisfy the vesting of restricted stock and RSUs.</w:t>
      </w:r>
    </w:p>
    <w:p>
      <w:pPr>
        <w:spacing w:after="0" w:line="114"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color w:val="auto"/>
        </w:rPr>
        <w:t>Amounts recognized in the financial statements with respect to share-based plans for each of the three years presented are shown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Compensation charged against income before income tax benefit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74,587</w:t>
            </w:r>
          </w:p>
        </w:tc>
      </w:tr>
      <w:tr>
        <w:trPr>
          <w:trHeight w:val="245"/>
        </w:trPr>
        <w:tc>
          <w:tcPr>
            <w:tcW w:w="6700" w:type="dxa"/>
            <w:vAlign w:val="bottom"/>
            <w:gridSpan w:val="3"/>
          </w:tcPr>
          <w:p>
            <w:pPr>
              <w:ind w:left="20"/>
              <w:spacing w:after="0"/>
              <w:rPr>
                <w:sz w:val="20"/>
                <w:szCs w:val="20"/>
                <w:color w:val="auto"/>
              </w:rPr>
            </w:pPr>
            <w:r>
              <w:rPr>
                <w:rFonts w:ascii="Arial" w:cs="Arial" w:eastAsia="Arial" w:hAnsi="Arial"/>
                <w:sz w:val="18"/>
                <w:szCs w:val="18"/>
                <w:color w:val="auto"/>
              </w:rPr>
              <w:t>Related income tax benefit recognized in income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12,710</w:t>
            </w:r>
          </w:p>
        </w:tc>
      </w:tr>
    </w:tbl>
    <w:p>
      <w:pPr>
        <w:spacing w:after="0" w:line="16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of December 31, 2024, there were $46.9 million in compensation costs, to be expensed over approximately the next three years, related to unvested share-based compensation arrangements granted by the Company. Employees receive net shares, after applicable withholding obligations, upon each stock option exercise and RSU vest.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Equity-Settled Awards</w:t>
      </w:r>
    </w:p>
    <w:p>
      <w:pPr>
        <w:spacing w:after="0" w:line="11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PERFORMANCE-BASED RESTRICTED STOCK UNITS – PSUs to be settled in common shares were granted in 2022, 2023 and 2024 under the 2020 Long-Term Plan. Each grant will vest if the Company achieves specific performance objectives at the end of the designated performance period. Additional shares may be awarded if performance objectives are exceeded. If performance goals are not met, PSUs will not vest, but the recognized compensation cost associated with the stock award would not be reversed. The performance conditions for the PSUs are weighted 80% on the Company’s total shareholder return (TSR) relative to an industry peer group and 20% on the return on average capital employed (ROACE), measured over the applicable performance period. ROACE is calculated by dividing the Company’s EBITDA by the average of the opening and closing Capital Employed (the sum of total equity and short-term and long-term debt). During the performance period, PSUs are subject to transfer restrictions and are subject to forfeiture if a grantee terminates for reasons other than retirement, disability or death. Termination for these three reasons will lead to a pro rata award of amounts earned. No dividends are paid, nor do voting rights exist on awards of PSUs prior to their settlement.</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the PSUs based on the Company’s TSR was estimated on the date of grant using a Monte Carlo valuation model. Expected volatility was based on daily historical volatility of the Company’s stock price compared to a peer group average over a three-year performance measurement period. The risk-free interest rate is based on the yield curve of three-year U.S. Treasury bonds, and the stock beta was calculated using three years of historical averages of daily stock data for Murphy and the peer group. The assumptions used in the valuation of the performance awards granted in 2024, 2023 and 2022 are presented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1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8"/>
                <w:szCs w:val="18"/>
                <w:color w:val="auto"/>
              </w:rPr>
              <w:t>2022</w:t>
            </w: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grant date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$41.95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$60.46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$47.37</w:t>
            </w:r>
          </w:p>
        </w:tc>
      </w:tr>
      <w:tr>
        <w:trPr>
          <w:trHeight w:val="227"/>
        </w:trPr>
        <w:tc>
          <w:tcPr>
            <w:tcW w:w="5380" w:type="dxa"/>
            <w:vAlign w:val="bottom"/>
          </w:tcPr>
          <w:p>
            <w:pPr>
              <w:ind w:left="20"/>
              <w:spacing w:after="0"/>
              <w:rPr>
                <w:sz w:val="20"/>
                <w:szCs w:val="20"/>
                <w:color w:val="auto"/>
              </w:rPr>
            </w:pPr>
            <w:r>
              <w:rPr>
                <w:rFonts w:ascii="Arial" w:cs="Arial" w:eastAsia="Arial" w:hAnsi="Arial"/>
                <w:sz w:val="18"/>
                <w:szCs w:val="18"/>
                <w:color w:val="auto"/>
              </w:rPr>
              <w:t>Assumptions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5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Expected volatility</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50.00%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- 81.00%</w:t>
            </w:r>
          </w:p>
        </w:tc>
      </w:tr>
      <w:tr>
        <w:trPr>
          <w:trHeight w:val="227"/>
        </w:trPr>
        <w:tc>
          <w:tcPr>
            <w:tcW w:w="5380" w:type="dxa"/>
            <w:vAlign w:val="bottom"/>
          </w:tcPr>
          <w:p>
            <w:pPr>
              <w:ind w:left="460"/>
              <w:spacing w:after="0"/>
              <w:rPr>
                <w:sz w:val="20"/>
                <w:szCs w:val="20"/>
                <w:color w:val="auto"/>
              </w:rPr>
            </w:pPr>
            <w:r>
              <w:rPr>
                <w:rFonts w:ascii="Arial" w:cs="Arial" w:eastAsia="Arial" w:hAnsi="Arial"/>
                <w:sz w:val="18"/>
                <w:szCs w:val="18"/>
                <w:color w:val="auto"/>
              </w:rPr>
              <w:t>Risk-free interest rate</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rPr>
              <w:t>4.14%</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3.90%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1000" w:type="dxa"/>
            <w:vAlign w:val="bottom"/>
          </w:tcPr>
          <w:p>
            <w:pPr>
              <w:ind w:left="20"/>
              <w:spacing w:after="0"/>
              <w:rPr>
                <w:sz w:val="20"/>
                <w:szCs w:val="20"/>
                <w:color w:val="auto"/>
              </w:rPr>
            </w:pPr>
            <w:r>
              <w:rPr>
                <w:rFonts w:ascii="Arial" w:cs="Arial" w:eastAsia="Arial" w:hAnsi="Arial"/>
                <w:sz w:val="18"/>
                <w:szCs w:val="18"/>
                <w:color w:val="auto"/>
              </w:rPr>
              <w:t>- 2.85%</w:t>
            </w:r>
          </w:p>
        </w:tc>
      </w:tr>
      <w:tr>
        <w:trPr>
          <w:trHeight w:val="227"/>
        </w:trPr>
        <w:tc>
          <w:tcPr>
            <w:tcW w:w="5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 beta</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1.062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1.034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- 1.200</w:t>
            </w:r>
          </w:p>
        </w:tc>
      </w:tr>
      <w:tr>
        <w:trPr>
          <w:trHeight w:val="245"/>
        </w:trPr>
        <w:tc>
          <w:tcPr>
            <w:tcW w:w="5380" w:type="dxa"/>
            <w:vAlign w:val="bottom"/>
          </w:tcPr>
          <w:p>
            <w:pPr>
              <w:ind w:left="460"/>
              <w:spacing w:after="0"/>
              <w:rPr>
                <w:sz w:val="20"/>
                <w:szCs w:val="20"/>
                <w:color w:val="auto"/>
              </w:rPr>
            </w:pPr>
            <w:r>
              <w:rPr>
                <w:rFonts w:ascii="Arial" w:cs="Arial" w:eastAsia="Arial" w:hAnsi="Arial"/>
                <w:sz w:val="18"/>
                <w:szCs w:val="18"/>
                <w:color w:val="auto"/>
              </w:rPr>
              <w:t>Expected life</w:t>
            </w:r>
          </w:p>
        </w:tc>
        <w:tc>
          <w:tcPr>
            <w:tcW w:w="1980" w:type="dxa"/>
            <w:vAlign w:val="bottom"/>
            <w:gridSpan w:val="2"/>
          </w:tcPr>
          <w:p>
            <w:pPr>
              <w:ind w:left="560"/>
              <w:spacing w:after="0"/>
              <w:rPr>
                <w:sz w:val="20"/>
                <w:szCs w:val="20"/>
                <w:color w:val="auto"/>
              </w:rPr>
            </w:pPr>
            <w:r>
              <w:rPr>
                <w:rFonts w:ascii="Arial" w:cs="Arial" w:eastAsia="Arial" w:hAnsi="Arial"/>
                <w:sz w:val="18"/>
                <w:szCs w:val="18"/>
                <w:b w:val="1"/>
                <w:bCs w:val="1"/>
                <w:color w:val="auto"/>
              </w:rPr>
              <w:t>3.0 years</w:t>
            </w:r>
          </w:p>
        </w:tc>
        <w:tc>
          <w:tcPr>
            <w:tcW w:w="1980" w:type="dxa"/>
            <w:vAlign w:val="bottom"/>
            <w:gridSpan w:val="2"/>
          </w:tcPr>
          <w:p>
            <w:pPr>
              <w:ind w:left="560"/>
              <w:spacing w:after="0"/>
              <w:rPr>
                <w:sz w:val="20"/>
                <w:szCs w:val="20"/>
                <w:color w:val="auto"/>
              </w:rPr>
            </w:pPr>
            <w:r>
              <w:rPr>
                <w:rFonts w:ascii="Arial" w:cs="Arial" w:eastAsia="Arial" w:hAnsi="Arial"/>
                <w:sz w:val="18"/>
                <w:szCs w:val="18"/>
                <w:color w:val="auto"/>
              </w:rPr>
              <w:t>3.0 years</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9"/>
              </w:rPr>
              <w:t>3.0 years</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PSUs based on ROACE was estimated based on the average high/low price of the Company’s stock on the grant date.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Incentive Plans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Changes in PSUs outstanding for each of the last three years are presented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ind w:left="20"/>
              <w:spacing w:after="0"/>
              <w:rPr>
                <w:sz w:val="20"/>
                <w:szCs w:val="20"/>
                <w:color w:val="auto"/>
              </w:rPr>
            </w:pPr>
            <w:r>
              <w:rPr>
                <w:rFonts w:ascii="Arial" w:cs="Arial" w:eastAsia="Arial" w:hAnsi="Arial"/>
                <w:sz w:val="18"/>
                <w:szCs w:val="18"/>
                <w:i w:val="1"/>
                <w:iCs w:val="1"/>
                <w:color w:val="auto"/>
              </w:rPr>
              <w:t>(Number of stock units)</w:t>
            </w:r>
          </w:p>
        </w:tc>
        <w:tc>
          <w:tcPr>
            <w:tcW w:w="1420" w:type="dxa"/>
            <w:vAlign w:val="bottom"/>
          </w:tcPr>
          <w:p>
            <w:pPr>
              <w:jc w:val="right"/>
              <w:ind w:right="41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1,818,188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2,148,467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2,670,756</w:t>
            </w:r>
          </w:p>
        </w:tc>
      </w:tr>
      <w:tr>
        <w:trPr>
          <w:trHeight w:val="227"/>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536,900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409,160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595,700</w:t>
            </w:r>
          </w:p>
        </w:tc>
      </w:tr>
      <w:tr>
        <w:trPr>
          <w:trHeight w:val="227"/>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(938,599)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(408,135)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(654,177)</w:t>
            </w:r>
          </w:p>
        </w:tc>
      </w:tr>
      <w:tr>
        <w:trPr>
          <w:trHeight w:val="227"/>
        </w:trPr>
        <w:tc>
          <w:tcPr>
            <w:tcW w:w="67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(24,068)</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(331,304)</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(463,812)</w:t>
            </w: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Outstanding at end of year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1,392,421</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1,818,188</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2,148,467</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TIME-BASED RESTRICTED STOCK UNITS – Time-based RSUs have been granted to the Company’s NEDs under the 2021 NED Plan, and to certain employees under the 2020 Long-Term Plan.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time-based RSUs awarded for each of the last three years is presented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0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Type of Plan</w:t>
            </w:r>
          </w:p>
        </w:tc>
        <w:tc>
          <w:tcPr>
            <w:tcW w:w="3220" w:type="dxa"/>
            <w:vAlign w:val="bottom"/>
            <w:tcBorders>
              <w:bottom w:val="single" w:sz="8" w:color="CCEEFF"/>
            </w:tcBorders>
          </w:tcPr>
          <w:p>
            <w:pPr>
              <w:ind w:left="760"/>
              <w:spacing w:after="0"/>
              <w:rPr>
                <w:sz w:val="20"/>
                <w:szCs w:val="20"/>
                <w:color w:val="auto"/>
              </w:rPr>
            </w:pPr>
            <w:r>
              <w:rPr>
                <w:rFonts w:ascii="Arial" w:cs="Arial" w:eastAsia="Arial" w:hAnsi="Arial"/>
                <w:sz w:val="18"/>
                <w:szCs w:val="18"/>
                <w:b w:val="1"/>
                <w:bCs w:val="1"/>
                <w:color w:val="auto"/>
              </w:rPr>
              <w:t>Valuation Methodology</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1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20"/>
        </w:trPr>
        <w:tc>
          <w:tcPr>
            <w:tcW w:w="2500" w:type="dxa"/>
            <w:vAlign w:val="bottom"/>
            <w:shd w:val="clear" w:color="auto" w:fill="CCEEFF"/>
          </w:tcPr>
          <w:p>
            <w:pPr>
              <w:ind w:left="20"/>
              <w:spacing w:after="0" w:line="221" w:lineRule="exact"/>
              <w:rPr>
                <w:sz w:val="20"/>
                <w:szCs w:val="20"/>
                <w:color w:val="auto"/>
              </w:rPr>
            </w:pPr>
            <w:r>
              <w:rPr>
                <w:rFonts w:ascii="Arial" w:cs="Arial" w:eastAsia="Arial" w:hAnsi="Arial"/>
                <w:sz w:val="18"/>
                <w:szCs w:val="18"/>
                <w:color w:val="auto"/>
              </w:rPr>
              <w:t xml:space="preserve">Non-Employee Directors </w:t>
            </w:r>
            <w:r>
              <w:rPr>
                <w:rFonts w:ascii="Arial" w:cs="Arial" w:eastAsia="Arial" w:hAnsi="Arial"/>
                <w:sz w:val="23"/>
                <w:szCs w:val="23"/>
                <w:color w:val="auto"/>
                <w:vertAlign w:val="superscript"/>
              </w:rPr>
              <w:t>1</w:t>
            </w:r>
          </w:p>
        </w:tc>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Closing Stock Price at Grant Date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$30.26 - $45.70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$43.27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$32.84</w:t>
            </w:r>
          </w:p>
        </w:tc>
        <w:tc>
          <w:tcPr>
            <w:tcW w:w="0" w:type="dxa"/>
            <w:vAlign w:val="bottom"/>
          </w:tcPr>
          <w:p>
            <w:pPr>
              <w:spacing w:after="0"/>
              <w:rPr>
                <w:sz w:val="1"/>
                <w:szCs w:val="1"/>
                <w:color w:val="auto"/>
              </w:rPr>
            </w:pPr>
          </w:p>
        </w:tc>
      </w:tr>
      <w:tr>
        <w:trPr>
          <w:trHeight w:val="174"/>
        </w:trPr>
        <w:tc>
          <w:tcPr>
            <w:tcW w:w="2500" w:type="dxa"/>
            <w:vAlign w:val="bottom"/>
            <w:vMerge w:val="restart"/>
          </w:tcPr>
          <w:p>
            <w:pPr>
              <w:ind w:left="20"/>
              <w:spacing w:after="0"/>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2</w:t>
            </w:r>
          </w:p>
        </w:tc>
        <w:tc>
          <w:tcPr>
            <w:tcW w:w="3220" w:type="dxa"/>
            <w:vAlign w:val="bottom"/>
          </w:tcPr>
          <w:p>
            <w:pPr>
              <w:ind w:left="360"/>
              <w:spacing w:after="0" w:line="174" w:lineRule="exact"/>
              <w:rPr>
                <w:sz w:val="20"/>
                <w:szCs w:val="20"/>
                <w:color w:val="auto"/>
              </w:rPr>
            </w:pPr>
            <w:r>
              <w:rPr>
                <w:rFonts w:ascii="Arial" w:cs="Arial" w:eastAsia="Arial" w:hAnsi="Arial"/>
                <w:sz w:val="18"/>
                <w:szCs w:val="18"/>
                <w:color w:val="auto"/>
              </w:rPr>
              <w:t>Average High/Low Stock Price at</w:t>
            </w: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$37.78 - $45.98</w:t>
            </w: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500" w:type="dxa"/>
            <w:vAlign w:val="bottom"/>
            <w:vMerge w:val="continue"/>
          </w:tcPr>
          <w:p>
            <w:pPr>
              <w:spacing w:after="0"/>
              <w:rPr>
                <w:sz w:val="24"/>
                <w:szCs w:val="24"/>
                <w:color w:val="auto"/>
              </w:rPr>
            </w:pPr>
          </w:p>
        </w:tc>
        <w:tc>
          <w:tcPr>
            <w:tcW w:w="3220" w:type="dxa"/>
            <w:vAlign w:val="bottom"/>
          </w:tcPr>
          <w:p>
            <w:pPr>
              <w:ind w:left="360"/>
              <w:spacing w:after="0"/>
              <w:rPr>
                <w:sz w:val="20"/>
                <w:szCs w:val="20"/>
                <w:color w:val="auto"/>
              </w:rPr>
            </w:pPr>
            <w:r>
              <w:rPr>
                <w:rFonts w:ascii="Arial" w:cs="Arial" w:eastAsia="Arial" w:hAnsi="Arial"/>
                <w:sz w:val="18"/>
                <w:szCs w:val="18"/>
                <w:color w:val="auto"/>
              </w:rPr>
              <w:t>Grant Date</w:t>
            </w:r>
          </w:p>
        </w:tc>
        <w:tc>
          <w:tcPr>
            <w:tcW w:w="1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$42.20</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$29.80 - $49.86</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20" w:hanging="107"/>
        <w:spacing w:after="0"/>
        <w:tabs>
          <w:tab w:leader="none" w:pos="120"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Under the 2021 NED Plan, RSUs granted in 2024 are scheduled to vest in February 2025.</w:t>
      </w:r>
    </w:p>
    <w:p>
      <w:pPr>
        <w:ind w:left="120" w:hanging="107"/>
        <w:spacing w:after="0" w:line="225" w:lineRule="auto"/>
        <w:tabs>
          <w:tab w:leader="none" w:pos="12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The RSUs granted under the 2020 Long-Term Plan generally vest on the third anniversary of the date of grant.</w:t>
      </w:r>
    </w:p>
    <w:p>
      <w:pPr>
        <w:spacing w:after="0" w:line="94"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8"/>
          <w:szCs w:val="18"/>
          <w:color w:val="auto"/>
        </w:rPr>
        <w:t>Changes in RSUs outstanding for each of the last three years are presented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ind w:left="20"/>
              <w:spacing w:after="0"/>
              <w:rPr>
                <w:sz w:val="20"/>
                <w:szCs w:val="20"/>
                <w:color w:val="auto"/>
              </w:rPr>
            </w:pPr>
            <w:r>
              <w:rPr>
                <w:rFonts w:ascii="Arial" w:cs="Arial" w:eastAsia="Arial" w:hAnsi="Arial"/>
                <w:sz w:val="18"/>
                <w:szCs w:val="18"/>
                <w:i w:val="1"/>
                <w:iCs w:val="1"/>
                <w:color w:val="auto"/>
              </w:rPr>
              <w:t>(Number of share units)</w:t>
            </w:r>
          </w:p>
        </w:tc>
        <w:tc>
          <w:tcPr>
            <w:tcW w:w="1420" w:type="dxa"/>
            <w:vAlign w:val="bottom"/>
          </w:tcPr>
          <w:p>
            <w:pPr>
              <w:jc w:val="right"/>
              <w:ind w:right="41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8"/>
                <w:szCs w:val="18"/>
                <w:color w:val="auto"/>
              </w:rPr>
            </w:pP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1,219,584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1,227,792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1,451,438</w:t>
            </w:r>
          </w:p>
        </w:tc>
      </w:tr>
      <w:tr>
        <w:trPr>
          <w:trHeight w:val="227"/>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741,228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556,100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416,492</w:t>
            </w:r>
          </w:p>
        </w:tc>
      </w:tr>
      <w:tr>
        <w:trPr>
          <w:trHeight w:val="227"/>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(330,444)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(517,047)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(462,418)</w:t>
            </w:r>
          </w:p>
        </w:tc>
      </w:tr>
      <w:tr>
        <w:trPr>
          <w:trHeight w:val="227"/>
        </w:trPr>
        <w:tc>
          <w:tcPr>
            <w:tcW w:w="67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(71,768)</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(47,261)</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(177,720)</w:t>
            </w: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Outstanding at end of year</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1,558,600</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1,219,584</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1,227,792</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STOCK OPTIONS – In 2017, the Company ceased the inclusion of stock options and SARs as a part of the long-term incentive compensation mix. As of December 31, 2023 there were no outstanding stock options. As of December 31, 2024, there were no outstanding SARs.</w:t>
      </w:r>
    </w:p>
    <w:p>
      <w:pPr>
        <w:spacing w:after="0" w:line="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2017, the Committee fixed the option price of each option granted at no less than fair market value (FMV) on the date of the grant and fixed the option term at no more than seven years from such date. Each option granted to date under the 2012 Long-Term Incentive Plan has been nonqualified, with a term of seven years and an option price equal to FMV at date of grant. Under these plans, one-half of each grant is generally exercisable after two years and the remainder after three years. For stock options, the number of shares issued upon exercise is reduced for settlement of applicable statutory income tax withholdings owed by the grantee.</w:t>
      </w:r>
    </w:p>
    <w:p>
      <w:pPr>
        <w:spacing w:after="0" w:line="7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fair value of each option award was estimated on the date of grant using the Black-Scholes pricing model based on the assumptions noted in the following table. Expected volatility is based on historical volatility of the Company’s stock and implied volatility on publicly traded at-the-money options on the Company’s stock. The Company estimates the expected term of the options granted based on historical option exercise patterns and considers certain groups of employees exhibiting different behavior. The risk-free interest rate for periods within the expected term of the option is based on the U.S. Treasury yield curve in effect at the time of grant.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Incentive Plans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60" w:type="dxa"/>
            <w:vAlign w:val="bottom"/>
          </w:tcPr>
          <w:p>
            <w:pPr>
              <w:spacing w:after="0"/>
              <w:rPr>
                <w:sz w:val="20"/>
                <w:szCs w:val="20"/>
                <w:color w:val="auto"/>
              </w:rPr>
            </w:pPr>
            <w:r>
              <w:rPr>
                <w:rFonts w:ascii="Arial" w:cs="Arial" w:eastAsia="Arial" w:hAnsi="Arial"/>
                <w:sz w:val="18"/>
                <w:szCs w:val="18"/>
                <w:color w:val="auto"/>
              </w:rPr>
              <w:t>Changes in stock options outstanding during the last three years are presented in the following table.</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8260" w:type="dxa"/>
            <w:vAlign w:val="bottom"/>
          </w:tcPr>
          <w:p>
            <w:pPr>
              <w:spacing w:after="0"/>
              <w:rPr>
                <w:sz w:val="24"/>
                <w:szCs w:val="24"/>
                <w:color w:val="auto"/>
              </w:rPr>
            </w:pPr>
          </w:p>
        </w:tc>
        <w:tc>
          <w:tcPr>
            <w:tcW w:w="1440" w:type="dxa"/>
            <w:vAlign w:val="bottom"/>
            <w:vMerge w:val="restart"/>
          </w:tcPr>
          <w:p>
            <w:pPr>
              <w:jc w:val="right"/>
              <w:ind w:right="211"/>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center"/>
              <w:ind w:right="171"/>
              <w:spacing w:after="0"/>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174"/>
        </w:trPr>
        <w:tc>
          <w:tcPr>
            <w:tcW w:w="82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51"/>
              <w:spacing w:after="0" w:line="174" w:lineRule="exact"/>
              <w:rPr>
                <w:sz w:val="20"/>
                <w:szCs w:val="20"/>
                <w:color w:val="auto"/>
              </w:rPr>
            </w:pPr>
            <w:r>
              <w:rPr>
                <w:rFonts w:ascii="Arial" w:cs="Arial" w:eastAsia="Arial" w:hAnsi="Arial"/>
                <w:sz w:val="18"/>
                <w:szCs w:val="18"/>
                <w:color w:val="auto"/>
                <w:w w:val="98"/>
              </w:rPr>
              <w:t>Exercise</w:t>
            </w:r>
          </w:p>
        </w:tc>
        <w:tc>
          <w:tcPr>
            <w:tcW w:w="0" w:type="dxa"/>
            <w:vAlign w:val="bottom"/>
          </w:tcPr>
          <w:p>
            <w:pPr>
              <w:spacing w:after="0"/>
              <w:rPr>
                <w:sz w:val="1"/>
                <w:szCs w:val="1"/>
                <w:color w:val="auto"/>
              </w:rPr>
            </w:pPr>
          </w:p>
        </w:tc>
      </w:tr>
      <w:tr>
        <w:trPr>
          <w:trHeight w:val="240"/>
        </w:trPr>
        <w:tc>
          <w:tcPr>
            <w:tcW w:w="82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Shares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97"/>
              </w:rPr>
              <w:t>Price</w:t>
            </w:r>
          </w:p>
        </w:tc>
        <w:tc>
          <w:tcPr>
            <w:tcW w:w="0" w:type="dxa"/>
            <w:vAlign w:val="bottom"/>
          </w:tcPr>
          <w:p>
            <w:pPr>
              <w:spacing w:after="0"/>
              <w:rPr>
                <w:sz w:val="1"/>
                <w:szCs w:val="1"/>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(760,500)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44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4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line="20" w:lineRule="exact"/>
              <w:rPr>
                <w:sz w:val="1"/>
                <w:szCs w:val="1"/>
                <w:color w:val="auto"/>
              </w:rPr>
            </w:pPr>
          </w:p>
        </w:tc>
      </w:tr>
      <w:tr>
        <w:trPr>
          <w:trHeight w:val="201"/>
        </w:trPr>
        <w:tc>
          <w:tcPr>
            <w:tcW w:w="8260" w:type="dxa"/>
            <w:vAlign w:val="bottom"/>
            <w:vMerge w:val="continue"/>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Arial" w:cs="Arial" w:eastAsia="Arial" w:hAnsi="Arial"/>
                <w:sz w:val="18"/>
                <w:szCs w:val="18"/>
                <w:color w:val="auto"/>
              </w:rPr>
              <w:t>1,319,500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Cash-Settled Awards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granted phantom stock-based incentive awards to be settled in cash to certain employees in the form of SARs and CRSUs.</w:t>
      </w:r>
    </w:p>
    <w:p>
      <w:pPr>
        <w:spacing w:after="0" w:line="125"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SAR awards have terms similar to stock options. CRSUs generally settle on the third anniversary of the date of grant. Each award granted is settled, net of applicable income tax withholdings, in cash rather than with common shares. Total pretax expense recorded in the Consolidated Statements of Operations for all cash-settled stock-based awards was $1.7 million in 2024, $29.4 million in 2023 and $49.3 million in 2022.</w:t>
      </w:r>
    </w:p>
    <w:p>
      <w:pPr>
        <w:spacing w:after="0" w:line="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Committee also administers the Company’s incentive compensation plans, which provide for annual or periodic cash awards to officers, directors and certain other employees. These cash awards are generally determinable based on the Company achieving specific financial and/or operational objectives. Compensation expense of $37.1 million, $30.9 million and $42.9 million was recorded in 2024, 2023 and 2022, respectively, for these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Employee and Retiree Benefit Plans</w:t>
      </w:r>
    </w:p>
    <w:p>
      <w:pPr>
        <w:spacing w:after="0" w:line="1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PENSION AND OTHER POSTRETIREMENT PLANS – The Company has defined benefit pension plans that are principally noncontributory and cover most full-time employees. All pension plans are funded except for the U.S. and Canadian nonqualified supplemental plans and the U.S. directors’ plan. All U.S. tax qualified plans meet the funding requirements of federal laws and regulations. Contributions to foreign plans are based on local laws and tax regulations. The Company also sponsors other postretirement benefits such as health care and life insurance benefit plans, which are not funded, that cover most retired U.S. employees. The health care benefits are contributory; the life insurance benefits are noncontributory.</w:t>
      </w:r>
    </w:p>
    <w:p>
      <w:pPr>
        <w:spacing w:after="0" w:line="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Upon the disposal of Murphy’s former U.K. refining and marketing assets, the Company retained all vested defined benefit pension obligations associated with former employees of this business. No additional benefits will accrue to these former U.K. employees under the Company’s retirement plan after the date of their separation from Murphy.</w:t>
      </w:r>
    </w:p>
    <w:p>
      <w:pPr>
        <w:spacing w:after="0" w:line="7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GAAP requires the Company to recognize the overfunded or underfunded status of its defined benefit plans as an asset or liability in its Consolidated Balance Sheets and to recognize changes in that funded status between periods through “Accumulated other comprehensive loss”.</w:t>
      </w:r>
    </w:p>
    <w:p>
      <w:pPr>
        <w:spacing w:after="0" w:line="70"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color w:val="auto"/>
        </w:rPr>
        <w:t>The tables that follow provide a reconciliation of the changes in the plans’ benefit obligations, fair value of assets and funded status for the respective periods presented.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Employee and Retiree Benefit Plans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vMerge w:val="restart"/>
          </w:tcPr>
          <w:p>
            <w:pPr>
              <w:jc w:val="right"/>
              <w:ind w:right="11"/>
              <w:spacing w:after="0"/>
              <w:rPr>
                <w:sz w:val="20"/>
                <w:szCs w:val="20"/>
                <w:color w:val="auto"/>
              </w:rPr>
            </w:pPr>
            <w:r>
              <w:rPr>
                <w:rFonts w:ascii="Arial" w:cs="Arial" w:eastAsia="Arial" w:hAnsi="Arial"/>
                <w:sz w:val="18"/>
                <w:szCs w:val="18"/>
                <w:color w:val="auto"/>
              </w:rPr>
              <w:t>Pension</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591"/>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4"/>
          </w:tcPr>
          <w:p>
            <w:pPr>
              <w:jc w:val="center"/>
              <w:ind w:right="191"/>
              <w:spacing w:after="0" w:line="174" w:lineRule="exact"/>
              <w:rPr>
                <w:sz w:val="20"/>
                <w:szCs w:val="20"/>
                <w:color w:val="auto"/>
              </w:rPr>
            </w:pPr>
            <w:r>
              <w:rPr>
                <w:rFonts w:ascii="Arial" w:cs="Arial" w:eastAsia="Arial" w:hAnsi="Arial"/>
                <w:sz w:val="18"/>
                <w:szCs w:val="18"/>
                <w:color w:val="auto"/>
                <w:w w:val="99"/>
              </w:rPr>
              <w:t>Postretirement</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Benefits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8"/>
                <w:szCs w:val="18"/>
                <w:color w:val="auto"/>
                <w:w w:val="98"/>
              </w:rPr>
              <w:t>Benefits</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40" w:type="dxa"/>
            <w:vAlign w:val="bottom"/>
            <w:gridSpan w:val="3"/>
          </w:tcPr>
          <w:p>
            <w:pPr>
              <w:ind w:left="20"/>
              <w:spacing w:after="0" w:line="187" w:lineRule="exact"/>
              <w:rPr>
                <w:sz w:val="20"/>
                <w:szCs w:val="20"/>
                <w:color w:val="auto"/>
              </w:rPr>
            </w:pPr>
            <w:r>
              <w:rPr>
                <w:rFonts w:ascii="Arial" w:cs="Arial" w:eastAsia="Arial" w:hAnsi="Arial"/>
                <w:sz w:val="18"/>
                <w:szCs w:val="18"/>
                <w:i w:val="1"/>
                <w:iCs w:val="1"/>
                <w:color w:val="auto"/>
              </w:rPr>
              <w:t>(Thousands of dollars)</w:t>
            </w:r>
          </w:p>
        </w:tc>
        <w:tc>
          <w:tcPr>
            <w:tcW w:w="300" w:type="dxa"/>
            <w:vAlign w:val="bottom"/>
          </w:tcPr>
          <w:p>
            <w:pPr>
              <w:spacing w:after="0"/>
              <w:rPr>
                <w:sz w:val="16"/>
                <w:szCs w:val="16"/>
                <w:color w:val="auto"/>
              </w:rPr>
            </w:pPr>
          </w:p>
        </w:tc>
        <w:tc>
          <w:tcPr>
            <w:tcW w:w="1060" w:type="dxa"/>
            <w:vAlign w:val="bottom"/>
          </w:tcPr>
          <w:p>
            <w:pPr>
              <w:jc w:val="right"/>
              <w:ind w:right="391"/>
              <w:spacing w:after="0" w:line="187"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391"/>
              <w:spacing w:after="0" w:line="187"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91"/>
              <w:spacing w:after="0" w:line="187"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391"/>
              <w:spacing w:after="0" w:line="187"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Obligation at January 1</w:t>
            </w:r>
          </w:p>
        </w:tc>
        <w:tc>
          <w:tcPr>
            <w:tcW w:w="300" w:type="dxa"/>
            <w:vAlign w:val="bottom"/>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699,151</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663,073</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63,808</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67,679</w:t>
            </w: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33,554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Participant contributions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(35,417)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Medicare Part D subsidy</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Exchange rate changes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 xml:space="preserve">Plan amendments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0" w:type="dxa"/>
            <w:vAlign w:val="bottom"/>
            <w:tcBorders>
              <w:top w:val="single" w:sz="8" w:color="CCEEFF"/>
            </w:tcBorders>
            <w:shd w:val="clear" w:color="auto" w:fill="CCEEFF"/>
          </w:tcPr>
          <w:p>
            <w:pPr>
              <w:spacing w:after="0"/>
              <w:rPr>
                <w:sz w:val="19"/>
                <w:szCs w:val="19"/>
                <w:color w:val="auto"/>
              </w:rPr>
            </w:pPr>
          </w:p>
        </w:tc>
        <w:tc>
          <w:tcPr>
            <w:tcW w:w="536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Obligation at December 31</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655,324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54,994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63,808</w:t>
            </w:r>
          </w:p>
        </w:tc>
        <w:tc>
          <w:tcPr>
            <w:tcW w:w="0" w:type="dxa"/>
            <w:vAlign w:val="bottom"/>
          </w:tcPr>
          <w:p>
            <w:pPr>
              <w:spacing w:after="0"/>
              <w:rPr>
                <w:sz w:val="1"/>
                <w:szCs w:val="1"/>
                <w:color w:val="auto"/>
              </w:rPr>
            </w:pPr>
          </w:p>
        </w:tc>
      </w:tr>
      <w:tr>
        <w:trPr>
          <w:trHeight w:val="207"/>
        </w:trPr>
        <w:tc>
          <w:tcPr>
            <w:tcW w:w="544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Fair value of plan assets at January 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477,809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27,317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Participant contributions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Medicare Part D subsidy</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Exchange rate changes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3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Fair value of plan assets at 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492,120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4"/>
        </w:trPr>
        <w:tc>
          <w:tcPr>
            <w:tcW w:w="80" w:type="dxa"/>
            <w:vAlign w:val="bottom"/>
            <w:shd w:val="clear" w:color="auto" w:fill="CCEEFF"/>
          </w:tcPr>
          <w:p>
            <w:pPr>
              <w:spacing w:after="0"/>
              <w:rPr>
                <w:sz w:val="13"/>
                <w:szCs w:val="13"/>
                <w:color w:val="auto"/>
              </w:rPr>
            </w:pPr>
          </w:p>
        </w:tc>
        <w:tc>
          <w:tcPr>
            <w:tcW w:w="5360" w:type="dxa"/>
            <w:vAlign w:val="bottom"/>
            <w:gridSpan w:val="2"/>
            <w:shd w:val="clear" w:color="auto" w:fill="CCEEFF"/>
          </w:tcPr>
          <w:p>
            <w:pPr>
              <w:ind w:left="260"/>
              <w:spacing w:after="0" w:line="154" w:lineRule="exact"/>
              <w:rPr>
                <w:sz w:val="20"/>
                <w:szCs w:val="20"/>
                <w:color w:val="auto"/>
              </w:rPr>
            </w:pPr>
            <w:r>
              <w:rPr>
                <w:rFonts w:ascii="Arial" w:cs="Arial" w:eastAsia="Arial" w:hAnsi="Arial"/>
                <w:sz w:val="17"/>
                <w:szCs w:val="17"/>
                <w:b w:val="1"/>
                <w:bCs w:val="1"/>
                <w:color w:val="auto"/>
              </w:rPr>
              <w:t>Funded status and amounts recognized in the Consolidated</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0" w:type="dxa"/>
            <w:vAlign w:val="bottom"/>
            <w:shd w:val="clear" w:color="auto" w:fill="CCEEFF"/>
          </w:tcPr>
          <w:p>
            <w:pPr>
              <w:spacing w:after="0"/>
              <w:rPr>
                <w:sz w:val="20"/>
                <w:szCs w:val="20"/>
                <w:color w:val="auto"/>
              </w:rPr>
            </w:pPr>
          </w:p>
        </w:tc>
        <w:tc>
          <w:tcPr>
            <w:tcW w:w="5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Balance Sheets at December 31</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40" w:type="dxa"/>
            <w:vAlign w:val="bottom"/>
            <w:gridSpan w:val="3"/>
          </w:tcPr>
          <w:p>
            <w:pPr>
              <w:ind w:left="20"/>
              <w:spacing w:after="0"/>
              <w:rPr>
                <w:sz w:val="20"/>
                <w:szCs w:val="20"/>
                <w:color w:val="auto"/>
              </w:rPr>
            </w:pPr>
            <w:r>
              <w:rPr>
                <w:rFonts w:ascii="Arial" w:cs="Arial" w:eastAsia="Arial" w:hAnsi="Arial"/>
                <w:sz w:val="18"/>
                <w:szCs w:val="18"/>
                <w:color w:val="auto"/>
              </w:rPr>
              <w:t>Deferred charges and other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27"/>
        </w:trPr>
        <w:tc>
          <w:tcPr>
            <w:tcW w:w="5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Deferred credits and other liabilities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(59,375)</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Fund Status and net plan liability recognized at December 31</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(163,204)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(63,808)</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00" w:hanging="87"/>
        <w:spacing w:after="0"/>
        <w:tabs>
          <w:tab w:leader="none" w:pos="10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Actuarial gains in 2024 primarily relate to the increase in the discount rate assumption, which decreases the pension benefit obligation.</w:t>
      </w:r>
    </w:p>
    <w:p>
      <w:pPr>
        <w:spacing w:after="0" w:line="29" w:lineRule="exact"/>
        <w:rPr>
          <w:sz w:val="20"/>
          <w:szCs w:val="20"/>
          <w:color w:val="auto"/>
        </w:rPr>
      </w:pPr>
    </w:p>
    <w:p>
      <w:pPr>
        <w:ind w:left="160" w:right="120" w:hanging="147"/>
        <w:spacing w:after="0" w:line="224" w:lineRule="auto"/>
        <w:tabs>
          <w:tab w:leader="none" w:pos="10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At December 31, 2023, the Company recognized an increase to its domestic plan benefit obligation related to a plan amendment. The amendment provides a permanent increase to benefits for retirees and beneficiaries who commenced payments prior to 2020.</w:t>
      </w:r>
    </w:p>
    <w:p>
      <w:pPr>
        <w:spacing w:after="0" w:line="81"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At December 31, 2024, amounts included in “Accumulated other comprehensive loss” in the Consolidated Balance Sheets, before reduction for associated deferred income taxes, which have not been recognized in net periodic benefit expense are shown in the following table.</w:t>
      </w:r>
    </w:p>
    <w:tbl>
      <w:tblPr>
        <w:tblLayout w:type="fixed"/>
        <w:tblInd w:w="0" w:type="dxa"/>
        <w:tblCellMar>
          <w:top w:w="0" w:type="dxa"/>
          <w:left w:w="0" w:type="dxa"/>
          <w:bottom w:w="0" w:type="dxa"/>
          <w:right w:w="0" w:type="dxa"/>
        </w:tblCellMar>
      </w:tblPr>
      <w:tr>
        <w:trPr>
          <w:trHeight w:val="177"/>
        </w:trPr>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8"/>
                <w:szCs w:val="18"/>
                <w:color w:val="auto"/>
              </w:rPr>
              <w:t>Pension</w:t>
            </w:r>
          </w:p>
        </w:tc>
        <w:tc>
          <w:tcPr>
            <w:tcW w:w="180" w:type="dxa"/>
            <w:vAlign w:val="bottom"/>
          </w:tcPr>
          <w:p>
            <w:pPr>
              <w:spacing w:after="0"/>
              <w:rPr>
                <w:sz w:val="15"/>
                <w:szCs w:val="15"/>
                <w:color w:val="auto"/>
              </w:rPr>
            </w:pPr>
          </w:p>
        </w:tc>
        <w:tc>
          <w:tcPr>
            <w:tcW w:w="1480" w:type="dxa"/>
            <w:vAlign w:val="bottom"/>
          </w:tcPr>
          <w:p>
            <w:pPr>
              <w:jc w:val="center"/>
              <w:ind w:right="111"/>
              <w:spacing w:after="0" w:line="177"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center"/>
              <w:ind w:right="111"/>
              <w:spacing w:after="0" w:line="174" w:lineRule="exact"/>
              <w:rPr>
                <w:sz w:val="20"/>
                <w:szCs w:val="20"/>
                <w:color w:val="auto"/>
              </w:rPr>
            </w:pPr>
            <w:r>
              <w:rPr>
                <w:rFonts w:ascii="Arial" w:cs="Arial" w:eastAsia="Arial" w:hAnsi="Arial"/>
                <w:sz w:val="18"/>
                <w:szCs w:val="18"/>
                <w:color w:val="auto"/>
                <w:w w:val="99"/>
              </w:rPr>
              <w:t>Postretirement</w:t>
            </w:r>
          </w:p>
        </w:tc>
        <w:tc>
          <w:tcPr>
            <w:tcW w:w="0" w:type="dxa"/>
            <w:vAlign w:val="bottom"/>
          </w:tcPr>
          <w:p>
            <w:pPr>
              <w:spacing w:after="0"/>
              <w:rPr>
                <w:sz w:val="1"/>
                <w:szCs w:val="1"/>
                <w:color w:val="auto"/>
              </w:rPr>
            </w:pPr>
          </w:p>
        </w:tc>
      </w:tr>
      <w:tr>
        <w:trPr>
          <w:trHeight w:val="200"/>
        </w:trPr>
        <w:tc>
          <w:tcPr>
            <w:tcW w:w="3760" w:type="dxa"/>
            <w:vAlign w:val="bottom"/>
            <w:gridSpan w:val="3"/>
          </w:tcPr>
          <w:p>
            <w:pPr>
              <w:ind w:left="20"/>
              <w:spacing w:after="0" w:line="201" w:lineRule="exact"/>
              <w:rPr>
                <w:sz w:val="20"/>
                <w:szCs w:val="20"/>
                <w:color w:val="auto"/>
              </w:rPr>
            </w:pPr>
            <w:r>
              <w:rPr>
                <w:rFonts w:ascii="Arial" w:cs="Arial" w:eastAsia="Arial" w:hAnsi="Arial"/>
                <w:sz w:val="18"/>
                <w:szCs w:val="18"/>
                <w:i w:val="1"/>
                <w:iCs w:val="1"/>
                <w:color w:val="auto"/>
              </w:rPr>
              <w:t>(Thousands of dollars)</w:t>
            </w:r>
          </w:p>
        </w:tc>
        <w:tc>
          <w:tcPr>
            <w:tcW w:w="4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Benefits</w:t>
            </w:r>
          </w:p>
        </w:tc>
        <w:tc>
          <w:tcPr>
            <w:tcW w:w="180" w:type="dxa"/>
            <w:vAlign w:val="bottom"/>
          </w:tcPr>
          <w:p>
            <w:pPr>
              <w:spacing w:after="0"/>
              <w:rPr>
                <w:sz w:val="17"/>
                <w:szCs w:val="17"/>
                <w:color w:val="auto"/>
              </w:rPr>
            </w:pPr>
          </w:p>
        </w:tc>
        <w:tc>
          <w:tcPr>
            <w:tcW w:w="1480" w:type="dxa"/>
            <w:vAlign w:val="bottom"/>
          </w:tcPr>
          <w:p>
            <w:pPr>
              <w:jc w:val="center"/>
              <w:ind w:right="111"/>
              <w:spacing w:after="0" w:line="201" w:lineRule="exact"/>
              <w:rPr>
                <w:sz w:val="20"/>
                <w:szCs w:val="20"/>
                <w:color w:val="auto"/>
              </w:rPr>
            </w:pPr>
            <w:r>
              <w:rPr>
                <w:rFonts w:ascii="Arial" w:cs="Arial" w:eastAsia="Arial" w:hAnsi="Arial"/>
                <w:sz w:val="18"/>
                <w:szCs w:val="18"/>
                <w:color w:val="auto"/>
                <w:w w:val="98"/>
              </w:rPr>
              <w:t>Benefits</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40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39,742</w:t>
            </w:r>
          </w:p>
        </w:tc>
        <w:tc>
          <w:tcPr>
            <w:tcW w:w="0" w:type="dxa"/>
            <w:vAlign w:val="bottom"/>
          </w:tcPr>
          <w:p>
            <w:pPr>
              <w:spacing w:after="0"/>
              <w:rPr>
                <w:sz w:val="1"/>
                <w:szCs w:val="1"/>
                <w:color w:val="auto"/>
              </w:rPr>
            </w:pPr>
          </w:p>
        </w:tc>
      </w:tr>
      <w:tr>
        <w:trPr>
          <w:trHeight w:val="227"/>
        </w:trPr>
        <w:tc>
          <w:tcPr>
            <w:tcW w:w="3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Prior service (credit) cost</w:t>
            </w:r>
          </w:p>
        </w:tc>
        <w:tc>
          <w:tcPr>
            <w:tcW w:w="4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43,147</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1991"/>
              <w:spacing w:after="0"/>
              <w:rPr>
                <w:sz w:val="20"/>
                <w:szCs w:val="20"/>
                <w:color w:val="auto"/>
              </w:rPr>
            </w:pPr>
            <w:r>
              <w:rPr>
                <w:rFonts w:ascii="Arial" w:cs="Arial" w:eastAsia="Arial" w:hAnsi="Arial"/>
                <w:sz w:val="18"/>
                <w:szCs w:val="18"/>
                <w:color w:val="auto"/>
              </w:rPr>
              <w:t>88</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202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Employee and Retiree Benefit Plans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The table that follows includes projected benefit obligations, accumulated benefit obligations and fair value of plan assets for plans where the accumulated benefit obligation exceeded the fair value of plan assets.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center"/>
              <w:ind w:left="471"/>
              <w:spacing w:after="0"/>
              <w:rPr>
                <w:sz w:val="20"/>
                <w:szCs w:val="20"/>
                <w:color w:val="auto"/>
              </w:rPr>
            </w:pPr>
            <w:r>
              <w:rPr>
                <w:rFonts w:ascii="Arial" w:cs="Arial" w:eastAsia="Arial" w:hAnsi="Arial"/>
                <w:sz w:val="18"/>
                <w:szCs w:val="18"/>
                <w:color w:val="auto"/>
                <w:w w:val="99"/>
              </w:rPr>
              <w:t>Projected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color w:val="auto"/>
                <w:w w:val="97"/>
              </w:rPr>
              <w:t>Accumulated</w:t>
            </w: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Fair Value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color w:val="auto"/>
                <w:w w:val="97"/>
              </w:rPr>
              <w:t>Benefit Obligations</w:t>
            </w:r>
          </w:p>
        </w:tc>
        <w:tc>
          <w:tcPr>
            <w:tcW w:w="26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Benefit Obligations</w:t>
            </w:r>
          </w:p>
        </w:tc>
        <w:tc>
          <w:tcPr>
            <w:tcW w:w="260" w:type="dxa"/>
            <w:vAlign w:val="bottom"/>
          </w:tcPr>
          <w:p>
            <w:pPr>
              <w:spacing w:after="0"/>
              <w:rPr>
                <w:sz w:val="20"/>
                <w:szCs w:val="20"/>
                <w:color w:val="auto"/>
              </w:rPr>
            </w:pPr>
          </w:p>
        </w:tc>
        <w:tc>
          <w:tcPr>
            <w:tcW w:w="2200" w:type="dxa"/>
            <w:vAlign w:val="bottom"/>
            <w:gridSpan w:val="4"/>
          </w:tcPr>
          <w:p>
            <w:pPr>
              <w:jc w:val="right"/>
              <w:ind w:right="571"/>
              <w:spacing w:after="0"/>
              <w:rPr>
                <w:sz w:val="20"/>
                <w:szCs w:val="20"/>
                <w:color w:val="auto"/>
              </w:rPr>
            </w:pPr>
            <w:r>
              <w:rPr>
                <w:rFonts w:ascii="Arial" w:cs="Arial" w:eastAsia="Arial" w:hAnsi="Arial"/>
                <w:sz w:val="18"/>
                <w:szCs w:val="18"/>
                <w:color w:val="auto"/>
              </w:rPr>
              <w:t>of Plan Assets</w:t>
            </w:r>
          </w:p>
        </w:tc>
        <w:tc>
          <w:tcPr>
            <w:tcW w:w="0" w:type="dxa"/>
            <w:vAlign w:val="bottom"/>
          </w:tcPr>
          <w:p>
            <w:pPr>
              <w:spacing w:after="0"/>
              <w:rPr>
                <w:sz w:val="1"/>
                <w:szCs w:val="1"/>
                <w:color w:val="auto"/>
              </w:rPr>
            </w:pPr>
          </w:p>
        </w:tc>
      </w:tr>
      <w:tr>
        <w:trPr>
          <w:trHeight w:val="187"/>
        </w:trPr>
        <w:tc>
          <w:tcPr>
            <w:tcW w:w="3660" w:type="dxa"/>
            <w:vAlign w:val="bottom"/>
            <w:gridSpan w:val="3"/>
          </w:tcPr>
          <w:p>
            <w:pPr>
              <w:ind w:left="20"/>
              <w:spacing w:after="0" w:line="187" w:lineRule="exact"/>
              <w:rPr>
                <w:sz w:val="20"/>
                <w:szCs w:val="20"/>
                <w:color w:val="auto"/>
              </w:rPr>
            </w:pPr>
            <w:r>
              <w:rPr>
                <w:rFonts w:ascii="Arial" w:cs="Arial" w:eastAsia="Arial" w:hAnsi="Arial"/>
                <w:sz w:val="18"/>
                <w:szCs w:val="18"/>
                <w:i w:val="1"/>
                <w:iCs w:val="1"/>
                <w:color w:val="auto"/>
              </w:rPr>
              <w:t>(Thousands of dollars)</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91"/>
              <w:spacing w:after="0" w:line="187" w:lineRule="exact"/>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11"/>
              <w:spacing w:after="0" w:line="187" w:lineRule="exact"/>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11"/>
              <w:spacing w:after="0" w:line="187"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11"/>
              <w:spacing w:after="0" w:line="187"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11"/>
              <w:spacing w:after="0" w:line="187"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91"/>
              <w:spacing w:after="0" w:line="187" w:lineRule="exact"/>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3660" w:type="dxa"/>
            <w:vAlign w:val="bottom"/>
            <w:gridSpan w:val="3"/>
            <w:shd w:val="clear" w:color="auto" w:fill="CCEEFF"/>
          </w:tcPr>
          <w:p>
            <w:pPr>
              <w:ind w:left="20"/>
              <w:spacing w:after="0" w:line="154" w:lineRule="exact"/>
              <w:rPr>
                <w:sz w:val="20"/>
                <w:szCs w:val="20"/>
                <w:color w:val="auto"/>
              </w:rPr>
            </w:pPr>
            <w:r>
              <w:rPr>
                <w:rFonts w:ascii="Arial" w:cs="Arial" w:eastAsia="Arial" w:hAnsi="Arial"/>
                <w:sz w:val="17"/>
                <w:szCs w:val="17"/>
                <w:color w:val="auto"/>
              </w:rPr>
              <w:t>Funded qualified plans where accumulated</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60" w:type="dxa"/>
            <w:vAlign w:val="bottom"/>
            <w:gridSpan w:val="3"/>
            <w:shd w:val="clear" w:color="auto" w:fill="CCEEFF"/>
          </w:tcPr>
          <w:p>
            <w:pPr>
              <w:ind w:left="20"/>
              <w:spacing w:after="0" w:line="174" w:lineRule="exact"/>
              <w:rPr>
                <w:sz w:val="20"/>
                <w:szCs w:val="20"/>
                <w:color w:val="auto"/>
              </w:rPr>
            </w:pPr>
            <w:r>
              <w:rPr>
                <w:rFonts w:ascii="Arial" w:cs="Arial" w:eastAsia="Arial" w:hAnsi="Arial"/>
                <w:sz w:val="18"/>
                <w:szCs w:val="18"/>
                <w:color w:val="auto"/>
              </w:rPr>
              <w:t>benefit obligation exceeds fair value of plan</w:t>
            </w: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497,947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489,225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477,983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534,751</w:t>
            </w: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523,096</w:t>
            </w: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461,363</w:t>
            </w:r>
          </w:p>
        </w:tc>
        <w:tc>
          <w:tcPr>
            <w:tcW w:w="0" w:type="dxa"/>
            <w:vAlign w:val="bottom"/>
          </w:tcPr>
          <w:p>
            <w:pPr>
              <w:spacing w:after="0"/>
              <w:rPr>
                <w:sz w:val="1"/>
                <w:szCs w:val="1"/>
                <w:color w:val="auto"/>
              </w:rPr>
            </w:pPr>
          </w:p>
        </w:tc>
      </w:tr>
      <w:tr>
        <w:trPr>
          <w:trHeight w:val="174"/>
        </w:trPr>
        <w:tc>
          <w:tcPr>
            <w:tcW w:w="3660" w:type="dxa"/>
            <w:vAlign w:val="bottom"/>
            <w:gridSpan w:val="3"/>
          </w:tcPr>
          <w:p>
            <w:pPr>
              <w:ind w:left="20"/>
              <w:spacing w:after="0" w:line="174" w:lineRule="exact"/>
              <w:rPr>
                <w:sz w:val="20"/>
                <w:szCs w:val="20"/>
                <w:color w:val="auto"/>
              </w:rPr>
            </w:pPr>
            <w:r>
              <w:rPr>
                <w:rFonts w:ascii="Arial" w:cs="Arial" w:eastAsia="Arial" w:hAnsi="Arial"/>
                <w:sz w:val="18"/>
                <w:szCs w:val="18"/>
                <w:color w:val="auto"/>
              </w:rPr>
              <w:t>Unfunded nonqualified and directors’ plans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60" w:type="dxa"/>
            <w:vAlign w:val="bottom"/>
            <w:gridSpan w:val="3"/>
          </w:tcPr>
          <w:p>
            <w:pPr>
              <w:ind w:left="20"/>
              <w:spacing w:after="0" w:line="174" w:lineRule="exact"/>
              <w:rPr>
                <w:sz w:val="20"/>
                <w:szCs w:val="20"/>
                <w:color w:val="auto"/>
              </w:rPr>
            </w:pPr>
            <w:r>
              <w:rPr>
                <w:rFonts w:ascii="Arial" w:cs="Arial" w:eastAsia="Arial" w:hAnsi="Arial"/>
                <w:sz w:val="18"/>
                <w:szCs w:val="18"/>
                <w:color w:val="auto"/>
              </w:rPr>
              <w:t>where accumulated benefit obligation</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145,058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143,859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60" w:type="dxa"/>
            <w:vAlign w:val="bottom"/>
            <w:gridSpan w:val="3"/>
          </w:tcPr>
          <w:p>
            <w:pPr>
              <w:ind w:left="20"/>
              <w:spacing w:after="0"/>
              <w:rPr>
                <w:sz w:val="20"/>
                <w:szCs w:val="20"/>
                <w:color w:val="auto"/>
              </w:rPr>
            </w:pPr>
            <w:r>
              <w:rPr>
                <w:rFonts w:ascii="Arial" w:cs="Arial" w:eastAsia="Arial" w:hAnsi="Arial"/>
                <w:sz w:val="18"/>
                <w:szCs w:val="18"/>
                <w:color w:val="auto"/>
              </w:rPr>
              <w:t>exceeds fair value of plan assets</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151,146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148,661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Unfunded other postretirement plans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that follows provides the components of net periodic benefit expense for each of the three years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1"/>
        </w:trPr>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w w:val="97"/>
              </w:rPr>
              <w:t>Pension Benefits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471"/>
              <w:spacing w:after="0"/>
              <w:rPr>
                <w:sz w:val="20"/>
                <w:szCs w:val="20"/>
                <w:color w:val="auto"/>
              </w:rPr>
            </w:pPr>
            <w:r>
              <w:rPr>
                <w:rFonts w:ascii="Arial" w:cs="Arial" w:eastAsia="Arial" w:hAnsi="Arial"/>
                <w:sz w:val="18"/>
                <w:szCs w:val="18"/>
                <w:color w:val="auto"/>
                <w:w w:val="99"/>
              </w:rPr>
              <w:t>Postretirement Benefits</w:t>
            </w:r>
          </w:p>
        </w:tc>
        <w:tc>
          <w:tcPr>
            <w:tcW w:w="800" w:type="dxa"/>
            <w:vAlign w:val="bottom"/>
            <w:tcBorders>
              <w:bottom w:val="single" w:sz="8" w:color="auto"/>
            </w:tcBorders>
          </w:tcPr>
          <w:p>
            <w:pPr>
              <w:spacing w:after="0"/>
              <w:rPr>
                <w:sz w:val="20"/>
                <w:szCs w:val="20"/>
                <w:color w:val="auto"/>
              </w:rPr>
            </w:pPr>
          </w:p>
        </w:tc>
      </w:tr>
      <w:tr>
        <w:trPr>
          <w:trHeight w:val="180"/>
        </w:trPr>
        <w:tc>
          <w:tcPr>
            <w:tcW w:w="4060" w:type="dxa"/>
            <w:vAlign w:val="bottom"/>
            <w:gridSpan w:val="3"/>
          </w:tcPr>
          <w:p>
            <w:pPr>
              <w:ind w:left="20"/>
              <w:spacing w:after="0" w:line="181" w:lineRule="exact"/>
              <w:rPr>
                <w:sz w:val="20"/>
                <w:szCs w:val="20"/>
                <w:color w:val="auto"/>
              </w:rPr>
            </w:pPr>
            <w:r>
              <w:rPr>
                <w:rFonts w:ascii="Arial" w:cs="Arial" w:eastAsia="Arial" w:hAnsi="Arial"/>
                <w:sz w:val="18"/>
                <w:szCs w:val="18"/>
                <w:i w:val="1"/>
                <w:iCs w:val="1"/>
                <w:color w:val="auto"/>
              </w:rPr>
              <w:t>(Thousands of dollars)</w:t>
            </w:r>
          </w:p>
        </w:tc>
        <w:tc>
          <w:tcPr>
            <w:tcW w:w="240" w:type="dxa"/>
            <w:vAlign w:val="bottom"/>
          </w:tcPr>
          <w:p>
            <w:pPr>
              <w:spacing w:after="0"/>
              <w:rPr>
                <w:sz w:val="15"/>
                <w:szCs w:val="15"/>
                <w:color w:val="auto"/>
              </w:rPr>
            </w:pPr>
          </w:p>
        </w:tc>
        <w:tc>
          <w:tcPr>
            <w:tcW w:w="840" w:type="dxa"/>
            <w:vAlign w:val="bottom"/>
          </w:tcPr>
          <w:p>
            <w:pPr>
              <w:jc w:val="right"/>
              <w:ind w:right="251"/>
              <w:spacing w:after="0" w:line="181" w:lineRule="exact"/>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71"/>
              <w:spacing w:after="0" w:line="181"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71"/>
              <w:spacing w:after="0" w:line="181"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51"/>
              <w:spacing w:after="0" w:line="181"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31"/>
              <w:spacing w:after="0" w:line="181" w:lineRule="exact"/>
              <w:rPr>
                <w:sz w:val="20"/>
                <w:szCs w:val="20"/>
                <w:color w:val="auto"/>
              </w:rPr>
            </w:pPr>
            <w:r>
              <w:rPr>
                <w:rFonts w:ascii="Arial" w:cs="Arial" w:eastAsia="Arial" w:hAnsi="Arial"/>
                <w:sz w:val="18"/>
                <w:szCs w:val="18"/>
                <w:color w:val="auto"/>
                <w:w w:val="94"/>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271"/>
              <w:spacing w:after="0" w:line="181" w:lineRule="exact"/>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0"/>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27"/>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33,554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27"/>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(33,427)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27"/>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Recognized actuarial loss (gain)</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20"/>
        </w:trPr>
        <w:tc>
          <w:tcPr>
            <w:tcW w:w="8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periodic benefit expense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18,923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r>
      <w:tr>
        <w:trPr>
          <w:trHeight w:val="220"/>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pension costs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Total net periodic benefit expense</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19,174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r>
      <w:tr>
        <w:trPr>
          <w:trHeight w:val="20"/>
        </w:trPr>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preceding tables in this note include the following amounts related to foreign benefit plans.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vMerge w:val="restart"/>
          </w:tcPr>
          <w:p>
            <w:pPr>
              <w:ind w:left="960"/>
              <w:spacing w:after="0"/>
              <w:rPr>
                <w:sz w:val="20"/>
                <w:szCs w:val="20"/>
                <w:color w:val="auto"/>
              </w:rPr>
            </w:pPr>
            <w:r>
              <w:rPr>
                <w:rFonts w:ascii="Arial" w:cs="Arial" w:eastAsia="Arial" w:hAnsi="Arial"/>
                <w:sz w:val="18"/>
                <w:szCs w:val="18"/>
                <w:color w:val="auto"/>
              </w:rPr>
              <w:t>Pension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center"/>
              <w:ind w:left="631"/>
              <w:spacing w:after="0"/>
              <w:rPr>
                <w:sz w:val="20"/>
                <w:szCs w:val="20"/>
                <w:color w:val="auto"/>
              </w:rPr>
            </w:pPr>
            <w:r>
              <w:rPr>
                <w:rFonts w:ascii="Arial" w:cs="Arial" w:eastAsia="Arial" w:hAnsi="Arial"/>
                <w:sz w:val="18"/>
                <w:szCs w:val="18"/>
                <w:color w:val="auto"/>
                <w:w w:val="97"/>
              </w:rPr>
              <w:t>Other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center"/>
              <w:ind w:right="231"/>
              <w:spacing w:after="0" w:line="174" w:lineRule="exact"/>
              <w:rPr>
                <w:sz w:val="20"/>
                <w:szCs w:val="20"/>
                <w:color w:val="auto"/>
              </w:rPr>
            </w:pPr>
            <w:r>
              <w:rPr>
                <w:rFonts w:ascii="Arial" w:cs="Arial" w:eastAsia="Arial" w:hAnsi="Arial"/>
                <w:sz w:val="18"/>
                <w:szCs w:val="18"/>
                <w:color w:val="auto"/>
                <w:w w:val="99"/>
              </w:rPr>
              <w:t>Postretirement</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rPr>
              <w:t>Benefits</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color w:val="auto"/>
                <w:w w:val="98"/>
              </w:rPr>
              <w:t>Benefits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80" w:type="dxa"/>
            <w:vAlign w:val="bottom"/>
            <w:gridSpan w:val="3"/>
          </w:tcPr>
          <w:p>
            <w:pPr>
              <w:ind w:left="20"/>
              <w:spacing w:after="0" w:line="181" w:lineRule="exact"/>
              <w:rPr>
                <w:sz w:val="20"/>
                <w:szCs w:val="20"/>
                <w:color w:val="auto"/>
              </w:rPr>
            </w:pPr>
            <w:r>
              <w:rPr>
                <w:rFonts w:ascii="Arial" w:cs="Arial" w:eastAsia="Arial" w:hAnsi="Arial"/>
                <w:sz w:val="18"/>
                <w:szCs w:val="18"/>
                <w:i w:val="1"/>
                <w:iCs w:val="1"/>
                <w:color w:val="auto"/>
              </w:rPr>
              <w:t>(Thousands of dollars)</w:t>
            </w:r>
          </w:p>
        </w:tc>
        <w:tc>
          <w:tcPr>
            <w:tcW w:w="220" w:type="dxa"/>
            <w:vAlign w:val="bottom"/>
          </w:tcPr>
          <w:p>
            <w:pPr>
              <w:spacing w:after="0"/>
              <w:rPr>
                <w:sz w:val="15"/>
                <w:szCs w:val="15"/>
                <w:color w:val="auto"/>
              </w:rPr>
            </w:pPr>
          </w:p>
        </w:tc>
        <w:tc>
          <w:tcPr>
            <w:tcW w:w="1220" w:type="dxa"/>
            <w:vAlign w:val="bottom"/>
          </w:tcPr>
          <w:p>
            <w:pPr>
              <w:jc w:val="right"/>
              <w:ind w:right="431"/>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31"/>
              <w:spacing w:after="0" w:line="181"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 obligation at December 31</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7"/>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103,445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plan liabilities recognized</w:t>
            </w: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(11,983)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5"/>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Net periodic benefit expense (benefit)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880"/>
        </w:trPr>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344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Employee and Retiree Benefit Plans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40"/>
        <w:spacing w:after="0" w:line="278" w:lineRule="auto"/>
        <w:rPr>
          <w:sz w:val="20"/>
          <w:szCs w:val="20"/>
          <w:color w:val="auto"/>
        </w:rPr>
      </w:pPr>
      <w:r>
        <w:rPr>
          <w:rFonts w:ascii="Arial" w:cs="Arial" w:eastAsia="Arial" w:hAnsi="Arial"/>
          <w:sz w:val="18"/>
          <w:szCs w:val="18"/>
          <w:color w:val="auto"/>
        </w:rPr>
        <w:t>The following table provides the weighted-average assumptions used in the measurement of the Company’s benefit obligations at December 31, 2024 and 2023 and net periodic benefit expense for 2024 and 2023.</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right="160"/>
        <w:spacing w:after="0" w:line="254" w:lineRule="auto"/>
        <w:rPr>
          <w:sz w:val="20"/>
          <w:szCs w:val="20"/>
          <w:color w:val="auto"/>
        </w:rPr>
      </w:pPr>
      <w:r>
        <w:rPr>
          <w:rFonts w:ascii="Arial" w:cs="Arial" w:eastAsia="Arial" w:hAnsi="Arial"/>
          <w:sz w:val="17"/>
          <w:szCs w:val="17"/>
          <w:color w:val="auto"/>
        </w:rPr>
        <w:t>Discount rate on obligation, interest cost and service cost</w:t>
      </w:r>
    </w:p>
    <w:p>
      <w:pPr>
        <w:ind w:left="20"/>
        <w:spacing w:after="0"/>
        <w:rPr>
          <w:sz w:val="20"/>
          <w:szCs w:val="20"/>
          <w:color w:val="auto"/>
        </w:rPr>
      </w:pPr>
      <w:r>
        <w:rPr>
          <w:rFonts w:ascii="Arial" w:cs="Arial" w:eastAsia="Arial" w:hAnsi="Arial"/>
          <w:sz w:val="17"/>
          <w:szCs w:val="17"/>
          <w:color w:val="auto"/>
        </w:rPr>
        <w:t>Rate of compensation increase</w:t>
      </w:r>
    </w:p>
    <w:p>
      <w:pPr>
        <w:spacing w:after="0" w:line="38" w:lineRule="exact"/>
        <w:rPr>
          <w:sz w:val="20"/>
          <w:szCs w:val="20"/>
          <w:color w:val="auto"/>
        </w:rPr>
      </w:pPr>
    </w:p>
    <w:p>
      <w:pPr>
        <w:ind w:left="20" w:right="240"/>
        <w:spacing w:after="0" w:line="232" w:lineRule="auto"/>
        <w:rPr>
          <w:sz w:val="20"/>
          <w:szCs w:val="20"/>
          <w:color w:val="auto"/>
        </w:rPr>
      </w:pPr>
      <w:r>
        <w:rPr>
          <w:rFonts w:ascii="Arial" w:cs="Arial" w:eastAsia="Arial" w:hAnsi="Arial"/>
          <w:sz w:val="18"/>
          <w:szCs w:val="18"/>
          <w:color w:val="auto"/>
        </w:rPr>
        <w:t>Cash balance interest credit rate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Expected return on plan assets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Benefit Obligations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Borders>
              <w:bottom w:val="single" w:sz="8" w:color="auto"/>
            </w:tcBorders>
            <w:gridSpan w:val="8"/>
          </w:tcPr>
          <w:p>
            <w:pPr>
              <w:ind w:left="960"/>
              <w:spacing w:after="0"/>
              <w:rPr>
                <w:sz w:val="20"/>
                <w:szCs w:val="20"/>
                <w:color w:val="auto"/>
              </w:rPr>
            </w:pPr>
            <w:r>
              <w:rPr>
                <w:rFonts w:ascii="Arial" w:cs="Arial" w:eastAsia="Arial" w:hAnsi="Arial"/>
                <w:sz w:val="18"/>
                <w:szCs w:val="18"/>
                <w:color w:val="auto"/>
              </w:rPr>
              <w:t>Net Periodic Benefit Expense</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340" w:type="dxa"/>
            <w:vAlign w:val="bottom"/>
            <w:gridSpan w:val="3"/>
            <w:vMerge w:val="restart"/>
          </w:tcPr>
          <w:p>
            <w:pPr>
              <w:jc w:val="center"/>
              <w:ind w:left="611"/>
              <w:spacing w:after="0"/>
              <w:rPr>
                <w:sz w:val="20"/>
                <w:szCs w:val="20"/>
                <w:color w:val="auto"/>
              </w:rPr>
            </w:pPr>
            <w:r>
              <w:rPr>
                <w:rFonts w:ascii="Arial" w:cs="Arial" w:eastAsia="Arial" w:hAnsi="Arial"/>
                <w:sz w:val="18"/>
                <w:szCs w:val="18"/>
                <w:color w:val="auto"/>
                <w:w w:val="98"/>
              </w:rPr>
              <w:t>Pension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left="591"/>
              <w:spacing w:after="0" w:line="167" w:lineRule="exact"/>
              <w:rPr>
                <w:sz w:val="20"/>
                <w:szCs w:val="20"/>
                <w:color w:val="auto"/>
              </w:rPr>
            </w:pPr>
            <w:r>
              <w:rPr>
                <w:rFonts w:ascii="Arial" w:cs="Arial" w:eastAsia="Arial" w:hAnsi="Arial"/>
                <w:sz w:val="18"/>
                <w:szCs w:val="18"/>
                <w:color w:val="auto"/>
                <w:w w:val="97"/>
              </w:rPr>
              <w:t>Other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restart"/>
          </w:tcPr>
          <w:p>
            <w:pPr>
              <w:jc w:val="center"/>
              <w:ind w:left="611"/>
              <w:spacing w:after="0"/>
              <w:rPr>
                <w:sz w:val="20"/>
                <w:szCs w:val="20"/>
                <w:color w:val="auto"/>
              </w:rPr>
            </w:pPr>
            <w:r>
              <w:rPr>
                <w:rFonts w:ascii="Arial" w:cs="Arial" w:eastAsia="Arial" w:hAnsi="Arial"/>
                <w:sz w:val="18"/>
                <w:szCs w:val="18"/>
                <w:color w:val="auto"/>
              </w:rPr>
              <w:t>Pension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left="611"/>
              <w:spacing w:after="0" w:line="167" w:lineRule="exact"/>
              <w:rPr>
                <w:sz w:val="20"/>
                <w:szCs w:val="20"/>
                <w:color w:val="auto"/>
              </w:rPr>
            </w:pPr>
            <w:r>
              <w:rPr>
                <w:rFonts w:ascii="Arial" w:cs="Arial" w:eastAsia="Arial" w:hAnsi="Arial"/>
                <w:sz w:val="18"/>
                <w:szCs w:val="18"/>
                <w:color w:val="auto"/>
                <w:w w:val="97"/>
              </w:rPr>
              <w:t>Other</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4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center"/>
              <w:ind w:right="120"/>
              <w:spacing w:after="0" w:line="174" w:lineRule="exact"/>
              <w:rPr>
                <w:sz w:val="20"/>
                <w:szCs w:val="20"/>
                <w:color w:val="auto"/>
              </w:rPr>
            </w:pPr>
            <w:r>
              <w:rPr>
                <w:rFonts w:ascii="Arial" w:cs="Arial" w:eastAsia="Arial" w:hAnsi="Arial"/>
                <w:sz w:val="18"/>
                <w:szCs w:val="18"/>
                <w:color w:val="auto"/>
                <w:w w:val="99"/>
              </w:rPr>
              <w:t>Postretirement</w:t>
            </w:r>
          </w:p>
        </w:tc>
        <w:tc>
          <w:tcPr>
            <w:tcW w:w="136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center"/>
              <w:spacing w:after="0" w:line="174" w:lineRule="exact"/>
              <w:rPr>
                <w:sz w:val="20"/>
                <w:szCs w:val="20"/>
                <w:color w:val="auto"/>
              </w:rPr>
            </w:pPr>
            <w:r>
              <w:rPr>
                <w:rFonts w:ascii="Arial" w:cs="Arial" w:eastAsia="Arial" w:hAnsi="Arial"/>
                <w:sz w:val="18"/>
                <w:szCs w:val="18"/>
                <w:color w:val="auto"/>
                <w:w w:val="99"/>
              </w:rPr>
              <w:t>Postretirement</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8"/>
                <w:szCs w:val="18"/>
                <w:color w:val="auto"/>
                <w:w w:val="98"/>
              </w:rPr>
              <w:t>Benefits</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gridSpan w:val="3"/>
          </w:tcPr>
          <w:p>
            <w:pPr>
              <w:jc w:val="center"/>
              <w:ind w:left="591"/>
              <w:spacing w:after="0"/>
              <w:rPr>
                <w:sz w:val="20"/>
                <w:szCs w:val="20"/>
                <w:color w:val="auto"/>
              </w:rPr>
            </w:pPr>
            <w:r>
              <w:rPr>
                <w:rFonts w:ascii="Arial" w:cs="Arial" w:eastAsia="Arial" w:hAnsi="Arial"/>
                <w:sz w:val="18"/>
                <w:szCs w:val="18"/>
                <w:color w:val="auto"/>
                <w:w w:val="98"/>
              </w:rPr>
              <w:t>Benefits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8"/>
                <w:szCs w:val="18"/>
                <w:color w:val="auto"/>
              </w:rPr>
              <w:t>Benefits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8"/>
                <w:szCs w:val="18"/>
                <w:color w:val="auto"/>
                <w:w w:val="98"/>
              </w:rPr>
              <w:t>Benefits</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9"/>
              </w:rPr>
              <w:t>December 31,</w:t>
            </w:r>
          </w:p>
        </w:tc>
        <w:tc>
          <w:tcPr>
            <w:tcW w:w="120" w:type="dxa"/>
            <w:vAlign w:val="bottom"/>
          </w:tcPr>
          <w:p>
            <w:pPr>
              <w:spacing w:after="0"/>
              <w:rPr>
                <w:sz w:val="19"/>
                <w:szCs w:val="19"/>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9"/>
              </w:rPr>
              <w:t>December 31,</w:t>
            </w:r>
          </w:p>
        </w:tc>
        <w:tc>
          <w:tcPr>
            <w:tcW w:w="100" w:type="dxa"/>
            <w:vAlign w:val="bottom"/>
          </w:tcPr>
          <w:p>
            <w:pPr>
              <w:spacing w:after="0"/>
              <w:rPr>
                <w:sz w:val="19"/>
                <w:szCs w:val="19"/>
                <w:color w:val="auto"/>
              </w:rPr>
            </w:pPr>
          </w:p>
        </w:tc>
        <w:tc>
          <w:tcPr>
            <w:tcW w:w="1360" w:type="dxa"/>
            <w:vAlign w:val="bottom"/>
            <w:tcBorders>
              <w:bottom w:val="single" w:sz="8" w:color="auto"/>
            </w:tcBorders>
            <w:gridSpan w:val="3"/>
          </w:tcPr>
          <w:p>
            <w:pPr>
              <w:jc w:val="center"/>
              <w:ind w:left="591"/>
              <w:spacing w:after="0"/>
              <w:rPr>
                <w:sz w:val="20"/>
                <w:szCs w:val="20"/>
                <w:color w:val="auto"/>
              </w:rPr>
            </w:pPr>
            <w:r>
              <w:rPr>
                <w:rFonts w:ascii="Arial" w:cs="Arial" w:eastAsia="Arial" w:hAnsi="Arial"/>
                <w:sz w:val="18"/>
                <w:szCs w:val="18"/>
                <w:color w:val="auto"/>
                <w:w w:val="94"/>
              </w:rPr>
              <w:t>Year</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8"/>
                <w:szCs w:val="18"/>
                <w:color w:val="auto"/>
                <w:w w:val="94"/>
              </w:rPr>
              <w:t>Year</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2023</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313"/>
        </w:trPr>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5.58 %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5.03 %</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5.65 %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5.15 %</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5.17 %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5.27 %</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5.15 %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5.41 %</w:t>
            </w:r>
          </w:p>
        </w:tc>
        <w:tc>
          <w:tcPr>
            <w:tcW w:w="0" w:type="dxa"/>
            <w:vAlign w:val="bottom"/>
          </w:tcPr>
          <w:p>
            <w:pPr>
              <w:spacing w:after="0"/>
              <w:rPr>
                <w:sz w:val="1"/>
                <w:szCs w:val="1"/>
                <w:color w:val="auto"/>
              </w:rPr>
            </w:pPr>
          </w:p>
        </w:tc>
      </w:tr>
      <w:tr>
        <w:trPr>
          <w:trHeight w:val="321"/>
        </w:trPr>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3.38 %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3.52 %</w:t>
            </w:r>
          </w:p>
        </w:tc>
        <w:tc>
          <w:tcPr>
            <w:tcW w:w="120" w:type="dxa"/>
            <w:vAlign w:val="bottom"/>
          </w:tcPr>
          <w:p>
            <w:pPr>
              <w:spacing w:after="0"/>
              <w:rPr>
                <w:sz w:val="24"/>
                <w:szCs w:val="2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3.50 %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3.52 %</w:t>
            </w:r>
          </w:p>
        </w:tc>
        <w:tc>
          <w:tcPr>
            <w:tcW w:w="100" w:type="dxa"/>
            <w:vAlign w:val="bottom"/>
          </w:tcPr>
          <w:p>
            <w:pPr>
              <w:spacing w:after="0"/>
              <w:rPr>
                <w:sz w:val="24"/>
                <w:szCs w:val="24"/>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6"/>
        </w:trPr>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3.20 %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3.20 %</w:t>
            </w:r>
          </w:p>
        </w:tc>
        <w:tc>
          <w:tcPr>
            <w:tcW w:w="120" w:type="dxa"/>
            <w:vAlign w:val="bottom"/>
          </w:tcPr>
          <w:p>
            <w:pPr>
              <w:spacing w:after="0"/>
              <w:rPr>
                <w:sz w:val="24"/>
                <w:szCs w:val="2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3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7.19 %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7.35 %</w:t>
            </w:r>
          </w:p>
        </w:tc>
        <w:tc>
          <w:tcPr>
            <w:tcW w:w="100" w:type="dxa"/>
            <w:vAlign w:val="bottom"/>
          </w:tcPr>
          <w:p>
            <w:pPr>
              <w:spacing w:after="0"/>
              <w:rPr>
                <w:sz w:val="21"/>
                <w:szCs w:val="21"/>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-821690</wp:posOffset>
            </wp:positionV>
            <wp:extent cx="7074535" cy="262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074535" cy="262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-414655</wp:posOffset>
            </wp:positionV>
            <wp:extent cx="7074535" cy="262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074535" cy="26289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2480" w:space="100"/>
            <w:col w:w="8660"/>
          </w:cols>
          <w:pgMar w:left="320" w:top="229" w:right="339" w:bottom="1440" w:gutter="0" w:footer="0" w:header="0"/>
          <w:type w:val="continuous"/>
        </w:sectPr>
      </w:pPr>
    </w:p>
    <w:p>
      <w:pPr>
        <w:spacing w:after="0" w:line="253" w:lineRule="auto"/>
        <w:rPr>
          <w:sz w:val="20"/>
          <w:szCs w:val="20"/>
          <w:color w:val="auto"/>
        </w:rPr>
      </w:pPr>
      <w:r>
        <w:rPr>
          <w:rFonts w:ascii="Arial" w:cs="Arial" w:eastAsia="Arial" w:hAnsi="Arial"/>
          <w:sz w:val="18"/>
          <w:szCs w:val="18"/>
          <w:color w:val="auto"/>
        </w:rPr>
        <w:t>The discount rates used for determining the plan obligations and expense are based on high-quality corporate bonds that are available within each country. Cash flow analyses are performed in which a spot yield curve is used to discount projected benefit payment streams for the most significant plans. The discounted cash flows are used to determine an equivalent single rate, which is the basis for selecting the discount rate within each country. Expected plan asset returns are based on long-term expectations for asset portfolios with similar investment mix characteristics. Expected compensation increases are based on anticipated future averages for the Company. The plan’s cash balance interest accumulation rate is the greater of the annual yield on 10-year treasury constant maturities or 1.89%.</w:t>
      </w:r>
    </w:p>
    <w:p>
      <w:pPr>
        <w:spacing w:after="0" w:line="8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Benefit payments, reflecting expected future service as appropriate, which are expected to be paid in future years from the assets of the plans or by the Company, are shown in the following table.</w:t>
      </w: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vMerge w:val="restart"/>
          </w:tcPr>
          <w:p>
            <w:pPr>
              <w:ind w:left="200"/>
              <w:spacing w:after="0"/>
              <w:rPr>
                <w:sz w:val="20"/>
                <w:szCs w:val="20"/>
                <w:color w:val="auto"/>
              </w:rPr>
            </w:pPr>
            <w:r>
              <w:rPr>
                <w:rFonts w:ascii="Arial" w:cs="Arial" w:eastAsia="Arial" w:hAnsi="Arial"/>
                <w:sz w:val="18"/>
                <w:szCs w:val="18"/>
                <w:color w:val="auto"/>
              </w:rPr>
              <w:t>Pension</w:t>
            </w:r>
          </w:p>
        </w:tc>
        <w:tc>
          <w:tcPr>
            <w:tcW w:w="180" w:type="dxa"/>
            <w:vAlign w:val="bottom"/>
          </w:tcPr>
          <w:p>
            <w:pPr>
              <w:spacing w:after="0"/>
              <w:rPr>
                <w:sz w:val="16"/>
                <w:szCs w:val="16"/>
                <w:color w:val="auto"/>
              </w:rPr>
            </w:pPr>
          </w:p>
        </w:tc>
        <w:tc>
          <w:tcPr>
            <w:tcW w:w="1460" w:type="dxa"/>
            <w:vAlign w:val="bottom"/>
          </w:tcPr>
          <w:p>
            <w:pPr>
              <w:jc w:val="center"/>
              <w:ind w:right="91"/>
              <w:spacing w:after="0" w:line="187"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7"/>
        </w:trPr>
        <w:tc>
          <w:tcPr>
            <w:tcW w:w="782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right="91"/>
              <w:spacing w:after="0" w:line="177" w:lineRule="exact"/>
              <w:rPr>
                <w:sz w:val="20"/>
                <w:szCs w:val="20"/>
                <w:color w:val="auto"/>
              </w:rPr>
            </w:pPr>
            <w:r>
              <w:rPr>
                <w:rFonts w:ascii="Arial" w:cs="Arial" w:eastAsia="Arial" w:hAnsi="Arial"/>
                <w:sz w:val="18"/>
                <w:szCs w:val="18"/>
                <w:color w:val="auto"/>
                <w:w w:val="99"/>
              </w:rPr>
              <w:t>Postretirement</w:t>
            </w:r>
          </w:p>
        </w:tc>
        <w:tc>
          <w:tcPr>
            <w:tcW w:w="0" w:type="dxa"/>
            <w:vAlign w:val="bottom"/>
          </w:tcPr>
          <w:p>
            <w:pPr>
              <w:spacing w:after="0"/>
              <w:rPr>
                <w:sz w:val="1"/>
                <w:szCs w:val="1"/>
                <w:color w:val="auto"/>
              </w:rPr>
            </w:pPr>
          </w:p>
        </w:tc>
      </w:tr>
      <w:tr>
        <w:trPr>
          <w:trHeight w:val="187"/>
        </w:trPr>
        <w:tc>
          <w:tcPr>
            <w:tcW w:w="78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00"/>
              <w:spacing w:after="0" w:line="187" w:lineRule="exact"/>
              <w:rPr>
                <w:sz w:val="20"/>
                <w:szCs w:val="20"/>
                <w:color w:val="auto"/>
              </w:rPr>
            </w:pPr>
            <w:r>
              <w:rPr>
                <w:rFonts w:ascii="Arial" w:cs="Arial" w:eastAsia="Arial" w:hAnsi="Arial"/>
                <w:sz w:val="18"/>
                <w:szCs w:val="18"/>
                <w:color w:val="auto"/>
              </w:rPr>
              <w:t>Benefits</w:t>
            </w:r>
          </w:p>
        </w:tc>
        <w:tc>
          <w:tcPr>
            <w:tcW w:w="180" w:type="dxa"/>
            <w:vAlign w:val="bottom"/>
          </w:tcPr>
          <w:p>
            <w:pPr>
              <w:spacing w:after="0"/>
              <w:rPr>
                <w:sz w:val="16"/>
                <w:szCs w:val="16"/>
                <w:color w:val="auto"/>
              </w:rPr>
            </w:pPr>
          </w:p>
        </w:tc>
        <w:tc>
          <w:tcPr>
            <w:tcW w:w="1460" w:type="dxa"/>
            <w:vAlign w:val="bottom"/>
          </w:tcPr>
          <w:p>
            <w:pPr>
              <w:jc w:val="center"/>
              <w:ind w:right="91"/>
              <w:spacing w:after="0" w:line="187" w:lineRule="exact"/>
              <w:rPr>
                <w:sz w:val="20"/>
                <w:szCs w:val="20"/>
                <w:color w:val="auto"/>
              </w:rPr>
            </w:pPr>
            <w:r>
              <w:rPr>
                <w:rFonts w:ascii="Arial" w:cs="Arial" w:eastAsia="Arial" w:hAnsi="Arial"/>
                <w:sz w:val="18"/>
                <w:szCs w:val="18"/>
                <w:color w:val="auto"/>
                <w:w w:val="98"/>
              </w:rPr>
              <w:t>Benefits</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0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27"/>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50,193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7"/>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27"/>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27"/>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33"/>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2030-2034</w:t>
            </w:r>
          </w:p>
        </w:tc>
        <w:tc>
          <w:tcPr>
            <w:tcW w:w="6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261,891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20,594</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For purposes of measuring postretirement benefit obligations at December 31, 2024, the future annual rates of increase in the cost of health care were assumed to be 7.5% for 2025 decreasing each year to an ultimate rate of 4.0% in 2048 and thereafter.</w:t>
      </w:r>
    </w:p>
    <w:p>
      <w:pPr>
        <w:spacing w:after="0" w:line="5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2024, the Company made contributions of $34.7 million to its domestic defined benefit pension plans and $13.0 million to its domestic postretirement benefits plan. During 2025, the Company currently expects to make contributions of $25.6 million to its domestic defined benefit pension plans, $0.8 million to its foreign defined benefit pension plans and $4.2 million to its domestic postretirement benefits plan.</w:t>
      </w:r>
    </w:p>
    <w:p>
      <w:pPr>
        <w:spacing w:after="0" w:line="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PLAN INVESTMENTS – Murphy Oil Corporation maintains an Investment Policy Statement (Statement) that establishes investment standards related to its funded domestic qualified retirement plan. Our investment strategy is to maximize long-term returns at an acceptable level of risk through broad diversification of plan assets in a variety of asset classes. Asset classes and target allocations are determined by our investment committee and include equities, fixed income and other investments, including hedge funds, real estate and cash equivalent securities. Investment managers are prohibited from investing in equity or fixed income securities issued by the Company. The majority of plan assets are highly liquid, providing flexibility for benefit payment requirements. The current target allocations for plan assets are 40-75% equity securities, 20-60% fixed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Employee and Retiree Benefit Plans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color w:val="auto"/>
        </w:rPr>
        <w:t>income securities, 0-15% alternatives and 0-20% cash and equivalents. Asset allocations are rebalanced on a periodic basis throughout the year to bring assets to within an acceptable range of target levels.</w:t>
      </w:r>
    </w:p>
    <w:p>
      <w:pPr>
        <w:spacing w:after="0" w:line="5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weighted average asset allocation for the Company’s funded pension benefit plans at the respective balance sheet dates are shown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0" w:type="dxa"/>
            <w:vAlign w:val="bottom"/>
          </w:tcPr>
          <w:p>
            <w:pPr>
              <w:spacing w:after="0"/>
              <w:rPr>
                <w:sz w:val="20"/>
                <w:szCs w:val="20"/>
                <w:color w:val="auto"/>
              </w:rPr>
            </w:pPr>
          </w:p>
        </w:tc>
        <w:tc>
          <w:tcPr>
            <w:tcW w:w="224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20"/>
        </w:trPr>
        <w:tc>
          <w:tcPr>
            <w:tcW w:w="80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9"/>
              </w:rPr>
              <w:t>2023</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62.6 %</w:t>
            </w:r>
          </w:p>
        </w:tc>
      </w:tr>
      <w:tr>
        <w:trPr>
          <w:trHeight w:val="227"/>
        </w:trPr>
        <w:tc>
          <w:tcPr>
            <w:tcW w:w="80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36.2 %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29.1 %</w:t>
            </w:r>
          </w:p>
        </w:tc>
      </w:tr>
      <w:tr>
        <w:trPr>
          <w:trHeight w:val="22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equivalents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2.8 %</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45"/>
        </w:trPr>
        <w:tc>
          <w:tcPr>
            <w:tcW w:w="80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weighted average expected return on plan assets was 7.2% in 2024 and the return was determined based on an assessment of actual long-term historical returns and expected future returns for a portfolio with investment characteristics similar to that maintained by the plans. The 7.2% expected return was comprised of the weighted average expected future equity securities return of 8.0% and a fixed income securities return of 5.2%. An average expected investment expense of 0.8% is included in this calculation. Over the last 10 years, the return on funded retirement plan assets has averaged 3.3%.</w:t>
      </w:r>
    </w:p>
    <w:p>
      <w:pPr>
        <w:spacing w:after="0" w:line="7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At December 31, 2024, the fair value measurements of retirement plan assets within the fair value hierarchy are included in the table that follows.</w:t>
      </w:r>
    </w:p>
    <w:p>
      <w:pPr>
        <w:ind w:left="7720"/>
        <w:spacing w:after="0"/>
        <w:rPr>
          <w:sz w:val="20"/>
          <w:szCs w:val="20"/>
          <w:color w:val="auto"/>
        </w:rPr>
      </w:pPr>
      <w:r>
        <w:rPr>
          <w:rFonts w:ascii="Arial" w:cs="Arial" w:eastAsia="Arial" w:hAnsi="Arial"/>
          <w:sz w:val="18"/>
          <w:szCs w:val="18"/>
          <w:color w:val="auto"/>
        </w:rPr>
        <w:t>Fair Value Measurements Using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20"/>
              <w:spacing w:after="0" w:line="154" w:lineRule="exact"/>
              <w:rPr>
                <w:sz w:val="20"/>
                <w:szCs w:val="20"/>
                <w:color w:val="auto"/>
              </w:rPr>
            </w:pPr>
            <w:r>
              <w:rPr>
                <w:rFonts w:ascii="Arial" w:cs="Arial" w:eastAsia="Arial" w:hAnsi="Arial"/>
                <w:sz w:val="16"/>
                <w:szCs w:val="16"/>
                <w:color w:val="auto"/>
              </w:rPr>
              <w:t>Quoted Prices</w:t>
            </w: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20"/>
              <w:spacing w:after="0" w:line="154" w:lineRule="exact"/>
              <w:rPr>
                <w:sz w:val="20"/>
                <w:szCs w:val="20"/>
                <w:color w:val="auto"/>
              </w:rPr>
            </w:pPr>
            <w:r>
              <w:rPr>
                <w:rFonts w:ascii="Arial" w:cs="Arial" w:eastAsia="Arial" w:hAnsi="Arial"/>
                <w:sz w:val="16"/>
                <w:szCs w:val="16"/>
                <w:color w:val="auto"/>
              </w:rPr>
              <w:t>Significant</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center"/>
              <w:ind w:right="93"/>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9"/>
              </w:rPr>
              <w:t>Fair Value at</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61" w:lineRule="exact"/>
              <w:rPr>
                <w:sz w:val="20"/>
                <w:szCs w:val="20"/>
                <w:color w:val="auto"/>
              </w:rPr>
            </w:pPr>
            <w:r>
              <w:rPr>
                <w:rFonts w:ascii="Arial" w:cs="Arial" w:eastAsia="Arial" w:hAnsi="Arial"/>
                <w:sz w:val="16"/>
                <w:szCs w:val="16"/>
                <w:color w:val="auto"/>
              </w:rPr>
              <w:t>in Active</w:t>
            </w:r>
          </w:p>
        </w:tc>
        <w:tc>
          <w:tcPr>
            <w:tcW w:w="22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Arial" w:cs="Arial" w:eastAsia="Arial" w:hAnsi="Arial"/>
                <w:sz w:val="16"/>
                <w:szCs w:val="16"/>
                <w:color w:val="auto"/>
              </w:rPr>
              <w:t>Other</w:t>
            </w: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61" w:lineRule="exact"/>
              <w:rPr>
                <w:sz w:val="20"/>
                <w:szCs w:val="20"/>
                <w:color w:val="auto"/>
              </w:rPr>
            </w:pPr>
            <w:r>
              <w:rPr>
                <w:rFonts w:ascii="Arial" w:cs="Arial" w:eastAsia="Arial" w:hAnsi="Arial"/>
                <w:sz w:val="16"/>
                <w:szCs w:val="16"/>
                <w:color w:val="auto"/>
                <w:w w:val="99"/>
              </w:rPr>
              <w:t>Markets for</w:t>
            </w:r>
          </w:p>
        </w:tc>
        <w:tc>
          <w:tcPr>
            <w:tcW w:w="22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Arial" w:cs="Arial" w:eastAsia="Arial" w:hAnsi="Arial"/>
                <w:sz w:val="16"/>
                <w:szCs w:val="16"/>
                <w:color w:val="auto"/>
              </w:rPr>
              <w:t>Observable</w:t>
            </w:r>
          </w:p>
        </w:tc>
        <w:tc>
          <w:tcPr>
            <w:tcW w:w="180" w:type="dxa"/>
            <w:vAlign w:val="bottom"/>
          </w:tcPr>
          <w:p>
            <w:pPr>
              <w:spacing w:after="0"/>
              <w:rPr>
                <w:sz w:val="13"/>
                <w:szCs w:val="13"/>
                <w:color w:val="auto"/>
              </w:rPr>
            </w:pPr>
          </w:p>
        </w:tc>
        <w:tc>
          <w:tcPr>
            <w:tcW w:w="1260" w:type="dxa"/>
            <w:vAlign w:val="bottom"/>
          </w:tcPr>
          <w:p>
            <w:pPr>
              <w:jc w:val="center"/>
              <w:ind w:right="93"/>
              <w:spacing w:after="0" w:line="161" w:lineRule="exact"/>
              <w:rPr>
                <w:sz w:val="20"/>
                <w:szCs w:val="20"/>
                <w:color w:val="auto"/>
              </w:rPr>
            </w:pPr>
            <w:r>
              <w:rPr>
                <w:rFonts w:ascii="Arial" w:cs="Arial" w:eastAsia="Arial" w:hAnsi="Arial"/>
                <w:sz w:val="16"/>
                <w:szCs w:val="16"/>
                <w:color w:val="auto"/>
              </w:rPr>
              <w:t>Unobservable</w:t>
            </w:r>
          </w:p>
        </w:tc>
        <w:tc>
          <w:tcPr>
            <w:tcW w:w="0" w:type="dxa"/>
            <w:vAlign w:val="bottom"/>
          </w:tcPr>
          <w:p>
            <w:pPr>
              <w:spacing w:after="0"/>
              <w:rPr>
                <w:sz w:val="1"/>
                <w:szCs w:val="1"/>
                <w:color w:val="auto"/>
              </w:rPr>
            </w:pPr>
          </w:p>
        </w:tc>
      </w:tr>
      <w:tr>
        <w:trPr>
          <w:trHeight w:val="160"/>
        </w:trPr>
        <w:tc>
          <w:tcPr>
            <w:tcW w:w="518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Arial" w:cs="Arial" w:eastAsia="Arial" w:hAnsi="Arial"/>
                <w:sz w:val="16"/>
                <w:szCs w:val="16"/>
                <w:color w:val="auto"/>
              </w:rPr>
              <w:t>December 31,</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61" w:lineRule="exact"/>
              <w:rPr>
                <w:sz w:val="20"/>
                <w:szCs w:val="20"/>
                <w:color w:val="auto"/>
              </w:rPr>
            </w:pPr>
            <w:r>
              <w:rPr>
                <w:rFonts w:ascii="Arial" w:cs="Arial" w:eastAsia="Arial" w:hAnsi="Arial"/>
                <w:sz w:val="16"/>
                <w:szCs w:val="16"/>
                <w:color w:val="auto"/>
                <w:w w:val="99"/>
              </w:rPr>
              <w:t>Identical Assets</w:t>
            </w:r>
          </w:p>
        </w:tc>
        <w:tc>
          <w:tcPr>
            <w:tcW w:w="22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Arial" w:cs="Arial" w:eastAsia="Arial" w:hAnsi="Arial"/>
                <w:sz w:val="16"/>
                <w:szCs w:val="16"/>
                <w:color w:val="auto"/>
                <w:w w:val="96"/>
              </w:rPr>
              <w:t>Inputs</w:t>
            </w:r>
          </w:p>
        </w:tc>
        <w:tc>
          <w:tcPr>
            <w:tcW w:w="180" w:type="dxa"/>
            <w:vAlign w:val="bottom"/>
          </w:tcPr>
          <w:p>
            <w:pPr>
              <w:spacing w:after="0"/>
              <w:rPr>
                <w:sz w:val="13"/>
                <w:szCs w:val="13"/>
                <w:color w:val="auto"/>
              </w:rPr>
            </w:pPr>
          </w:p>
        </w:tc>
        <w:tc>
          <w:tcPr>
            <w:tcW w:w="1260" w:type="dxa"/>
            <w:vAlign w:val="bottom"/>
          </w:tcPr>
          <w:p>
            <w:pPr>
              <w:jc w:val="center"/>
              <w:ind w:right="93"/>
              <w:spacing w:after="0" w:line="161" w:lineRule="exact"/>
              <w:rPr>
                <w:sz w:val="20"/>
                <w:szCs w:val="20"/>
                <w:color w:val="auto"/>
              </w:rPr>
            </w:pPr>
            <w:r>
              <w:rPr>
                <w:rFonts w:ascii="Arial" w:cs="Arial" w:eastAsia="Arial" w:hAnsi="Arial"/>
                <w:sz w:val="16"/>
                <w:szCs w:val="16"/>
                <w:color w:val="auto"/>
              </w:rPr>
              <w:t>Inputs</w:t>
            </w:r>
          </w:p>
        </w:tc>
        <w:tc>
          <w:tcPr>
            <w:tcW w:w="0" w:type="dxa"/>
            <w:vAlign w:val="bottom"/>
          </w:tcPr>
          <w:p>
            <w:pPr>
              <w:spacing w:after="0"/>
              <w:rPr>
                <w:sz w:val="1"/>
                <w:szCs w:val="1"/>
                <w:color w:val="auto"/>
              </w:rPr>
            </w:pPr>
          </w:p>
        </w:tc>
      </w:tr>
      <w:tr>
        <w:trPr>
          <w:trHeight w:val="174"/>
        </w:trPr>
        <w:tc>
          <w:tcPr>
            <w:tcW w:w="51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2"/>
              <w:spacing w:after="0" w:line="174" w:lineRule="exact"/>
              <w:rPr>
                <w:sz w:val="20"/>
                <w:szCs w:val="20"/>
                <w:color w:val="auto"/>
              </w:rPr>
            </w:pPr>
            <w:r>
              <w:rPr>
                <w:rFonts w:ascii="Arial" w:cs="Arial" w:eastAsia="Arial" w:hAnsi="Arial"/>
                <w:sz w:val="16"/>
                <w:szCs w:val="16"/>
                <w:color w:val="auto"/>
                <w:w w:val="95"/>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4" w:lineRule="exact"/>
              <w:rPr>
                <w:sz w:val="20"/>
                <w:szCs w:val="20"/>
                <w:color w:val="auto"/>
              </w:rPr>
            </w:pPr>
            <w:r>
              <w:rPr>
                <w:rFonts w:ascii="Arial" w:cs="Arial" w:eastAsia="Arial" w:hAnsi="Arial"/>
                <w:sz w:val="16"/>
                <w:szCs w:val="16"/>
                <w:color w:val="auto"/>
                <w:w w:val="99"/>
              </w:rPr>
              <w:t>(Level 1)</w:t>
            </w:r>
          </w:p>
        </w:tc>
        <w:tc>
          <w:tcPr>
            <w:tcW w:w="220" w:type="dxa"/>
            <w:vAlign w:val="bottom"/>
          </w:tcPr>
          <w:p>
            <w:pPr>
              <w:spacing w:after="0"/>
              <w:rPr>
                <w:sz w:val="15"/>
                <w:szCs w:val="15"/>
                <w:color w:val="auto"/>
              </w:rPr>
            </w:pPr>
          </w:p>
        </w:tc>
        <w:tc>
          <w:tcPr>
            <w:tcW w:w="1340" w:type="dxa"/>
            <w:vAlign w:val="bottom"/>
            <w:gridSpan w:val="2"/>
          </w:tcPr>
          <w:p>
            <w:pPr>
              <w:jc w:val="center"/>
              <w:ind w:right="320"/>
              <w:spacing w:after="0" w:line="174" w:lineRule="exact"/>
              <w:rPr>
                <w:sz w:val="20"/>
                <w:szCs w:val="20"/>
                <w:color w:val="auto"/>
              </w:rPr>
            </w:pPr>
            <w:r>
              <w:rPr>
                <w:rFonts w:ascii="Arial" w:cs="Arial" w:eastAsia="Arial" w:hAnsi="Arial"/>
                <w:sz w:val="16"/>
                <w:szCs w:val="16"/>
                <w:color w:val="auto"/>
                <w:w w:val="99"/>
              </w:rPr>
              <w:t>(Level 2)</w:t>
            </w:r>
          </w:p>
        </w:tc>
        <w:tc>
          <w:tcPr>
            <w:tcW w:w="180" w:type="dxa"/>
            <w:vAlign w:val="bottom"/>
          </w:tcPr>
          <w:p>
            <w:pPr>
              <w:spacing w:after="0"/>
              <w:rPr>
                <w:sz w:val="15"/>
                <w:szCs w:val="15"/>
                <w:color w:val="auto"/>
              </w:rPr>
            </w:pPr>
          </w:p>
        </w:tc>
        <w:tc>
          <w:tcPr>
            <w:tcW w:w="1260" w:type="dxa"/>
            <w:vAlign w:val="bottom"/>
          </w:tcPr>
          <w:p>
            <w:pPr>
              <w:jc w:val="center"/>
              <w:ind w:right="93"/>
              <w:spacing w:after="0" w:line="174" w:lineRule="exact"/>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Domestic Plans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core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U.S. small/midcap</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51,978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51,978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alternative strategies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International equity</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22,724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Emerging market equity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Fixed income securities: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fixed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208,755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9,491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9,491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80" w:type="dxa"/>
            <w:vAlign w:val="bottom"/>
            <w:tcBorders>
              <w:top w:val="single" w:sz="8" w:color="CCEEFF"/>
            </w:tcBorders>
            <w:shd w:val="clear" w:color="auto" w:fill="CCEEFF"/>
          </w:tcPr>
          <w:p>
            <w:pPr>
              <w:spacing w:after="0"/>
              <w:rPr>
                <w:sz w:val="19"/>
                <w:szCs w:val="19"/>
                <w:color w:val="auto"/>
              </w:rPr>
            </w:pPr>
          </w:p>
        </w:tc>
        <w:tc>
          <w:tcPr>
            <w:tcW w:w="510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Domestic Plans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388,675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284,256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0" w:type="dxa"/>
            <w:vAlign w:val="bottom"/>
          </w:tcPr>
          <w:p>
            <w:pPr>
              <w:spacing w:after="0"/>
              <w:rPr>
                <w:sz w:val="1"/>
                <w:szCs w:val="1"/>
                <w:color w:val="auto"/>
              </w:rPr>
            </w:pPr>
          </w:p>
        </w:tc>
      </w:tr>
      <w:tr>
        <w:trPr>
          <w:trHeight w:val="207"/>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Foreign Plans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Equity securities funds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Fixed income securities funds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26,500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Diversified pooled fund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17,049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17,049</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equivalents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Total Foreign Plans</w:t>
            </w: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103,445</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17,049</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492,120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284,256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189,849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18,014</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79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34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Employee and Retiree Benefit Plans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At December 31, 2023, the fair value measurements of retirement plan assets within the fair value hierarchy are included in the table that follows.</w:t>
      </w:r>
    </w:p>
    <w:p>
      <w:pPr>
        <w:ind w:left="7720"/>
        <w:spacing w:after="0"/>
        <w:rPr>
          <w:sz w:val="20"/>
          <w:szCs w:val="20"/>
          <w:color w:val="auto"/>
        </w:rPr>
      </w:pPr>
      <w:r>
        <w:rPr>
          <w:rFonts w:ascii="Arial" w:cs="Arial" w:eastAsia="Arial" w:hAnsi="Arial"/>
          <w:sz w:val="18"/>
          <w:szCs w:val="18"/>
          <w:color w:val="auto"/>
        </w:rPr>
        <w:t>Fair Value Measurements Using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ind w:right="220"/>
              <w:spacing w:after="0" w:line="154" w:lineRule="exact"/>
              <w:rPr>
                <w:sz w:val="20"/>
                <w:szCs w:val="20"/>
                <w:color w:val="auto"/>
              </w:rPr>
            </w:pPr>
            <w:r>
              <w:rPr>
                <w:rFonts w:ascii="Arial" w:cs="Arial" w:eastAsia="Arial" w:hAnsi="Arial"/>
                <w:sz w:val="16"/>
                <w:szCs w:val="16"/>
                <w:color w:val="auto"/>
              </w:rPr>
              <w:t>Quoted Prices</w:t>
            </w: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20"/>
              <w:spacing w:after="0" w:line="154" w:lineRule="exact"/>
              <w:rPr>
                <w:sz w:val="20"/>
                <w:szCs w:val="20"/>
                <w:color w:val="auto"/>
              </w:rPr>
            </w:pPr>
            <w:r>
              <w:rPr>
                <w:rFonts w:ascii="Arial" w:cs="Arial" w:eastAsia="Arial" w:hAnsi="Arial"/>
                <w:sz w:val="16"/>
                <w:szCs w:val="16"/>
                <w:color w:val="auto"/>
              </w:rPr>
              <w:t>Significant</w:t>
            </w: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center"/>
              <w:ind w:right="93"/>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9"/>
              </w:rPr>
              <w:t>Fair Value at</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61" w:lineRule="exact"/>
              <w:rPr>
                <w:sz w:val="20"/>
                <w:szCs w:val="20"/>
                <w:color w:val="auto"/>
              </w:rPr>
            </w:pPr>
            <w:r>
              <w:rPr>
                <w:rFonts w:ascii="Arial" w:cs="Arial" w:eastAsia="Arial" w:hAnsi="Arial"/>
                <w:sz w:val="16"/>
                <w:szCs w:val="16"/>
                <w:color w:val="auto"/>
              </w:rPr>
              <w:t>in Active</w:t>
            </w:r>
          </w:p>
        </w:tc>
        <w:tc>
          <w:tcPr>
            <w:tcW w:w="22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Arial" w:cs="Arial" w:eastAsia="Arial" w:hAnsi="Arial"/>
                <w:sz w:val="16"/>
                <w:szCs w:val="16"/>
                <w:color w:val="auto"/>
              </w:rPr>
              <w:t>Other</w:t>
            </w: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61" w:lineRule="exact"/>
              <w:rPr>
                <w:sz w:val="20"/>
                <w:szCs w:val="20"/>
                <w:color w:val="auto"/>
              </w:rPr>
            </w:pPr>
            <w:r>
              <w:rPr>
                <w:rFonts w:ascii="Arial" w:cs="Arial" w:eastAsia="Arial" w:hAnsi="Arial"/>
                <w:sz w:val="16"/>
                <w:szCs w:val="16"/>
                <w:color w:val="auto"/>
                <w:w w:val="99"/>
              </w:rPr>
              <w:t>Markets for</w:t>
            </w:r>
          </w:p>
        </w:tc>
        <w:tc>
          <w:tcPr>
            <w:tcW w:w="22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Arial" w:cs="Arial" w:eastAsia="Arial" w:hAnsi="Arial"/>
                <w:sz w:val="16"/>
                <w:szCs w:val="16"/>
                <w:color w:val="auto"/>
              </w:rPr>
              <w:t>Observable</w:t>
            </w:r>
          </w:p>
        </w:tc>
        <w:tc>
          <w:tcPr>
            <w:tcW w:w="180" w:type="dxa"/>
            <w:vAlign w:val="bottom"/>
          </w:tcPr>
          <w:p>
            <w:pPr>
              <w:spacing w:after="0"/>
              <w:rPr>
                <w:sz w:val="13"/>
                <w:szCs w:val="13"/>
                <w:color w:val="auto"/>
              </w:rPr>
            </w:pPr>
          </w:p>
        </w:tc>
        <w:tc>
          <w:tcPr>
            <w:tcW w:w="1260" w:type="dxa"/>
            <w:vAlign w:val="bottom"/>
          </w:tcPr>
          <w:p>
            <w:pPr>
              <w:jc w:val="center"/>
              <w:ind w:right="93"/>
              <w:spacing w:after="0" w:line="161" w:lineRule="exact"/>
              <w:rPr>
                <w:sz w:val="20"/>
                <w:szCs w:val="20"/>
                <w:color w:val="auto"/>
              </w:rPr>
            </w:pPr>
            <w:r>
              <w:rPr>
                <w:rFonts w:ascii="Arial" w:cs="Arial" w:eastAsia="Arial" w:hAnsi="Arial"/>
                <w:sz w:val="16"/>
                <w:szCs w:val="16"/>
                <w:color w:val="auto"/>
              </w:rPr>
              <w:t>Unobservable</w:t>
            </w:r>
          </w:p>
        </w:tc>
        <w:tc>
          <w:tcPr>
            <w:tcW w:w="0" w:type="dxa"/>
            <w:vAlign w:val="bottom"/>
          </w:tcPr>
          <w:p>
            <w:pPr>
              <w:spacing w:after="0"/>
              <w:rPr>
                <w:sz w:val="1"/>
                <w:szCs w:val="1"/>
                <w:color w:val="auto"/>
              </w:rPr>
            </w:pPr>
          </w:p>
        </w:tc>
      </w:tr>
      <w:tr>
        <w:trPr>
          <w:trHeight w:val="160"/>
        </w:trPr>
        <w:tc>
          <w:tcPr>
            <w:tcW w:w="518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Arial" w:cs="Arial" w:eastAsia="Arial" w:hAnsi="Arial"/>
                <w:sz w:val="16"/>
                <w:szCs w:val="16"/>
                <w:color w:val="auto"/>
              </w:rPr>
              <w:t>December 31,</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61" w:lineRule="exact"/>
              <w:rPr>
                <w:sz w:val="20"/>
                <w:szCs w:val="20"/>
                <w:color w:val="auto"/>
              </w:rPr>
            </w:pPr>
            <w:r>
              <w:rPr>
                <w:rFonts w:ascii="Arial" w:cs="Arial" w:eastAsia="Arial" w:hAnsi="Arial"/>
                <w:sz w:val="16"/>
                <w:szCs w:val="16"/>
                <w:color w:val="auto"/>
                <w:w w:val="99"/>
              </w:rPr>
              <w:t>Identical Assets</w:t>
            </w:r>
          </w:p>
        </w:tc>
        <w:tc>
          <w:tcPr>
            <w:tcW w:w="220" w:type="dxa"/>
            <w:vAlign w:val="bottom"/>
          </w:tcPr>
          <w:p>
            <w:pPr>
              <w:spacing w:after="0"/>
              <w:rPr>
                <w:sz w:val="13"/>
                <w:szCs w:val="13"/>
                <w:color w:val="auto"/>
              </w:rPr>
            </w:pPr>
          </w:p>
        </w:tc>
        <w:tc>
          <w:tcPr>
            <w:tcW w:w="1340" w:type="dxa"/>
            <w:vAlign w:val="bottom"/>
            <w:gridSpan w:val="2"/>
          </w:tcPr>
          <w:p>
            <w:pPr>
              <w:jc w:val="center"/>
              <w:ind w:right="320"/>
              <w:spacing w:after="0" w:line="161" w:lineRule="exact"/>
              <w:rPr>
                <w:sz w:val="20"/>
                <w:szCs w:val="20"/>
                <w:color w:val="auto"/>
              </w:rPr>
            </w:pPr>
            <w:r>
              <w:rPr>
                <w:rFonts w:ascii="Arial" w:cs="Arial" w:eastAsia="Arial" w:hAnsi="Arial"/>
                <w:sz w:val="16"/>
                <w:szCs w:val="16"/>
                <w:color w:val="auto"/>
                <w:w w:val="96"/>
              </w:rPr>
              <w:t>Inputs</w:t>
            </w:r>
          </w:p>
        </w:tc>
        <w:tc>
          <w:tcPr>
            <w:tcW w:w="180" w:type="dxa"/>
            <w:vAlign w:val="bottom"/>
          </w:tcPr>
          <w:p>
            <w:pPr>
              <w:spacing w:after="0"/>
              <w:rPr>
                <w:sz w:val="13"/>
                <w:szCs w:val="13"/>
                <w:color w:val="auto"/>
              </w:rPr>
            </w:pPr>
          </w:p>
        </w:tc>
        <w:tc>
          <w:tcPr>
            <w:tcW w:w="1260" w:type="dxa"/>
            <w:vAlign w:val="bottom"/>
          </w:tcPr>
          <w:p>
            <w:pPr>
              <w:jc w:val="center"/>
              <w:ind w:right="93"/>
              <w:spacing w:after="0" w:line="161" w:lineRule="exact"/>
              <w:rPr>
                <w:sz w:val="20"/>
                <w:szCs w:val="20"/>
                <w:color w:val="auto"/>
              </w:rPr>
            </w:pPr>
            <w:r>
              <w:rPr>
                <w:rFonts w:ascii="Arial" w:cs="Arial" w:eastAsia="Arial" w:hAnsi="Arial"/>
                <w:sz w:val="16"/>
                <w:szCs w:val="16"/>
                <w:color w:val="auto"/>
              </w:rPr>
              <w:t>Inputs</w:t>
            </w:r>
          </w:p>
        </w:tc>
        <w:tc>
          <w:tcPr>
            <w:tcW w:w="0" w:type="dxa"/>
            <w:vAlign w:val="bottom"/>
          </w:tcPr>
          <w:p>
            <w:pPr>
              <w:spacing w:after="0"/>
              <w:rPr>
                <w:sz w:val="1"/>
                <w:szCs w:val="1"/>
                <w:color w:val="auto"/>
              </w:rPr>
            </w:pPr>
          </w:p>
        </w:tc>
      </w:tr>
      <w:tr>
        <w:trPr>
          <w:trHeight w:val="174"/>
        </w:trPr>
        <w:tc>
          <w:tcPr>
            <w:tcW w:w="51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2"/>
              <w:spacing w:after="0" w:line="174" w:lineRule="exact"/>
              <w:rPr>
                <w:sz w:val="20"/>
                <w:szCs w:val="20"/>
                <w:color w:val="auto"/>
              </w:rPr>
            </w:pPr>
            <w:r>
              <w:rPr>
                <w:rFonts w:ascii="Arial" w:cs="Arial" w:eastAsia="Arial" w:hAnsi="Arial"/>
                <w:sz w:val="16"/>
                <w:szCs w:val="16"/>
                <w:color w:val="auto"/>
                <w:w w:val="95"/>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4" w:lineRule="exact"/>
              <w:rPr>
                <w:sz w:val="20"/>
                <w:szCs w:val="20"/>
                <w:color w:val="auto"/>
              </w:rPr>
            </w:pPr>
            <w:r>
              <w:rPr>
                <w:rFonts w:ascii="Arial" w:cs="Arial" w:eastAsia="Arial" w:hAnsi="Arial"/>
                <w:sz w:val="16"/>
                <w:szCs w:val="16"/>
                <w:color w:val="auto"/>
                <w:w w:val="99"/>
              </w:rPr>
              <w:t>(Level 1)</w:t>
            </w:r>
          </w:p>
        </w:tc>
        <w:tc>
          <w:tcPr>
            <w:tcW w:w="220" w:type="dxa"/>
            <w:vAlign w:val="bottom"/>
          </w:tcPr>
          <w:p>
            <w:pPr>
              <w:spacing w:after="0"/>
              <w:rPr>
                <w:sz w:val="15"/>
                <w:szCs w:val="15"/>
                <w:color w:val="auto"/>
              </w:rPr>
            </w:pPr>
          </w:p>
        </w:tc>
        <w:tc>
          <w:tcPr>
            <w:tcW w:w="1340" w:type="dxa"/>
            <w:vAlign w:val="bottom"/>
            <w:gridSpan w:val="2"/>
          </w:tcPr>
          <w:p>
            <w:pPr>
              <w:jc w:val="center"/>
              <w:ind w:right="320"/>
              <w:spacing w:after="0" w:line="174" w:lineRule="exact"/>
              <w:rPr>
                <w:sz w:val="20"/>
                <w:szCs w:val="20"/>
                <w:color w:val="auto"/>
              </w:rPr>
            </w:pPr>
            <w:r>
              <w:rPr>
                <w:rFonts w:ascii="Arial" w:cs="Arial" w:eastAsia="Arial" w:hAnsi="Arial"/>
                <w:sz w:val="16"/>
                <w:szCs w:val="16"/>
                <w:color w:val="auto"/>
                <w:w w:val="99"/>
              </w:rPr>
              <w:t>(Level 2)</w:t>
            </w:r>
          </w:p>
        </w:tc>
        <w:tc>
          <w:tcPr>
            <w:tcW w:w="180" w:type="dxa"/>
            <w:vAlign w:val="bottom"/>
          </w:tcPr>
          <w:p>
            <w:pPr>
              <w:spacing w:after="0"/>
              <w:rPr>
                <w:sz w:val="15"/>
                <w:szCs w:val="15"/>
                <w:color w:val="auto"/>
              </w:rPr>
            </w:pPr>
          </w:p>
        </w:tc>
        <w:tc>
          <w:tcPr>
            <w:tcW w:w="1260" w:type="dxa"/>
            <w:vAlign w:val="bottom"/>
          </w:tcPr>
          <w:p>
            <w:pPr>
              <w:jc w:val="center"/>
              <w:ind w:right="93"/>
              <w:spacing w:after="0" w:line="174" w:lineRule="exact"/>
              <w:rPr>
                <w:sz w:val="20"/>
                <w:szCs w:val="20"/>
                <w:color w:val="auto"/>
              </w:rPr>
            </w:pPr>
            <w:r>
              <w:rPr>
                <w:rFonts w:ascii="Arial" w:cs="Arial" w:eastAsia="Arial" w:hAnsi="Arial"/>
                <w:sz w:val="16"/>
                <w:szCs w:val="16"/>
                <w:color w:val="auto"/>
              </w:rPr>
              <w:t>(Level 3)</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Domestic Plans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core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U.S. small/midcap</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64,165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alternative strategies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International equity</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31,820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Emerging market equity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Fixed income securities: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fixed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0" w:type="dxa"/>
            <w:vAlign w:val="bottom"/>
            <w:tcBorders>
              <w:top w:val="single" w:sz="8" w:color="CCEEFF"/>
            </w:tcBorders>
            <w:shd w:val="clear" w:color="auto" w:fill="CCEEFF"/>
          </w:tcPr>
          <w:p>
            <w:pPr>
              <w:spacing w:after="0"/>
              <w:rPr>
                <w:sz w:val="19"/>
                <w:szCs w:val="19"/>
                <w:color w:val="auto"/>
              </w:rPr>
            </w:pPr>
          </w:p>
        </w:tc>
        <w:tc>
          <w:tcPr>
            <w:tcW w:w="510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Domestic Plans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07"/>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Foreign Plans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Equity securities funds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Fixed income securities funds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Diversified pooled fund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20,623</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equivalents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Total Foreign Plans</w:t>
            </w: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119,236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98,613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20,623</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definition of levels within the fair value hierarchy in the tables above is included in </w:t>
      </w:r>
      <w:r>
        <w:rPr>
          <w:rFonts w:ascii="Arial" w:cs="Arial" w:eastAsia="Arial" w:hAnsi="Arial"/>
          <w:sz w:val="18"/>
          <w:szCs w:val="18"/>
          <w:u w:val="single" w:color="auto"/>
          <w:color w:val="0000FF"/>
        </w:rPr>
        <w:t>Note O</w:t>
      </w:r>
      <w:r>
        <w:rPr>
          <w:rFonts w:ascii="Arial" w:cs="Arial" w:eastAsia="Arial" w:hAnsi="Arial"/>
          <w:sz w:val="18"/>
          <w:szCs w:val="18"/>
          <w:color w:val="auto"/>
        </w:rPr>
        <w:t>.</w:t>
      </w:r>
    </w:p>
    <w:p>
      <w:pPr>
        <w:spacing w:after="0" w:line="1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domestic plans, U.S. core, small/midcap, international, emerging market equity securities and U.S. treasury securities are valued based on quoted prices in active markets. For commercial paper securities, the prices received generally utilize observable inputs in the pricing methodologies. Other alternative strategies funds consist of two investments. One of these investments is valued annually based on net asset value and permits withdrawals annually after a 90-day notice, and the other investment is valued quarterly based on net asset values and has a three-year lock-up period and a 95-day notice following the lock-up period. The latter of these investments was sold during 2024.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foreign plans, the equity securities funds are comprised of U.K. and foreign equity funds valued daily based on fund net asset</w:t>
      </w:r>
    </w:p>
    <w:p>
      <w:pPr>
        <w:spacing w:after="0" w:line="2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values. Fixed income securities funds are U.K. and Canadian securities valued daily at net asset values. The diversified pooled fund is valued daily at net asset value and contains a combination of U.K. and foreign equity securities.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Employee and Retiree Benefit Plans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fair value measurements using significant unobservable inputs on changes in Level 3 plan assets are outlined below:</w:t>
      </w:r>
    </w:p>
    <w:p>
      <w:pPr>
        <w:sectPr>
          <w:pgSz w:w="11900" w:h="16838" w:orient="portrait"/>
          <w:cols w:equalWidth="0" w:num="1">
            <w:col w:w="11240"/>
          </w:cols>
          <w:pgMar w:left="320" w:top="229" w:right="339" w:bottom="1440" w:gutter="0" w:footer="0" w:header="0"/>
        </w:sect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Thousands of dollars</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wp:posOffset>
            </wp:positionV>
            <wp:extent cx="7117080" cy="152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17080" cy="152400"/>
                    </a:xfrm>
                    <a:prstGeom prst="rect">
                      <a:avLst/>
                    </a:prstGeom>
                    <a:noFill/>
                  </pic:spPr>
                </pic:pic>
              </a:graphicData>
            </a:graphic>
          </wp:anchor>
        </w:drawing>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at December 31, 2022</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wp:posOffset>
            </wp:positionV>
            <wp:extent cx="7117080" cy="144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Relating to assets held at the reporting date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Purchases, sales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wp:posOffset>
            </wp:positionV>
            <wp:extent cx="7117080" cy="152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17080" cy="15240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at December 31, 2023</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wp:posOffset>
            </wp:positionV>
            <wp:extent cx="7117080" cy="144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color w:val="auto"/>
        </w:rPr>
        <w:t>Relating to assets held at the reporting date</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Relating to assets sold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wp:posOffset>
            </wp:positionV>
            <wp:extent cx="7117080" cy="169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17080" cy="1695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at December 31, 2024</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Hedged Funds and Other</w:t>
      </w:r>
    </w:p>
    <w:p>
      <w:pPr>
        <w:jc w:val="center"/>
        <w:ind w:right="20"/>
        <w:spacing w:after="0"/>
        <w:rPr>
          <w:sz w:val="20"/>
          <w:szCs w:val="20"/>
          <w:color w:val="auto"/>
        </w:rPr>
      </w:pPr>
      <w:r>
        <w:rPr>
          <w:rFonts w:ascii="Arial" w:cs="Arial" w:eastAsia="Arial" w:hAnsi="Arial"/>
          <w:sz w:val="18"/>
          <w:szCs w:val="18"/>
          <w:color w:val="auto"/>
        </w:rPr>
        <w:t>Alternative Strategies</w:t>
      </w:r>
    </w:p>
    <w:p>
      <w:pPr>
        <w:spacing w:after="0" w:line="3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32,734</w:t>
      </w:r>
    </w:p>
    <w:p>
      <w:pPr>
        <w:spacing w:after="0" w:line="2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711</w:t>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(8,991)</w:t>
      </w:r>
    </w:p>
    <w:p>
      <w:pPr>
        <w:spacing w:after="0" w:line="2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24,454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15240</wp:posOffset>
            </wp:positionV>
            <wp:extent cx="13995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(3,574)</w:t>
      </w:r>
    </w:p>
    <w:p>
      <w:pPr>
        <w:spacing w:after="0" w:line="38"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(2,865)</w:t>
      </w:r>
    </w:p>
    <w:p>
      <w:pPr>
        <w:spacing w:after="0" w:line="2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18,015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38735</wp:posOffset>
            </wp:positionV>
            <wp:extent cx="13995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8320" w:space="720"/>
            <w:col w:w="2200"/>
          </w:cols>
          <w:pgMar w:left="320" w:top="229" w:right="339" w:bottom="1440" w:gutter="0" w:footer="0" w:header="0"/>
          <w:type w:val="continuous"/>
        </w:sectPr>
      </w:pPr>
    </w:p>
    <w:p>
      <w:pPr>
        <w:spacing w:after="0" w:line="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401(K) PLANS - Most full-time U.S. employees of the Company may participate in a 401(k) or similar savings plans by allotting up to a specified percentage of their base pay. The Company matches contributions at a stated percentage of each employee’s allotment based on years of participation in the plans, with a maximum match of 6.0%. Amounts charged to expense for the Company’s match to these plans were $8.7 million in 2024, $8.5 million in 2023 and $6.0 million in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Financial Instruments and Risk Management</w:t>
      </w:r>
    </w:p>
    <w:p>
      <w:pPr>
        <w:spacing w:after="0" w:line="11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DERIVATIVE INSTRUMENTS – Murphy uses derivative instruments, such as swaps and zero-cost commodity price collar contracts, to manage certain risks related to commodity prices, foreign currency exchange rates and interest rates. The use of derivative instruments for risk management is covered by 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Risks</w:t>
      </w:r>
    </w:p>
    <w:p>
      <w:pPr>
        <w:spacing w:after="0" w:line="11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is subject to commodity price risk related to products it produces and sells. During 2024, the Company entered into natural gas swap contracts that will be effective in 2025. Under the swap contracts, which mature monthly, the Company pays the average monthly price in effect and receives the fixed contract price on a notional amount of sales volume, thereby fixing the price for the commodity sold.</w:t>
      </w:r>
    </w:p>
    <w:p>
      <w:pPr>
        <w:spacing w:after="0" w:line="70"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color w:val="auto"/>
        </w:rPr>
        <w:t>At December 31, 2024 volumes per day associated with outstanding natural gas derivative contracts and the weighted average prices for these contracts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NYMEX Henry Hub</w:t>
            </w:r>
          </w:p>
        </w:tc>
        <w:tc>
          <w:tcPr>
            <w:tcW w:w="16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Area</w:t>
            </w: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Commodity</w:t>
            </w:r>
          </w:p>
        </w:tc>
        <w:tc>
          <w:tcPr>
            <w:tcW w:w="1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Volumes MMCF/d</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Price/MCF</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Start Date</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End Date</w:t>
            </w:r>
          </w:p>
        </w:tc>
      </w:tr>
      <w:tr>
        <w:trPr>
          <w:trHeight w:val="22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price derivative swap</w:t>
            </w:r>
          </w:p>
        </w:tc>
        <w:tc>
          <w:tcPr>
            <w:tcW w:w="1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1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Natural gas</w:t>
            </w: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1/1/2025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1/31/2025</w:t>
            </w:r>
          </w:p>
        </w:tc>
      </w:tr>
    </w:tbl>
    <w:p>
      <w:pPr>
        <w:spacing w:after="0" w:line="170"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color w:val="auto"/>
        </w:rPr>
        <w:t>Subsequent to year end, the Company entered into additional natural gas derivative contracts. Volumes per day and the weighted average prices for these contracts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NYMEX Henry Hub</w:t>
            </w:r>
          </w:p>
        </w:tc>
        <w:tc>
          <w:tcPr>
            <w:tcW w:w="16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Area</w:t>
            </w: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Commodity</w:t>
            </w:r>
          </w:p>
        </w:tc>
        <w:tc>
          <w:tcPr>
            <w:tcW w:w="17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8"/>
              </w:rPr>
              <w:t>Volumes MMCF/d</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9"/>
              </w:rPr>
              <w:t>Price/MCF</w:t>
            </w: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Start Date</w:t>
            </w: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End Date</w:t>
            </w:r>
          </w:p>
        </w:tc>
      </w:tr>
      <w:tr>
        <w:trPr>
          <w:trHeight w:val="22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price derivative swap</w:t>
            </w:r>
          </w:p>
        </w:tc>
        <w:tc>
          <w:tcPr>
            <w:tcW w:w="1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Natural gas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2/1/2025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6/30/2025</w:t>
            </w:r>
          </w:p>
        </w:tc>
      </w:tr>
      <w:tr>
        <w:trPr>
          <w:trHeight w:val="227"/>
        </w:trPr>
        <w:tc>
          <w:tcPr>
            <w:tcW w:w="2680" w:type="dxa"/>
            <w:vAlign w:val="bottom"/>
          </w:tcPr>
          <w:p>
            <w:pPr>
              <w:ind w:left="20"/>
              <w:spacing w:after="0"/>
              <w:rPr>
                <w:sz w:val="20"/>
                <w:szCs w:val="20"/>
                <w:color w:val="auto"/>
              </w:rPr>
            </w:pPr>
            <w:r>
              <w:rPr>
                <w:rFonts w:ascii="Arial" w:cs="Arial" w:eastAsia="Arial" w:hAnsi="Arial"/>
                <w:sz w:val="18"/>
                <w:szCs w:val="18"/>
                <w:color w:val="auto"/>
              </w:rPr>
              <w:t>Fixed price derivative swap</w:t>
            </w:r>
          </w:p>
        </w:tc>
        <w:tc>
          <w:tcPr>
            <w:tcW w:w="164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320"/>
              <w:spacing w:after="0"/>
              <w:rPr>
                <w:sz w:val="20"/>
                <w:szCs w:val="20"/>
                <w:color w:val="auto"/>
              </w:rPr>
            </w:pPr>
            <w:r>
              <w:rPr>
                <w:rFonts w:ascii="Arial" w:cs="Arial" w:eastAsia="Arial" w:hAnsi="Arial"/>
                <w:sz w:val="18"/>
                <w:szCs w:val="18"/>
                <w:color w:val="auto"/>
              </w:rPr>
              <w:t>Natural gas</w:t>
            </w:r>
          </w:p>
        </w:tc>
        <w:tc>
          <w:tcPr>
            <w:tcW w:w="17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7/1/2025</w:t>
            </w:r>
          </w:p>
        </w:tc>
        <w:tc>
          <w:tcPr>
            <w:tcW w:w="1180" w:type="dxa"/>
            <w:vAlign w:val="bottom"/>
          </w:tcPr>
          <w:p>
            <w:pPr>
              <w:jc w:val="right"/>
              <w:spacing w:after="0"/>
              <w:rPr>
                <w:sz w:val="20"/>
                <w:szCs w:val="20"/>
                <w:color w:val="auto"/>
              </w:rPr>
            </w:pPr>
            <w:r>
              <w:rPr>
                <w:rFonts w:ascii="Arial" w:cs="Arial" w:eastAsia="Arial" w:hAnsi="Arial"/>
                <w:sz w:val="18"/>
                <w:szCs w:val="18"/>
                <w:color w:val="auto"/>
              </w:rPr>
              <w:t>9/30/2025</w:t>
            </w:r>
          </w:p>
        </w:tc>
      </w:tr>
      <w:tr>
        <w:trPr>
          <w:trHeight w:val="227"/>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price derivative swap</w:t>
            </w:r>
          </w:p>
        </w:tc>
        <w:tc>
          <w:tcPr>
            <w:tcW w:w="1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Natural gas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10/1/2025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12/31/2025</w:t>
            </w:r>
          </w:p>
        </w:tc>
      </w:tr>
      <w:tr>
        <w:trPr>
          <w:trHeight w:val="898"/>
        </w:trPr>
        <w:tc>
          <w:tcPr>
            <w:tcW w:w="2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93</w:t>
            </w: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8"/>
        </w:trPr>
        <w:tc>
          <w:tcPr>
            <w:tcW w:w="268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Financial Instruments and Risk Management (Continued)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the Company did not have any outstanding crude oil or natural gas derivative contracts.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Exchange Risks</w:t>
      </w:r>
    </w:p>
    <w:p>
      <w:pPr>
        <w:spacing w:after="0" w:line="114"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color w:val="auto"/>
        </w:rPr>
        <w:t>The Company is subject to foreign currency exchange risk associated with operations in countries outside the U.S. The Company had no foreign currency exchange short-term derivative instruments outstanding as of December 31, 2024 and 2023.</w:t>
      </w:r>
    </w:p>
    <w:p>
      <w:pPr>
        <w:spacing w:after="0" w:line="5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 xml:space="preserve">At December 31, 2024 and 2023, the fair value of derivative instruments not designated as hedging instruments are presented in the following table. See also </w:t>
      </w:r>
      <w:r>
        <w:rPr>
          <w:rFonts w:ascii="Arial" w:cs="Arial" w:eastAsia="Arial" w:hAnsi="Arial"/>
          <w:sz w:val="18"/>
          <w:szCs w:val="18"/>
          <w:u w:val="single" w:color="auto"/>
          <w:color w:val="0000FF"/>
        </w:rPr>
        <w:t>Note O</w:t>
      </w:r>
      <w:r>
        <w:rPr>
          <w:rFonts w:ascii="Arial" w:cs="Arial" w:eastAsia="Arial" w:hAnsi="Arial"/>
          <w:sz w:val="18"/>
          <w:szCs w:val="18"/>
          <w:color w:val="auto"/>
        </w:rPr>
        <w: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4"/>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00" w:type="dxa"/>
            <w:vAlign w:val="bottom"/>
          </w:tcPr>
          <w:p>
            <w:pPr>
              <w:spacing w:after="0"/>
              <w:rPr>
                <w:sz w:val="17"/>
                <w:szCs w:val="17"/>
                <w:color w:val="auto"/>
              </w:rPr>
            </w:pPr>
          </w:p>
        </w:tc>
        <w:tc>
          <w:tcPr>
            <w:tcW w:w="5360" w:type="dxa"/>
            <w:vAlign w:val="bottom"/>
            <w:gridSpan w:val="5"/>
          </w:tcPr>
          <w:p>
            <w:pPr>
              <w:ind w:left="340"/>
              <w:spacing w:after="0"/>
              <w:rPr>
                <w:sz w:val="20"/>
                <w:szCs w:val="20"/>
                <w:color w:val="auto"/>
              </w:rPr>
            </w:pPr>
            <w:r>
              <w:rPr>
                <w:rFonts w:ascii="Arial" w:cs="Arial" w:eastAsia="Arial" w:hAnsi="Arial"/>
                <w:sz w:val="18"/>
                <w:szCs w:val="18"/>
                <w:b w:val="1"/>
                <w:bCs w:val="1"/>
                <w:color w:val="auto"/>
              </w:rPr>
              <w:t>Asset (Liability) Derivatives Fair Value at December 31,</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 xml:space="preserve">Type of </w:t>
            </w:r>
            <w:r>
              <w:rPr>
                <w:rFonts w:ascii="Arial" w:cs="Arial" w:eastAsia="Arial" w:hAnsi="Arial"/>
                <w:sz w:val="17"/>
                <w:szCs w:val="17"/>
                <w:b w:val="1"/>
                <w:bCs w:val="1"/>
                <w:color w:val="auto"/>
              </w:rPr>
              <w:t>Derivative Contract</w:t>
            </w:r>
          </w:p>
        </w:tc>
        <w:tc>
          <w:tcPr>
            <w:tcW w:w="15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920" w:type="dxa"/>
            <w:vAlign w:val="bottom"/>
            <w:gridSpan w:val="4"/>
            <w:vMerge w:val="continue"/>
          </w:tcPr>
          <w:p>
            <w:pPr>
              <w:spacing w:after="0"/>
              <w:rPr>
                <w:sz w:val="19"/>
                <w:szCs w:val="19"/>
                <w:color w:val="auto"/>
              </w:rPr>
            </w:pPr>
          </w:p>
        </w:tc>
        <w:tc>
          <w:tcPr>
            <w:tcW w:w="1500" w:type="dxa"/>
            <w:vAlign w:val="bottom"/>
          </w:tcPr>
          <w:p>
            <w:pPr>
              <w:spacing w:after="0"/>
              <w:rPr>
                <w:sz w:val="19"/>
                <w:szCs w:val="19"/>
                <w:color w:val="auto"/>
              </w:rPr>
            </w:pPr>
          </w:p>
        </w:tc>
        <w:tc>
          <w:tcPr>
            <w:tcW w:w="4100" w:type="dxa"/>
            <w:vAlign w:val="bottom"/>
            <w:gridSpan w:val="3"/>
          </w:tcPr>
          <w:p>
            <w:pPr>
              <w:jc w:val="right"/>
              <w:ind w:right="1931"/>
              <w:spacing w:after="0"/>
              <w:rPr>
                <w:sz w:val="20"/>
                <w:szCs w:val="20"/>
                <w:color w:val="auto"/>
              </w:rPr>
            </w:pPr>
            <w:r>
              <w:rPr>
                <w:rFonts w:ascii="Arial" w:cs="Arial" w:eastAsia="Arial" w:hAnsi="Arial"/>
                <w:sz w:val="18"/>
                <w:szCs w:val="18"/>
                <w:b w:val="1"/>
                <w:bCs w:val="1"/>
                <w:color w:val="auto"/>
              </w:rPr>
              <w:t>Balance Sheet Location</w:t>
            </w:r>
          </w:p>
        </w:tc>
        <w:tc>
          <w:tcPr>
            <w:tcW w:w="11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1460" w:type="dxa"/>
            <w:vAlign w:val="bottom"/>
          </w:tcPr>
          <w:p>
            <w:pPr>
              <w:jc w:val="right"/>
              <w:ind w:right="451"/>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0"/>
        </w:trPr>
        <w:tc>
          <w:tcPr>
            <w:tcW w:w="28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Commodity swaps</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820"/>
        <w:spacing w:after="0" w:line="278" w:lineRule="auto"/>
        <w:rPr>
          <w:sz w:val="20"/>
          <w:szCs w:val="20"/>
          <w:color w:val="auto"/>
        </w:rPr>
      </w:pPr>
      <w:r>
        <w:rPr>
          <w:rFonts w:ascii="Arial" w:cs="Arial" w:eastAsia="Arial" w:hAnsi="Arial"/>
          <w:sz w:val="18"/>
          <w:szCs w:val="18"/>
          <w:color w:val="auto"/>
        </w:rPr>
        <w:t>The gains and losses recognized in the Consolidated Statements of Operations for derivative instruments not designated as hedging instruments for each of the three years presented are shown in the following table.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20" w:type="dxa"/>
            <w:vAlign w:val="bottom"/>
            <w:gridSpan w:val="4"/>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571"/>
              <w:spacing w:after="0"/>
              <w:rPr>
                <w:sz w:val="20"/>
                <w:szCs w:val="20"/>
                <w:color w:val="auto"/>
              </w:rPr>
            </w:pPr>
            <w:r>
              <w:rPr>
                <w:rFonts w:ascii="Arial" w:cs="Arial" w:eastAsia="Arial" w:hAnsi="Arial"/>
                <w:sz w:val="18"/>
                <w:szCs w:val="18"/>
                <w:b w:val="1"/>
                <w:bCs w:val="1"/>
                <w:color w:val="auto"/>
                <w:w w:val="98"/>
              </w:rPr>
              <w:t>Gain (Loss)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020" w:type="dxa"/>
            <w:vAlign w:val="bottom"/>
            <w:gridSpan w:val="4"/>
            <w:vMerge w:val="continue"/>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60" w:type="dxa"/>
            <w:vAlign w:val="bottom"/>
            <w:gridSpan w:val="6"/>
          </w:tcPr>
          <w:p>
            <w:pPr>
              <w:jc w:val="center"/>
              <w:ind w:left="651"/>
              <w:spacing w:after="0" w:line="181" w:lineRule="exact"/>
              <w:rPr>
                <w:sz w:val="20"/>
                <w:szCs w:val="20"/>
                <w:color w:val="auto"/>
              </w:rPr>
            </w:pPr>
            <w:r>
              <w:rPr>
                <w:rFonts w:ascii="Arial" w:cs="Arial" w:eastAsia="Arial" w:hAnsi="Arial"/>
                <w:sz w:val="18"/>
                <w:szCs w:val="18"/>
                <w:b w:val="1"/>
                <w:bCs w:val="1"/>
                <w:color w:val="auto"/>
                <w:w w:val="98"/>
              </w:rPr>
              <w:t>Year Ended December 31,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294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auto"/>
              </w:rPr>
              <w:t>Type of Derivative Contract</w:t>
            </w:r>
          </w:p>
        </w:tc>
        <w:tc>
          <w:tcPr>
            <w:tcW w:w="37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Statement of Operations Locations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940" w:type="dxa"/>
            <w:vAlign w:val="bottom"/>
            <w:gridSpan w:val="3"/>
            <w:vMerge w:val="continue"/>
          </w:tcPr>
          <w:p>
            <w:pPr>
              <w:spacing w:after="0"/>
              <w:rPr>
                <w:sz w:val="19"/>
                <w:szCs w:val="19"/>
                <w:color w:val="auto"/>
              </w:rPr>
            </w:pPr>
          </w:p>
        </w:tc>
        <w:tc>
          <w:tcPr>
            <w:tcW w:w="37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0"/>
        </w:trPr>
        <w:tc>
          <w:tcPr>
            <w:tcW w:w="29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Commodity swaps</w:t>
            </w:r>
          </w:p>
        </w:tc>
        <w:tc>
          <w:tcPr>
            <w:tcW w:w="1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on derivative instruments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(160,690)</w:t>
            </w:r>
          </w:p>
        </w:tc>
        <w:tc>
          <w:tcPr>
            <w:tcW w:w="0" w:type="dxa"/>
            <w:vAlign w:val="bottom"/>
          </w:tcPr>
          <w:p>
            <w:pPr>
              <w:spacing w:after="0"/>
              <w:rPr>
                <w:sz w:val="1"/>
                <w:szCs w:val="1"/>
                <w:color w:val="auto"/>
              </w:rPr>
            </w:pPr>
          </w:p>
        </w:tc>
      </w:tr>
      <w:tr>
        <w:trPr>
          <w:trHeight w:val="245"/>
        </w:trPr>
        <w:tc>
          <w:tcPr>
            <w:tcW w:w="3020" w:type="dxa"/>
            <w:vAlign w:val="bottom"/>
            <w:gridSpan w:val="4"/>
          </w:tcPr>
          <w:p>
            <w:pPr>
              <w:ind w:left="20"/>
              <w:spacing w:after="0"/>
              <w:rPr>
                <w:sz w:val="20"/>
                <w:szCs w:val="20"/>
                <w:color w:val="auto"/>
              </w:rPr>
            </w:pPr>
            <w:r>
              <w:rPr>
                <w:rFonts w:ascii="Arial" w:cs="Arial" w:eastAsia="Arial" w:hAnsi="Arial"/>
                <w:sz w:val="18"/>
                <w:szCs w:val="18"/>
                <w:color w:val="auto"/>
              </w:rPr>
              <w:t>Commodity collars</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Loss on derivative instruments</w:t>
            </w:r>
          </w:p>
        </w:tc>
        <w:tc>
          <w:tcPr>
            <w:tcW w:w="32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76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(159,721)</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Risks</w:t>
      </w:r>
    </w:p>
    <w:p>
      <w:pPr>
        <w:spacing w:after="0" w:line="1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is subject to credit risks primarily associated with trade accounts receivable, cash equivalents and derivative instruments. Trade receivables arise mainly from sales of oil and natural gas in the U.S. and Canada and cost sharing amounts, of operating and capital costs billed to partners, for properties operated by Murphy. The credit history and financial condition of potential customers are reviewed before credit is extended. Security is obtained when deemed appropriate based on a potential customer’s financial condition, and routine follow-up evaluations are made. The combination of these evaluations and the large number of customers tends to limit the risk associated with any one customer. Cash balances and cash equivalents are held with several major financial institutions, which limit the Company’s exposure to credit risk for its cash assets. The Company controls credit risk on derivatives through credit approvals and monitoring procedures and believes that such risks are minimal, because counterparties to the majority of transactions are major financial institutions.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Net Income (Loss) Per Common Share</w:t>
      </w:r>
    </w:p>
    <w:p>
      <w:pPr>
        <w:spacing w:after="0" w:line="11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Net income (loss) attributable to Murphy was used as the numerator in computing both basic and diluted income per common share for each of the three years presented</w:t>
      </w:r>
      <w:r>
        <w:rPr>
          <w:rFonts w:ascii="Arial" w:cs="Arial" w:eastAsia="Arial" w:hAnsi="Arial"/>
          <w:sz w:val="14"/>
          <w:szCs w:val="14"/>
          <w:color w:val="auto"/>
        </w:rPr>
        <w:t>.</w:t>
      </w:r>
      <w:r>
        <w:rPr>
          <w:rFonts w:ascii="Arial" w:cs="Arial" w:eastAsia="Arial" w:hAnsi="Arial"/>
          <w:sz w:val="18"/>
          <w:szCs w:val="18"/>
          <w:color w:val="auto"/>
        </w:rPr>
        <w:t xml:space="preserve"> The following table reconciles the weighted-average shares outstanding used for these computations.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3"/>
          </w:tcPr>
          <w:p>
            <w:pPr>
              <w:ind w:left="20"/>
              <w:spacing w:after="0"/>
              <w:rPr>
                <w:sz w:val="20"/>
                <w:szCs w:val="20"/>
                <w:color w:val="auto"/>
              </w:rPr>
            </w:pPr>
            <w:r>
              <w:rPr>
                <w:rFonts w:ascii="Arial" w:cs="Arial" w:eastAsia="Arial" w:hAnsi="Arial"/>
                <w:sz w:val="18"/>
                <w:szCs w:val="18"/>
                <w:i w:val="1"/>
                <w:iCs w:val="1"/>
                <w:color w:val="auto"/>
              </w:rPr>
              <w:t>(Weighted-average shares)</w:t>
            </w:r>
          </w:p>
        </w:tc>
        <w:tc>
          <w:tcPr>
            <w:tcW w:w="15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1460" w:type="dxa"/>
            <w:vAlign w:val="bottom"/>
          </w:tcPr>
          <w:p>
            <w:pPr>
              <w:jc w:val="right"/>
              <w:ind w:right="45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440" w:type="dxa"/>
            <w:vAlign w:val="bottom"/>
          </w:tcPr>
          <w:p>
            <w:pPr>
              <w:jc w:val="right"/>
              <w:ind w:right="431"/>
              <w:spacing w:after="0"/>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04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0"/>
        </w:trPr>
        <w:tc>
          <w:tcPr>
            <w:tcW w:w="6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Basic method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150,011,458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155,233,560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155,276,533</w:t>
            </w:r>
          </w:p>
        </w:tc>
      </w:tr>
      <w:tr>
        <w:trPr>
          <w:trHeight w:val="227"/>
        </w:trPr>
        <w:tc>
          <w:tcPr>
            <w:tcW w:w="6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Dilutive stock options and restricted stock units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1,015,894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1,412,869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2,198,305</w:t>
            </w: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 method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151,027,352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156,646,429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157,474,838</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800"/>
        <w:spacing w:after="0" w:line="262" w:lineRule="auto"/>
        <w:rPr>
          <w:sz w:val="20"/>
          <w:szCs w:val="20"/>
          <w:color w:val="auto"/>
        </w:rPr>
      </w:pPr>
      <w:r>
        <w:rPr>
          <w:rFonts w:ascii="Arial" w:cs="Arial" w:eastAsia="Arial" w:hAnsi="Arial"/>
          <w:sz w:val="18"/>
          <w:szCs w:val="18"/>
          <w:color w:val="auto"/>
        </w:rPr>
        <w:t>The following table reflects certain options to purchase shares of common stock that were outstanding during each of the three years presented but were not included in the computation of diluted earnings per share because the incremental shares from the assumed conversion were antidilutive.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2024</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431"/>
              <w:spacing w:after="0"/>
              <w:rPr>
                <w:sz w:val="20"/>
                <w:szCs w:val="20"/>
                <w:color w:val="auto"/>
              </w:rPr>
            </w:pPr>
            <w:r>
              <w:rPr>
                <w:rFonts w:ascii="Arial" w:cs="Arial" w:eastAsia="Arial" w:hAnsi="Arial"/>
                <w:sz w:val="18"/>
                <w:szCs w:val="18"/>
                <w:color w:val="auto"/>
              </w:rPr>
              <w:t>2022</w:t>
            </w:r>
          </w:p>
        </w:tc>
      </w:tr>
      <w:tr>
        <w:trPr>
          <w:trHeight w:val="22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stock options excluded from diluted shares</w:t>
            </w:r>
          </w:p>
        </w:tc>
        <w:tc>
          <w:tcPr>
            <w:tcW w:w="10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126,000</w:t>
            </w:r>
          </w:p>
        </w:tc>
      </w:tr>
      <w:tr>
        <w:trPr>
          <w:trHeight w:val="245"/>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Weighted average price of these options</w:t>
            </w:r>
          </w:p>
        </w:tc>
        <w:tc>
          <w:tcPr>
            <w:tcW w:w="1540" w:type="dxa"/>
            <w:vAlign w:val="bottom"/>
            <w:gridSpan w:val="3"/>
          </w:tcPr>
          <w:p>
            <w:pPr>
              <w:ind w:left="1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$49.65</w:t>
            </w:r>
          </w:p>
        </w:tc>
      </w:tr>
      <w:tr>
        <w:trPr>
          <w:trHeight w:val="880"/>
        </w:trPr>
        <w:tc>
          <w:tcPr>
            <w:tcW w:w="6740" w:type="dxa"/>
            <w:vAlign w:val="bottom"/>
          </w:tcPr>
          <w:p>
            <w:pPr>
              <w:jc w:val="right"/>
              <w:ind w:right="931"/>
              <w:spacing w:after="0"/>
              <w:rPr>
                <w:sz w:val="20"/>
                <w:szCs w:val="20"/>
                <w:color w:val="auto"/>
              </w:rPr>
            </w:pPr>
            <w:r>
              <w:rPr>
                <w:rFonts w:ascii="Arial" w:cs="Arial" w:eastAsia="Arial" w:hAnsi="Arial"/>
                <w:sz w:val="18"/>
                <w:szCs w:val="18"/>
                <w:color w:val="auto"/>
              </w:rPr>
              <w:t>94</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8"/>
        </w:trPr>
        <w:tc>
          <w:tcPr>
            <w:tcW w:w="67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Other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from Foreign Currency Transactions</w:t>
      </w:r>
    </w:p>
    <w:p>
      <w:pPr>
        <w:spacing w:after="0" w:line="114"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color w:val="auto"/>
        </w:rPr>
        <w:t>Net gains (losses) from foreign currency transactions, including the effects of foreign currency contracts, included in the Consolidated Statements of Operations were $45.4 million gain in 2024, $10.8 million loss in 2023 and $23.0 million gain in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Supplemental Information to Statement of Cash Flows</w:t>
            </w:r>
          </w:p>
        </w:tc>
        <w:tc>
          <w:tcPr>
            <w:tcW w:w="2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6700" w:type="dxa"/>
            <w:vAlign w:val="bottom"/>
            <w:gridSpan w:val="4"/>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0" w:type="dxa"/>
            <w:vAlign w:val="bottom"/>
          </w:tcPr>
          <w:p>
            <w:pPr>
              <w:spacing w:after="0"/>
              <w:rPr>
                <w:sz w:val="24"/>
                <w:szCs w:val="24"/>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3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6620" w:type="dxa"/>
            <w:vAlign w:val="bottom"/>
            <w:gridSpan w:val="3"/>
            <w:vMerge w:val="restart"/>
          </w:tcPr>
          <w:p>
            <w:pPr>
              <w:ind w:left="100"/>
              <w:spacing w:after="0" w:line="194" w:lineRule="exact"/>
              <w:rPr>
                <w:sz w:val="20"/>
                <w:szCs w:val="20"/>
                <w:color w:val="auto"/>
              </w:rPr>
            </w:pPr>
            <w:r>
              <w:rPr>
                <w:rFonts w:ascii="Arial" w:cs="Arial" w:eastAsia="Arial" w:hAnsi="Arial"/>
                <w:sz w:val="18"/>
                <w:szCs w:val="18"/>
                <w:color w:val="auto"/>
              </w:rPr>
              <w:t>Net (increase) decrease in operating working capital, excluding cash and cash</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80" w:type="dxa"/>
            <w:vAlign w:val="bottom"/>
            <w:vMerge w:val="continue"/>
          </w:tcPr>
          <w:p>
            <w:pPr>
              <w:spacing w:after="0"/>
              <w:rPr>
                <w:sz w:val="13"/>
                <w:szCs w:val="13"/>
                <w:color w:val="auto"/>
              </w:rPr>
            </w:pPr>
          </w:p>
        </w:tc>
        <w:tc>
          <w:tcPr>
            <w:tcW w:w="66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620" w:type="dxa"/>
            <w:vAlign w:val="bottom"/>
            <w:gridSpan w:val="3"/>
          </w:tcPr>
          <w:p>
            <w:pPr>
              <w:ind w:left="100"/>
              <w:spacing w:after="0"/>
              <w:rPr>
                <w:sz w:val="20"/>
                <w:szCs w:val="20"/>
                <w:color w:val="auto"/>
              </w:rPr>
            </w:pPr>
            <w:r>
              <w:rPr>
                <w:rFonts w:ascii="Arial" w:cs="Arial" w:eastAsia="Arial" w:hAnsi="Arial"/>
                <w:sz w:val="18"/>
                <w:szCs w:val="18"/>
                <w:color w:val="auto"/>
              </w:rPr>
              <w:t>equivalents: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0" w:type="dxa"/>
            <w:vAlign w:val="bottom"/>
            <w:shd w:val="clear" w:color="auto" w:fill="CCEEFF"/>
          </w:tcPr>
          <w:p>
            <w:pPr>
              <w:spacing w:after="0"/>
              <w:rPr>
                <w:sz w:val="20"/>
                <w:szCs w:val="20"/>
                <w:color w:val="auto"/>
              </w:rPr>
            </w:pPr>
          </w:p>
        </w:tc>
        <w:tc>
          <w:tcPr>
            <w:tcW w:w="66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(Increase) decrease in accounts receivable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(137,228)</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620" w:type="dxa"/>
            <w:vAlign w:val="bottom"/>
            <w:gridSpan w:val="3"/>
          </w:tcPr>
          <w:p>
            <w:pPr>
              <w:ind w:left="380"/>
              <w:spacing w:after="0"/>
              <w:rPr>
                <w:sz w:val="20"/>
                <w:szCs w:val="20"/>
                <w:color w:val="auto"/>
              </w:rPr>
            </w:pPr>
            <w:r>
              <w:rPr>
                <w:rFonts w:ascii="Arial" w:cs="Arial" w:eastAsia="Arial" w:hAnsi="Arial"/>
                <w:sz w:val="18"/>
                <w:szCs w:val="18"/>
                <w:color w:val="auto"/>
              </w:rPr>
              <w:t>(Increase) decrease in 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(Increase) decrease in 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620" w:type="dxa"/>
            <w:vAlign w:val="bottom"/>
            <w:gridSpan w:val="3"/>
          </w:tcPr>
          <w:p>
            <w:pPr>
              <w:ind w:left="380"/>
              <w:spacing w:after="0"/>
              <w:rPr>
                <w:sz w:val="20"/>
                <w:szCs w:val="20"/>
                <w:color w:val="auto"/>
              </w:rPr>
            </w:pPr>
            <w:r>
              <w:rPr>
                <w:rFonts w:ascii="Arial" w:cs="Arial" w:eastAsia="Arial" w:hAnsi="Arial"/>
                <w:sz w:val="18"/>
                <w:szCs w:val="18"/>
                <w:color w:val="auto"/>
              </w:rPr>
              <w:t>Increase (decrease) in accounts payable and accrued liabilities ¹</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69,854</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Increase (decrease) in income taxes payable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6620" w:type="dxa"/>
            <w:vAlign w:val="bottom"/>
            <w:gridSpan w:val="3"/>
          </w:tcPr>
          <w:p>
            <w:pPr>
              <w:ind w:left="580"/>
              <w:spacing w:after="0"/>
              <w:rPr>
                <w:sz w:val="20"/>
                <w:szCs w:val="20"/>
                <w:color w:val="auto"/>
              </w:rPr>
            </w:pPr>
            <w:r>
              <w:rPr>
                <w:rFonts w:ascii="Arial" w:cs="Arial" w:eastAsia="Arial" w:hAnsi="Arial"/>
                <w:sz w:val="18"/>
                <w:szCs w:val="18"/>
                <w:color w:val="auto"/>
              </w:rPr>
              <w:t>Net decrease (increase) in non-cash operating working capital</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(65,728)</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00" w:type="dxa"/>
            <w:vAlign w:val="bottom"/>
            <w:gridSpan w:val="4"/>
            <w:shd w:val="clear" w:color="auto" w:fill="CCEEFF"/>
          </w:tcPr>
          <w:p>
            <w:pPr>
              <w:ind w:left="20"/>
              <w:spacing w:after="0" w:line="194" w:lineRule="exact"/>
              <w:rPr>
                <w:sz w:val="20"/>
                <w:szCs w:val="20"/>
                <w:color w:val="auto"/>
              </w:rPr>
            </w:pPr>
            <w:r>
              <w:rPr>
                <w:rFonts w:ascii="Arial" w:cs="Arial" w:eastAsia="Arial" w:hAnsi="Arial"/>
                <w:sz w:val="18"/>
                <w:szCs w:val="18"/>
                <w:color w:val="auto"/>
              </w:rPr>
              <w:t>Supplementary disclosures: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620" w:type="dxa"/>
            <w:vAlign w:val="bottom"/>
            <w:gridSpan w:val="3"/>
          </w:tcPr>
          <w:p>
            <w:pPr>
              <w:ind w:left="380"/>
              <w:spacing w:after="0"/>
              <w:rPr>
                <w:sz w:val="20"/>
                <w:szCs w:val="20"/>
                <w:color w:val="auto"/>
              </w:rPr>
            </w:pPr>
            <w:r>
              <w:rPr>
                <w:rFonts w:ascii="Arial" w:cs="Arial" w:eastAsia="Arial" w:hAnsi="Arial"/>
                <w:sz w:val="18"/>
                <w:szCs w:val="18"/>
                <w:color w:val="auto"/>
              </w:rPr>
              <w:t>Cash income taxes paid, net of refunds</w:t>
            </w: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12,648</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24,853</w:t>
            </w:r>
          </w:p>
        </w:tc>
        <w:tc>
          <w:tcPr>
            <w:tcW w:w="0" w:type="dxa"/>
            <w:vAlign w:val="bottom"/>
          </w:tcPr>
          <w:p>
            <w:pPr>
              <w:spacing w:after="0"/>
              <w:rPr>
                <w:sz w:val="1"/>
                <w:szCs w:val="1"/>
                <w:color w:val="auto"/>
              </w:rPr>
            </w:pPr>
          </w:p>
        </w:tc>
      </w:tr>
      <w:tr>
        <w:trPr>
          <w:trHeight w:val="174"/>
        </w:trPr>
        <w:tc>
          <w:tcPr>
            <w:tcW w:w="80" w:type="dxa"/>
            <w:vAlign w:val="bottom"/>
            <w:shd w:val="clear" w:color="auto" w:fill="CCEEFF"/>
          </w:tcPr>
          <w:p>
            <w:pPr>
              <w:spacing w:after="0"/>
              <w:rPr>
                <w:sz w:val="15"/>
                <w:szCs w:val="15"/>
                <w:color w:val="auto"/>
              </w:rPr>
            </w:pPr>
          </w:p>
        </w:tc>
        <w:tc>
          <w:tcPr>
            <w:tcW w:w="6620" w:type="dxa"/>
            <w:vAlign w:val="bottom"/>
            <w:gridSpan w:val="3"/>
            <w:shd w:val="clear" w:color="auto" w:fill="CCEEFF"/>
          </w:tcPr>
          <w:p>
            <w:pPr>
              <w:ind w:left="380"/>
              <w:spacing w:after="0" w:line="174" w:lineRule="exact"/>
              <w:rPr>
                <w:sz w:val="20"/>
                <w:szCs w:val="20"/>
                <w:color w:val="auto"/>
              </w:rPr>
            </w:pPr>
            <w:r>
              <w:rPr>
                <w:rFonts w:ascii="Arial" w:cs="Arial" w:eastAsia="Arial" w:hAnsi="Arial"/>
                <w:sz w:val="18"/>
                <w:szCs w:val="18"/>
                <w:color w:val="auto"/>
              </w:rPr>
              <w:t>Interest paid, net of amounts capitalized of $11.4 million in 2024, $14.5 million</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78,806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0" w:type="dxa"/>
            <w:vAlign w:val="bottom"/>
            <w:shd w:val="clear" w:color="auto" w:fill="CCEEFF"/>
          </w:tcPr>
          <w:p>
            <w:pPr>
              <w:spacing w:after="0"/>
              <w:rPr>
                <w:sz w:val="20"/>
                <w:szCs w:val="20"/>
                <w:color w:val="auto"/>
              </w:rPr>
            </w:pPr>
          </w:p>
        </w:tc>
        <w:tc>
          <w:tcPr>
            <w:tcW w:w="66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in 2023 and $16.3 million in 2022</w:t>
            </w:r>
          </w:p>
        </w:tc>
        <w:tc>
          <w:tcPr>
            <w:tcW w:w="3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149,597</w:t>
            </w:r>
          </w:p>
        </w:tc>
        <w:tc>
          <w:tcPr>
            <w:tcW w:w="0" w:type="dxa"/>
            <w:vAlign w:val="bottom"/>
          </w:tcPr>
          <w:p>
            <w:pPr>
              <w:spacing w:after="0"/>
              <w:rPr>
                <w:sz w:val="1"/>
                <w:szCs w:val="1"/>
                <w:color w:val="auto"/>
              </w:rPr>
            </w:pPr>
          </w:p>
        </w:tc>
      </w:tr>
      <w:tr>
        <w:trPr>
          <w:trHeight w:val="227"/>
        </w:trPr>
        <w:tc>
          <w:tcPr>
            <w:tcW w:w="6700" w:type="dxa"/>
            <w:vAlign w:val="bottom"/>
            <w:gridSpan w:val="4"/>
          </w:tcPr>
          <w:p>
            <w:pPr>
              <w:ind w:left="20"/>
              <w:spacing w:after="0"/>
              <w:rPr>
                <w:sz w:val="20"/>
                <w:szCs w:val="20"/>
                <w:color w:val="auto"/>
              </w:rPr>
            </w:pPr>
            <w:r>
              <w:rPr>
                <w:rFonts w:ascii="Arial" w:cs="Arial" w:eastAsia="Arial" w:hAnsi="Arial"/>
                <w:sz w:val="18"/>
                <w:szCs w:val="18"/>
                <w:color w:val="auto"/>
              </w:rPr>
              <w:t>Non-cash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Asset retirement costs capitalized</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(21,147)</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620" w:type="dxa"/>
            <w:vAlign w:val="bottom"/>
            <w:gridSpan w:val="3"/>
          </w:tcPr>
          <w:p>
            <w:pPr>
              <w:ind w:left="380"/>
              <w:spacing w:after="0"/>
              <w:rPr>
                <w:sz w:val="20"/>
                <w:szCs w:val="20"/>
                <w:color w:val="auto"/>
              </w:rPr>
            </w:pPr>
            <w:r>
              <w:rPr>
                <w:rFonts w:ascii="Arial" w:cs="Arial" w:eastAsia="Arial" w:hAnsi="Arial"/>
                <w:sz w:val="18"/>
                <w:szCs w:val="18"/>
                <w:color w:val="auto"/>
              </w:rPr>
              <w:t>(Increase) decrease in capital expenditure accrual</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(31,397)</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60" w:hanging="147"/>
        <w:spacing w:after="0"/>
        <w:tabs>
          <w:tab w:leader="none" w:pos="16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Excludes receivable/payable balances relating to mark-to-market of derivative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Accumulated Other Comprehensive Loss</w:t>
      </w:r>
    </w:p>
    <w:p>
      <w:pPr>
        <w:spacing w:after="0" w:line="116"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components of ”Accumulated other comprehensive loss” on the Consolidated Balance Sheets for the periods presented and the changes during the respective periods are shown net of taxes in the following table.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Foreign</w:t>
            </w:r>
          </w:p>
        </w:tc>
        <w:tc>
          <w:tcPr>
            <w:tcW w:w="16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Retirement and</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380"/>
              <w:spacing w:after="0" w:line="182" w:lineRule="exact"/>
              <w:rPr>
                <w:sz w:val="20"/>
                <w:szCs w:val="20"/>
                <w:color w:val="auto"/>
              </w:rPr>
            </w:pPr>
            <w:r>
              <w:rPr>
                <w:rFonts w:ascii="Arial" w:cs="Arial" w:eastAsia="Arial" w:hAnsi="Arial"/>
                <w:sz w:val="18"/>
                <w:szCs w:val="18"/>
                <w:b w:val="1"/>
                <w:bCs w:val="1"/>
                <w:color w:val="auto"/>
                <w:w w:val="98"/>
              </w:rPr>
              <w:t>Currency</w:t>
            </w:r>
          </w:p>
        </w:tc>
        <w:tc>
          <w:tcPr>
            <w:tcW w:w="160" w:type="dxa"/>
            <w:vAlign w:val="bottom"/>
          </w:tcPr>
          <w:p>
            <w:pPr>
              <w:spacing w:after="0"/>
              <w:rPr>
                <w:sz w:val="15"/>
                <w:szCs w:val="15"/>
                <w:color w:val="auto"/>
              </w:rPr>
            </w:pPr>
          </w:p>
        </w:tc>
        <w:tc>
          <w:tcPr>
            <w:tcW w:w="1760" w:type="dxa"/>
            <w:vAlign w:val="bottom"/>
            <w:gridSpan w:val="2"/>
          </w:tcPr>
          <w:p>
            <w:pPr>
              <w:jc w:val="center"/>
              <w:ind w:right="380"/>
              <w:spacing w:after="0" w:line="182" w:lineRule="exact"/>
              <w:rPr>
                <w:sz w:val="20"/>
                <w:szCs w:val="20"/>
                <w:color w:val="auto"/>
              </w:rPr>
            </w:pPr>
            <w:r>
              <w:rPr>
                <w:rFonts w:ascii="Arial" w:cs="Arial" w:eastAsia="Arial" w:hAnsi="Arial"/>
                <w:sz w:val="18"/>
                <w:szCs w:val="18"/>
                <w:b w:val="1"/>
                <w:bCs w:val="1"/>
                <w:color w:val="auto"/>
                <w:w w:val="99"/>
              </w:rPr>
              <w:t>Postretirement</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0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0" w:type="dxa"/>
            <w:vAlign w:val="bottom"/>
          </w:tcPr>
          <w:p>
            <w:pPr>
              <w:spacing w:after="0"/>
              <w:rPr>
                <w:sz w:val="15"/>
                <w:szCs w:val="15"/>
                <w:color w:val="auto"/>
              </w:rPr>
            </w:pPr>
          </w:p>
        </w:tc>
        <w:tc>
          <w:tcPr>
            <w:tcW w:w="1720" w:type="dxa"/>
            <w:vAlign w:val="bottom"/>
            <w:gridSpan w:val="2"/>
          </w:tcPr>
          <w:p>
            <w:pPr>
              <w:jc w:val="center"/>
              <w:ind w:right="380"/>
              <w:spacing w:after="0" w:line="179" w:lineRule="exact"/>
              <w:rPr>
                <w:sz w:val="20"/>
                <w:szCs w:val="20"/>
                <w:color w:val="auto"/>
              </w:rPr>
            </w:pPr>
            <w:r>
              <w:rPr>
                <w:rFonts w:ascii="Arial" w:cs="Arial" w:eastAsia="Arial" w:hAnsi="Arial"/>
                <w:sz w:val="18"/>
                <w:szCs w:val="18"/>
                <w:b w:val="1"/>
                <w:bCs w:val="1"/>
                <w:color w:val="auto"/>
                <w:w w:val="96"/>
              </w:rPr>
              <w:t>Translation</w:t>
            </w:r>
          </w:p>
        </w:tc>
        <w:tc>
          <w:tcPr>
            <w:tcW w:w="160" w:type="dxa"/>
            <w:vAlign w:val="bottom"/>
          </w:tcPr>
          <w:p>
            <w:pPr>
              <w:spacing w:after="0"/>
              <w:rPr>
                <w:sz w:val="15"/>
                <w:szCs w:val="15"/>
                <w:color w:val="auto"/>
              </w:rPr>
            </w:pPr>
          </w:p>
        </w:tc>
        <w:tc>
          <w:tcPr>
            <w:tcW w:w="1760" w:type="dxa"/>
            <w:vAlign w:val="bottom"/>
            <w:gridSpan w:val="2"/>
          </w:tcPr>
          <w:p>
            <w:pPr>
              <w:jc w:val="center"/>
              <w:ind w:right="360"/>
              <w:spacing w:after="0" w:line="179" w:lineRule="exact"/>
              <w:rPr>
                <w:sz w:val="20"/>
                <w:szCs w:val="20"/>
                <w:color w:val="auto"/>
              </w:rPr>
            </w:pPr>
            <w:r>
              <w:rPr>
                <w:rFonts w:ascii="Arial" w:cs="Arial" w:eastAsia="Arial" w:hAnsi="Arial"/>
                <w:sz w:val="18"/>
                <w:szCs w:val="18"/>
                <w:b w:val="1"/>
                <w:bCs w:val="1"/>
                <w:color w:val="auto"/>
                <w:w w:val="99"/>
              </w:rPr>
              <w:t>Benefit Plan</w:t>
            </w:r>
          </w:p>
        </w:tc>
        <w:tc>
          <w:tcPr>
            <w:tcW w:w="360" w:type="dxa"/>
            <w:vAlign w:val="bottom"/>
          </w:tcPr>
          <w:p>
            <w:pPr>
              <w:spacing w:after="0"/>
              <w:rPr>
                <w:sz w:val="15"/>
                <w:szCs w:val="15"/>
                <w:color w:val="auto"/>
              </w:rPr>
            </w:pPr>
          </w:p>
        </w:tc>
        <w:tc>
          <w:tcPr>
            <w:tcW w:w="1280" w:type="dxa"/>
            <w:vAlign w:val="bottom"/>
            <w:vMerge w:val="restart"/>
          </w:tcPr>
          <w:p>
            <w:pPr>
              <w:jc w:val="right"/>
              <w:ind w:right="5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7"/>
        </w:trPr>
        <w:tc>
          <w:tcPr>
            <w:tcW w:w="58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60"/>
              <w:spacing w:after="0" w:line="187" w:lineRule="exact"/>
              <w:rPr>
                <w:sz w:val="20"/>
                <w:szCs w:val="20"/>
                <w:color w:val="auto"/>
              </w:rPr>
            </w:pPr>
            <w:r>
              <w:rPr>
                <w:rFonts w:ascii="Arial" w:cs="Arial" w:eastAsia="Arial" w:hAnsi="Arial"/>
                <w:sz w:val="18"/>
                <w:szCs w:val="18"/>
                <w:b w:val="1"/>
                <w:bCs w:val="1"/>
                <w:color w:val="auto"/>
                <w:w w:val="99"/>
              </w:rPr>
              <w:t>Gains (Losses)</w:t>
            </w:r>
          </w:p>
        </w:tc>
        <w:tc>
          <w:tcPr>
            <w:tcW w:w="160" w:type="dxa"/>
            <w:vAlign w:val="bottom"/>
          </w:tcPr>
          <w:p>
            <w:pPr>
              <w:spacing w:after="0"/>
              <w:rPr>
                <w:sz w:val="16"/>
                <w:szCs w:val="16"/>
                <w:color w:val="auto"/>
              </w:rPr>
            </w:pPr>
          </w:p>
        </w:tc>
        <w:tc>
          <w:tcPr>
            <w:tcW w:w="1760" w:type="dxa"/>
            <w:vAlign w:val="bottom"/>
            <w:gridSpan w:val="2"/>
          </w:tcPr>
          <w:p>
            <w:pPr>
              <w:jc w:val="center"/>
              <w:ind w:right="360"/>
              <w:spacing w:after="0" w:line="187" w:lineRule="exact"/>
              <w:rPr>
                <w:sz w:val="20"/>
                <w:szCs w:val="20"/>
                <w:color w:val="auto"/>
              </w:rPr>
            </w:pPr>
            <w:r>
              <w:rPr>
                <w:rFonts w:ascii="Arial" w:cs="Arial" w:eastAsia="Arial" w:hAnsi="Arial"/>
                <w:sz w:val="18"/>
                <w:szCs w:val="18"/>
                <w:b w:val="1"/>
                <w:bCs w:val="1"/>
                <w:color w:val="auto"/>
                <w:w w:val="99"/>
              </w:rPr>
              <w:t>Adjustments</w:t>
            </w:r>
          </w:p>
        </w:tc>
        <w:tc>
          <w:tcPr>
            <w:tcW w:w="3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(534,686)</w:t>
            </w:r>
          </w:p>
        </w:tc>
        <w:tc>
          <w:tcPr>
            <w:tcW w:w="0" w:type="dxa"/>
            <w:vAlign w:val="bottom"/>
          </w:tcPr>
          <w:p>
            <w:pPr>
              <w:spacing w:after="0"/>
              <w:rPr>
                <w:sz w:val="1"/>
                <w:szCs w:val="1"/>
                <w:color w:val="auto"/>
              </w:rPr>
            </w:pPr>
          </w:p>
        </w:tc>
      </w:tr>
      <w:tr>
        <w:trPr>
          <w:trHeight w:val="227"/>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2023 components of other comprehensive income (loss):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Before reclassifications to income</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720" w:type="dxa"/>
            <w:vAlign w:val="bottom"/>
            <w:gridSpan w:val="2"/>
          </w:tcPr>
          <w:p>
            <w:pPr>
              <w:ind w:left="380"/>
              <w:spacing w:after="0"/>
              <w:rPr>
                <w:sz w:val="20"/>
                <w:szCs w:val="20"/>
                <w:color w:val="auto"/>
              </w:rPr>
            </w:pPr>
            <w:r>
              <w:rPr>
                <w:rFonts w:ascii="Arial" w:cs="Arial" w:eastAsia="Arial" w:hAnsi="Arial"/>
                <w:sz w:val="18"/>
                <w:szCs w:val="18"/>
                <w:color w:val="auto"/>
              </w:rPr>
              <w:t>Reclassifications to income</w:t>
            </w:r>
          </w:p>
        </w:tc>
        <w:tc>
          <w:tcPr>
            <w:tcW w:w="16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4,551 ¹</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20"/>
        </w:trPr>
        <w:tc>
          <w:tcPr>
            <w:tcW w:w="80" w:type="dxa"/>
            <w:vAlign w:val="bottom"/>
            <w:tcBorders>
              <w:top w:val="single" w:sz="8" w:color="CCEEFF"/>
            </w:tcBorders>
            <w:shd w:val="clear" w:color="auto" w:fill="CCEEFF"/>
          </w:tcPr>
          <w:p>
            <w:pPr>
              <w:spacing w:after="0"/>
              <w:rPr>
                <w:sz w:val="19"/>
                <w:szCs w:val="19"/>
                <w:color w:val="auto"/>
              </w:rPr>
            </w:pPr>
          </w:p>
        </w:tc>
        <w:tc>
          <w:tcPr>
            <w:tcW w:w="5720" w:type="dxa"/>
            <w:vAlign w:val="bottom"/>
            <w:tcBorders>
              <w:top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Net 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36,598</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(23,029)</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w:t>
            </w:r>
          </w:p>
        </w:tc>
        <w:tc>
          <w:tcPr>
            <w:tcW w:w="0" w:type="dxa"/>
            <w:vAlign w:val="bottom"/>
          </w:tcPr>
          <w:p>
            <w:pPr>
              <w:spacing w:after="0"/>
              <w:rPr>
                <w:sz w:val="1"/>
                <w:szCs w:val="1"/>
                <w:color w:val="auto"/>
              </w:rPr>
            </w:pPr>
          </w:p>
        </w:tc>
      </w:tr>
      <w:tr>
        <w:trPr>
          <w:trHeight w:val="220"/>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Balance at December 31, 2023</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(381,632)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(139,485)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(521,117)</w:t>
            </w:r>
          </w:p>
        </w:tc>
        <w:tc>
          <w:tcPr>
            <w:tcW w:w="0" w:type="dxa"/>
            <w:vAlign w:val="bottom"/>
          </w:tcPr>
          <w:p>
            <w:pPr>
              <w:spacing w:after="0"/>
              <w:rPr>
                <w:sz w:val="1"/>
                <w:szCs w:val="1"/>
                <w:color w:val="auto"/>
              </w:rPr>
            </w:pPr>
          </w:p>
        </w:tc>
      </w:tr>
      <w:tr>
        <w:trPr>
          <w:trHeight w:val="334"/>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2024 components of other comprehensive income (loss):</w:t>
            </w: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720" w:type="dxa"/>
            <w:vAlign w:val="bottom"/>
            <w:gridSpan w:val="2"/>
          </w:tcPr>
          <w:p>
            <w:pPr>
              <w:ind w:left="380"/>
              <w:spacing w:after="0"/>
              <w:rPr>
                <w:sz w:val="20"/>
                <w:szCs w:val="20"/>
                <w:color w:val="auto"/>
              </w:rPr>
            </w:pPr>
            <w:r>
              <w:rPr>
                <w:rFonts w:ascii="Arial" w:cs="Arial" w:eastAsia="Arial" w:hAnsi="Arial"/>
                <w:sz w:val="18"/>
                <w:szCs w:val="18"/>
                <w:color w:val="auto"/>
              </w:rPr>
              <w:t>Before reclassifications to income</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(134,692)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23,713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(110,979)</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Reclassifications to income</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xml:space="preserve">4,024 </w:t>
            </w:r>
            <w:r>
              <w:rPr>
                <w:rFonts w:ascii="Arial" w:cs="Arial" w:eastAsia="Arial" w:hAnsi="Arial"/>
                <w:sz w:val="18"/>
                <w:szCs w:val="18"/>
                <w:color w:val="auto"/>
              </w:rPr>
              <w:t>¹</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4,024</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gridSpan w:val="2"/>
          </w:tcPr>
          <w:p>
            <w:pPr>
              <w:ind w:left="90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(134,692)</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27,737</w:t>
            </w:r>
          </w:p>
        </w:tc>
        <w:tc>
          <w:tcPr>
            <w:tcW w:w="2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(106,955)</w:t>
            </w:r>
          </w:p>
        </w:tc>
        <w:tc>
          <w:tcPr>
            <w:tcW w:w="0" w:type="dxa"/>
            <w:vAlign w:val="bottom"/>
          </w:tcPr>
          <w:p>
            <w:pPr>
              <w:spacing w:after="0"/>
              <w:rPr>
                <w:sz w:val="1"/>
                <w:szCs w:val="1"/>
                <w:color w:val="auto"/>
              </w:rPr>
            </w:pPr>
          </w:p>
        </w:tc>
      </w:tr>
      <w:tr>
        <w:trPr>
          <w:trHeight w:val="245"/>
        </w:trPr>
        <w:tc>
          <w:tcPr>
            <w:tcW w:w="5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(516,324)</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(111,748)</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(628,072)</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60" w:right="280" w:hanging="147"/>
        <w:spacing w:after="0" w:line="230" w:lineRule="auto"/>
        <w:tabs>
          <w:tab w:leader="none" w:pos="108"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 xml:space="preserve">Reclassifications before taxes of $5.4 million and $5.6 million are included in the computation of net periodic benefit expense in 2024 and 2023, respectively. See </w:t>
      </w:r>
      <w:r>
        <w:rPr>
          <w:rFonts w:ascii="Arial" w:cs="Arial" w:eastAsia="Arial" w:hAnsi="Arial"/>
          <w:sz w:val="16"/>
          <w:szCs w:val="16"/>
          <w:u w:val="single" w:color="auto"/>
          <w:color w:val="0000FF"/>
        </w:rPr>
        <w:t>Note J</w:t>
      </w:r>
      <w:r>
        <w:rPr>
          <w:rFonts w:ascii="Arial" w:cs="Arial" w:eastAsia="Arial" w:hAnsi="Arial"/>
          <w:sz w:val="16"/>
          <w:szCs w:val="16"/>
          <w:color w:val="auto"/>
        </w:rPr>
        <w:t xml:space="preserve"> for additional information. Related income taxes of $1.4 million and $1.1 million are included in income tax expense in 2024 and 2023,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Assets and Liabilities Measured at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 Recurring</w:t>
      </w:r>
    </w:p>
    <w:p>
      <w:pPr>
        <w:spacing w:after="0" w:line="11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for these assets and liabilities for the respective periods presented are shown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4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December 31, 2024</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December 31, 2023</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5"/>
                <w:szCs w:val="15"/>
                <w:color w:val="auto"/>
              </w:rPr>
            </w:pPr>
          </w:p>
        </w:tc>
        <w:tc>
          <w:tcPr>
            <w:tcW w:w="92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5"/>
                <w:szCs w:val="15"/>
                <w:color w:val="auto"/>
              </w:rPr>
            </w:pPr>
          </w:p>
        </w:tc>
        <w:tc>
          <w:tcPr>
            <w:tcW w:w="92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5"/>
                <w:szCs w:val="15"/>
                <w:color w:val="auto"/>
              </w:rPr>
            </w:pPr>
          </w:p>
        </w:tc>
        <w:tc>
          <w:tcPr>
            <w:tcW w:w="860" w:type="dxa"/>
            <w:vAlign w:val="bottom"/>
          </w:tcPr>
          <w:p>
            <w:pPr>
              <w:jc w:val="right"/>
              <w:ind w:right="251"/>
              <w:spacing w:after="0" w:line="18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15"/>
                <w:szCs w:val="15"/>
                <w:color w:val="auto"/>
              </w:rPr>
            </w:pPr>
          </w:p>
        </w:tc>
        <w:tc>
          <w:tcPr>
            <w:tcW w:w="9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15"/>
                <w:szCs w:val="15"/>
                <w:color w:val="auto"/>
              </w:rPr>
            </w:pPr>
          </w:p>
        </w:tc>
        <w:tc>
          <w:tcPr>
            <w:tcW w:w="92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15"/>
                <w:szCs w:val="15"/>
                <w:color w:val="auto"/>
              </w:rPr>
            </w:pPr>
          </w:p>
        </w:tc>
        <w:tc>
          <w:tcPr>
            <w:tcW w:w="780" w:type="dxa"/>
            <w:vAlign w:val="bottom"/>
          </w:tcPr>
          <w:p>
            <w:pPr>
              <w:jc w:val="right"/>
              <w:ind w:right="211"/>
              <w:spacing w:after="0" w:line="181"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540" w:type="dxa"/>
            <w:vAlign w:val="bottom"/>
            <w:gridSpan w:val="3"/>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40"/>
              <w:spacing w:after="0" w:line="183" w:lineRule="exact"/>
              <w:rPr>
                <w:sz w:val="20"/>
                <w:szCs w:val="20"/>
                <w:color w:val="auto"/>
              </w:rPr>
            </w:pPr>
            <w:r>
              <w:rPr>
                <w:rFonts w:ascii="Arial" w:cs="Arial" w:eastAsia="Arial" w:hAnsi="Arial"/>
                <w:sz w:val="18"/>
                <w:szCs w:val="18"/>
                <w:color w:val="auto"/>
              </w:rPr>
              <w:t>Nonqualified employee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19,469</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19,469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savings plan</w:t>
            </w:r>
          </w:p>
        </w:tc>
        <w:tc>
          <w:tcPr>
            <w:tcW w:w="1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Commodity swaps</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spacing w:after="0" w:line="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commodity swaps liability as of December 31, 2024 was $1.7 million and recorded as “Accounts payable” in the Consolidated Balance Sheets. The fair value of the commodity swaps was based on active market quotes for NYMEX Henry Hub natural gas. The before tax income effect of changes in fair value of natural gas derivative contracts is recorded in “(Loss) Gain on derivative instruments” in the Consolidated Statements of Operations.</w:t>
      </w:r>
    </w:p>
    <w:p>
      <w:pPr>
        <w:spacing w:after="0" w:line="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acquired Gulf of America assets from LLOG Exploration Offshore L.L.C. and LLOG Bluewater Holdings, L.L.C. (collectively, LLOG) and, in a separate agreement, from Petrobras America Inc. (PAI) in 2019 and 2018, respectively. Under the terms of both transactions, contingent consideration was paid after meeting specified revenue thresholds and project milestones and recorded to “Contingent consideration payment” in the Consolidated Statements of Cash Flows.</w:t>
      </w:r>
    </w:p>
    <w:p>
      <w:pPr>
        <w:spacing w:after="0" w:line="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at December 31, 2022, the Company’s liabilities with PAI and LLOG were based on realized inputs of volumes and pricing as a result of contractual thresholds and time durations being achieved. As a result, the related liability as at December 31, 2022, of $192.7 million, was no longer subject to fair value measurement. The liability was included in “Other accrued liabilities” in the Consolidated Balance Sheets and the changes in fair value of the contingent consideration during 2022 were recorded in “Other income (loss)” in the Consolidated Statements of Operations.</w:t>
      </w:r>
    </w:p>
    <w:p>
      <w:pPr>
        <w:spacing w:after="0" w:line="76"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The Company offsets certain assets and liabilities related to derivative contracts when the legal right of offset exists. There were no offsetting positions recorded at December 31, 2024 and 2023.</w:t>
      </w:r>
    </w:p>
    <w:p>
      <w:pPr>
        <w:spacing w:after="0" w:line="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following table presents the carrying amounts and estimated fair values of financial instruments held by the Company at December 31, 2024 and 2023.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was nominal.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Assets and Liabilities Measured at Fair Value (Continued)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8"/>
                <w:szCs w:val="18"/>
                <w:b w:val="1"/>
                <w:bCs w:val="1"/>
                <w:color w:val="auto"/>
              </w:rPr>
              <w:t>2024</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8"/>
                <w:szCs w:val="18"/>
                <w:color w:val="auto"/>
              </w:rPr>
              <w:t>2023</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60"/>
              <w:spacing w:after="0" w:line="167" w:lineRule="exact"/>
              <w:rPr>
                <w:sz w:val="20"/>
                <w:szCs w:val="20"/>
                <w:color w:val="auto"/>
              </w:rPr>
            </w:pPr>
            <w:r>
              <w:rPr>
                <w:rFonts w:ascii="Arial" w:cs="Arial" w:eastAsia="Arial" w:hAnsi="Arial"/>
                <w:sz w:val="18"/>
                <w:szCs w:val="18"/>
                <w:b w:val="1"/>
                <w:bCs w:val="1"/>
                <w:color w:val="auto"/>
                <w:w w:val="99"/>
              </w:rPr>
              <w:t>Carrying</w:t>
            </w:r>
          </w:p>
        </w:tc>
        <w:tc>
          <w:tcPr>
            <w:tcW w:w="340" w:type="dxa"/>
            <w:vAlign w:val="bottom"/>
          </w:tcPr>
          <w:p>
            <w:pPr>
              <w:spacing w:after="0"/>
              <w:rPr>
                <w:sz w:val="14"/>
                <w:szCs w:val="14"/>
                <w:color w:val="auto"/>
              </w:rPr>
            </w:pPr>
          </w:p>
        </w:tc>
        <w:tc>
          <w:tcPr>
            <w:tcW w:w="1200" w:type="dxa"/>
            <w:vAlign w:val="bottom"/>
          </w:tcPr>
          <w:p>
            <w:pPr>
              <w:jc w:val="center"/>
              <w:ind w:right="251"/>
              <w:spacing w:after="0" w:line="167"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380"/>
              <w:spacing w:after="0" w:line="167" w:lineRule="exact"/>
              <w:rPr>
                <w:sz w:val="20"/>
                <w:szCs w:val="20"/>
                <w:color w:val="auto"/>
              </w:rPr>
            </w:pPr>
            <w:r>
              <w:rPr>
                <w:rFonts w:ascii="Arial" w:cs="Arial" w:eastAsia="Arial" w:hAnsi="Arial"/>
                <w:sz w:val="18"/>
                <w:szCs w:val="18"/>
                <w:color w:val="auto"/>
                <w:w w:val="96"/>
              </w:rPr>
              <w:t>Carrying</w:t>
            </w:r>
          </w:p>
        </w:tc>
        <w:tc>
          <w:tcPr>
            <w:tcW w:w="360" w:type="dxa"/>
            <w:vAlign w:val="bottom"/>
          </w:tcPr>
          <w:p>
            <w:pPr>
              <w:spacing w:after="0"/>
              <w:rPr>
                <w:sz w:val="14"/>
                <w:szCs w:val="14"/>
                <w:color w:val="auto"/>
              </w:rPr>
            </w:pPr>
          </w:p>
        </w:tc>
        <w:tc>
          <w:tcPr>
            <w:tcW w:w="1180" w:type="dxa"/>
            <w:vAlign w:val="bottom"/>
          </w:tcPr>
          <w:p>
            <w:pPr>
              <w:jc w:val="center"/>
              <w:ind w:right="271"/>
              <w:spacing w:after="0" w:line="167" w:lineRule="exact"/>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00"/>
        </w:trPr>
        <w:tc>
          <w:tcPr>
            <w:tcW w:w="4780" w:type="dxa"/>
            <w:vAlign w:val="bottom"/>
            <w:gridSpan w:val="3"/>
          </w:tcPr>
          <w:p>
            <w:pPr>
              <w:ind w:left="20"/>
              <w:spacing w:after="0" w:line="201" w:lineRule="exact"/>
              <w:rPr>
                <w:sz w:val="20"/>
                <w:szCs w:val="20"/>
                <w:color w:val="auto"/>
              </w:rPr>
            </w:pPr>
            <w:r>
              <w:rPr>
                <w:rFonts w:ascii="Arial" w:cs="Arial" w:eastAsia="Arial" w:hAnsi="Arial"/>
                <w:sz w:val="18"/>
                <w:szCs w:val="18"/>
                <w:i w:val="1"/>
                <w:iCs w:val="1"/>
                <w:color w:val="auto"/>
              </w:rPr>
              <w:t>(Thousands of dollars)</w:t>
            </w:r>
          </w:p>
        </w:tc>
        <w:tc>
          <w:tcPr>
            <w:tcW w:w="260" w:type="dxa"/>
            <w:vAlign w:val="bottom"/>
          </w:tcPr>
          <w:p>
            <w:pPr>
              <w:spacing w:after="0"/>
              <w:rPr>
                <w:sz w:val="17"/>
                <w:szCs w:val="17"/>
                <w:color w:val="auto"/>
              </w:rPr>
            </w:pPr>
          </w:p>
        </w:tc>
        <w:tc>
          <w:tcPr>
            <w:tcW w:w="1380" w:type="dxa"/>
            <w:vAlign w:val="bottom"/>
            <w:gridSpan w:val="2"/>
          </w:tcPr>
          <w:p>
            <w:pPr>
              <w:jc w:val="center"/>
              <w:ind w:right="380"/>
              <w:spacing w:after="0" w:line="201" w:lineRule="exact"/>
              <w:rPr>
                <w:sz w:val="20"/>
                <w:szCs w:val="20"/>
                <w:color w:val="auto"/>
              </w:rPr>
            </w:pPr>
            <w:r>
              <w:rPr>
                <w:rFonts w:ascii="Arial" w:cs="Arial" w:eastAsia="Arial" w:hAnsi="Arial"/>
                <w:sz w:val="18"/>
                <w:szCs w:val="18"/>
                <w:b w:val="1"/>
                <w:bCs w:val="1"/>
                <w:color w:val="auto"/>
                <w:w w:val="99"/>
              </w:rPr>
              <w:t>Amount</w:t>
            </w:r>
          </w:p>
        </w:tc>
        <w:tc>
          <w:tcPr>
            <w:tcW w:w="340" w:type="dxa"/>
            <w:vAlign w:val="bottom"/>
          </w:tcPr>
          <w:p>
            <w:pPr>
              <w:spacing w:after="0"/>
              <w:rPr>
                <w:sz w:val="17"/>
                <w:szCs w:val="17"/>
                <w:color w:val="auto"/>
              </w:rPr>
            </w:pPr>
          </w:p>
        </w:tc>
        <w:tc>
          <w:tcPr>
            <w:tcW w:w="1300" w:type="dxa"/>
            <w:vAlign w:val="bottom"/>
            <w:gridSpan w:val="2"/>
          </w:tcPr>
          <w:p>
            <w:pPr>
              <w:jc w:val="center"/>
              <w:ind w:right="440"/>
              <w:spacing w:after="0" w:line="201" w:lineRule="exact"/>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7"/>
                <w:szCs w:val="17"/>
                <w:color w:val="auto"/>
              </w:rPr>
            </w:pPr>
          </w:p>
        </w:tc>
        <w:tc>
          <w:tcPr>
            <w:tcW w:w="13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9"/>
              </w:rPr>
              <w:t>Amount</w:t>
            </w:r>
          </w:p>
        </w:tc>
        <w:tc>
          <w:tcPr>
            <w:tcW w:w="360" w:type="dxa"/>
            <w:vAlign w:val="bottom"/>
          </w:tcPr>
          <w:p>
            <w:pPr>
              <w:spacing w:after="0"/>
              <w:rPr>
                <w:sz w:val="17"/>
                <w:szCs w:val="17"/>
                <w:color w:val="auto"/>
              </w:rPr>
            </w:pPr>
          </w:p>
        </w:tc>
        <w:tc>
          <w:tcPr>
            <w:tcW w:w="1180" w:type="dxa"/>
            <w:vAlign w:val="bottom"/>
          </w:tcPr>
          <w:p>
            <w:pPr>
              <w:jc w:val="center"/>
              <w:ind w:right="251"/>
              <w:spacing w:after="0" w:line="201" w:lineRule="exact"/>
              <w:rPr>
                <w:sz w:val="20"/>
                <w:szCs w:val="20"/>
                <w:color w:val="auto"/>
              </w:rPr>
            </w:pPr>
            <w:r>
              <w:rPr>
                <w:rFonts w:ascii="Arial" w:cs="Arial" w:eastAsia="Arial" w:hAnsi="Arial"/>
                <w:sz w:val="18"/>
                <w:szCs w:val="18"/>
                <w:color w:val="auto"/>
                <w:w w:val="95"/>
              </w:rPr>
              <w:t>Value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80" w:type="dxa"/>
            <w:vAlign w:val="bottom"/>
            <w:gridSpan w:val="3"/>
            <w:vMerge w:val="restart"/>
          </w:tcPr>
          <w:p>
            <w:pPr>
              <w:ind w:left="20"/>
              <w:spacing w:after="0"/>
              <w:rPr>
                <w:sz w:val="20"/>
                <w:szCs w:val="20"/>
                <w:color w:val="auto"/>
              </w:rPr>
            </w:pPr>
            <w:r>
              <w:rPr>
                <w:rFonts w:ascii="Arial" w:cs="Arial" w:eastAsia="Arial" w:hAnsi="Arial"/>
                <w:sz w:val="18"/>
                <w:szCs w:val="18"/>
                <w:color w:val="auto"/>
              </w:rPr>
              <w:t>Financial liabilities:</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780" w:type="dxa"/>
            <w:vAlign w:val="bottom"/>
            <w:gridSpan w:val="3"/>
            <w:vMerge w:val="continue"/>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Current and long-term debt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1,185,961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1,265,185</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 Nonrecurring</w:t>
      </w:r>
    </w:p>
    <w:p>
      <w:pPr>
        <w:spacing w:after="0" w:line="11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Impairment expenses of $62.9 million were incurred in 2024. In the first quarter of 2024, an impairment charge of $34.5 million was triggered for the Calliope field, and in the fourth quarter of 2024, an impairment charge of $28.4 million was triggered for the Nearly Headless Nick field. Both of the impairments were due to operational issues that led to reserve reductions.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expenses incurred in 2023.</w:t>
      </w:r>
    </w:p>
    <w:p>
      <w:pPr>
        <w:spacing w:after="0" w:line="11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The fair values were determined by internal discounted cash flow models using estimates of future production, prices, costs and discount rates believed to be consistent with those used by principal market participants in the applicable region.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information associated with the impaired properties is presented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w w:val="98"/>
              </w:rPr>
              <w:t>Year Ended December 31, 2024</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20"/>
              <w:spacing w:after="0" w:line="204" w:lineRule="exact"/>
              <w:rPr>
                <w:sz w:val="20"/>
                <w:szCs w:val="20"/>
                <w:color w:val="auto"/>
              </w:rPr>
            </w:pPr>
            <w:r>
              <w:rPr>
                <w:rFonts w:ascii="Arial" w:cs="Arial" w:eastAsia="Arial" w:hAnsi="Arial"/>
                <w:sz w:val="18"/>
                <w:szCs w:val="18"/>
                <w:color w:val="auto"/>
                <w:w w:val="99"/>
              </w:rPr>
              <w:t>Net Book</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Fair Value</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7" w:lineRule="exact"/>
              <w:rPr>
                <w:sz w:val="20"/>
                <w:szCs w:val="20"/>
                <w:color w:val="auto"/>
              </w:rPr>
            </w:pPr>
            <w:r>
              <w:rPr>
                <w:rFonts w:ascii="Arial" w:cs="Arial" w:eastAsia="Arial" w:hAnsi="Arial"/>
                <w:sz w:val="18"/>
                <w:szCs w:val="18"/>
                <w:color w:val="auto"/>
                <w:w w:val="99"/>
              </w:rPr>
              <w:t>Value</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vMerge w:val="continue"/>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120"/>
              <w:spacing w:after="0" w:line="174" w:lineRule="exact"/>
              <w:rPr>
                <w:sz w:val="20"/>
                <w:szCs w:val="20"/>
                <w:color w:val="auto"/>
              </w:rPr>
            </w:pPr>
            <w:r>
              <w:rPr>
                <w:rFonts w:ascii="Arial" w:cs="Arial" w:eastAsia="Arial" w:hAnsi="Arial"/>
                <w:sz w:val="18"/>
                <w:szCs w:val="18"/>
                <w:color w:val="auto"/>
                <w:w w:val="99"/>
              </w:rPr>
              <w:t>Prior to</w:t>
            </w:r>
          </w:p>
        </w:tc>
        <w:tc>
          <w:tcPr>
            <w:tcW w:w="1420" w:type="dxa"/>
            <w:vAlign w:val="bottom"/>
            <w:vMerge w:val="restart"/>
          </w:tcPr>
          <w:p>
            <w:pPr>
              <w:jc w:val="center"/>
              <w:spacing w:after="0" w:line="174" w:lineRule="exact"/>
              <w:rPr>
                <w:sz w:val="20"/>
                <w:szCs w:val="20"/>
                <w:color w:val="auto"/>
              </w:rPr>
            </w:pPr>
            <w:r>
              <w:rPr>
                <w:rFonts w:ascii="Arial" w:cs="Arial" w:eastAsia="Arial" w:hAnsi="Arial"/>
                <w:sz w:val="18"/>
                <w:szCs w:val="18"/>
                <w:color w:val="auto"/>
                <w:w w:val="99"/>
              </w:rPr>
              <w:t>Pretax</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Thousands of dollars</w:t>
            </w:r>
            <w:r>
              <w:rPr>
                <w:rFonts w:ascii="Arial" w:cs="Arial" w:eastAsia="Arial" w:hAnsi="Arial"/>
                <w:sz w:val="18"/>
                <w:szCs w:val="18"/>
                <w:color w:val="auto"/>
              </w:rPr>
              <w:t>)</w:t>
            </w:r>
          </w:p>
        </w:tc>
        <w:tc>
          <w:tcPr>
            <w:tcW w:w="260" w:type="dxa"/>
            <w:vAlign w:val="bottom"/>
          </w:tcPr>
          <w:p>
            <w:pPr>
              <w:spacing w:after="0" w:line="20" w:lineRule="exact"/>
              <w:rPr>
                <w:sz w:val="1"/>
                <w:szCs w:val="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auto"/>
              </w:rPr>
              <w:t>Level 1</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Level 2</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6"/>
              </w:rPr>
              <w:t>Level 3</w:t>
            </w:r>
          </w:p>
        </w:tc>
        <w:tc>
          <w:tcPr>
            <w:tcW w:w="1540" w:type="dxa"/>
            <w:vAlign w:val="bottom"/>
            <w:gridSpan w:val="2"/>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line="187" w:lineRule="exact"/>
              <w:rPr>
                <w:sz w:val="20"/>
                <w:szCs w:val="20"/>
                <w:color w:val="auto"/>
              </w:rPr>
            </w:pPr>
            <w:r>
              <w:rPr>
                <w:rFonts w:ascii="Arial" w:cs="Arial" w:eastAsia="Arial" w:hAnsi="Arial"/>
                <w:sz w:val="18"/>
                <w:szCs w:val="18"/>
                <w:color w:val="auto"/>
                <w:w w:val="99"/>
              </w:rPr>
              <w:t>Impairment</w:t>
            </w:r>
          </w:p>
        </w:tc>
        <w:tc>
          <w:tcPr>
            <w:tcW w:w="1420" w:type="dxa"/>
            <w:vAlign w:val="bottom"/>
          </w:tcPr>
          <w:p>
            <w:pPr>
              <w:jc w:val="center"/>
              <w:spacing w:after="0" w:line="187" w:lineRule="exact"/>
              <w:rPr>
                <w:sz w:val="20"/>
                <w:szCs w:val="20"/>
                <w:color w:val="auto"/>
              </w:rPr>
            </w:pPr>
            <w:r>
              <w:rPr>
                <w:rFonts w:ascii="Arial" w:cs="Arial" w:eastAsia="Arial" w:hAnsi="Arial"/>
                <w:sz w:val="18"/>
                <w:szCs w:val="18"/>
                <w:color w:val="auto"/>
                <w:w w:val="99"/>
              </w:rPr>
              <w:t>Impairment</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Impaired proved properties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3620" w:type="dxa"/>
            <w:vAlign w:val="bottom"/>
            <w:gridSpan w:val="2"/>
          </w:tcPr>
          <w:p>
            <w:pPr>
              <w:ind w:left="260"/>
              <w:spacing w:after="0"/>
              <w:rPr>
                <w:sz w:val="20"/>
                <w:szCs w:val="20"/>
                <w:color w:val="auto"/>
              </w:rPr>
            </w:pPr>
            <w:r>
              <w:rPr>
                <w:rFonts w:ascii="Arial" w:cs="Arial" w:eastAsia="Arial" w:hAnsi="Arial"/>
                <w:sz w:val="18"/>
                <w:szCs w:val="18"/>
                <w:color w:val="auto"/>
              </w:rPr>
              <w:t>United States - Offshore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63,410</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62,909</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Commitments</w:t>
      </w:r>
    </w:p>
    <w:p>
      <w:pPr>
        <w:spacing w:after="0" w:line="11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has operating, production handling and transportation service agreements for oil and/or natural gas operations in the U.S. and Canada Onshore. The U.S. Onshore and U.S. Offshore transportation contracts require minimum monthly payments through 2045, while the Canada Onshore transportation contracts call for minimum monthly payments through 2051. In the U.S. and Canada Onshore, future required minimum annual payments for the next five years are $148.8 million in 2025, $ 117.7 million in 2026, $105.5 million in 2027, $ 96.0 million in 2028 and $64.2 million in 2029. Under certain circumstances, the Company is required to pay additional amounts depending on the actual hydrocarbon quantities processed under the agreement. Total costs incurred under these service arrangements were $225.9 million in 2024, $295.1 million in 2023 and $216.4 million in 2022.</w:t>
      </w:r>
    </w:p>
    <w:p>
      <w:pPr>
        <w:spacing w:after="0" w:line="82"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Commitments for capital expenditures were approximately $417.0 million at December 31, 2024, including $53.6 million for the Gulf of America, $112.2 million for Eagle Ford Shale, $31.2 million for Canada and $220.0 million for Other Offshore, mainly for capital projects in Vietnam.</w:t>
      </w:r>
    </w:p>
    <w:p>
      <w:pPr>
        <w:spacing w:after="0" w:line="70"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color w:val="auto"/>
        </w:rPr>
        <w:t>Commitments for operating agreements include approximately $178.0 million at December 31, 2024 for Other Offshore for the purpose of supporting future development activities in Vietnam.</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Environmental and Other Contingencies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operations and earnings have been and may be affected by various forms of governmental action both in the United States and throughout the world. Examples of such governmental action include, but are by no means limited to: tax legislation changes, including tax rate changes, and retroactive tax claims; royalty and revenue sharing increases; import and export controls; price controls; currency controls; allocation of supplies of crude oil and petroleum products and other goods; expropriation of property; restrictions and preferences affecting the issuance of oil and natural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spacing w:after="0" w:line="6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ENVIRONMENTAL MATTERS – Murphy and other companies in the oil and natural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These laws and regulations also generally require permits for existing operations, as well as the construction or development of new operations and the decommissioning facilities once production has ceased.</w:t>
      </w:r>
    </w:p>
    <w:p>
      <w:pPr>
        <w:spacing w:after="0" w:line="8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recent SEC amendments to this item, the Company will be using a threshold of $1.0 million for such proceedings and the Company is not aware of environmental legal proceedings likely to exceed this $1.0 million threshold.</w:t>
      </w:r>
    </w:p>
    <w:p>
      <w:pPr>
        <w:spacing w:after="0" w:line="7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There continues to be an increase in regulatory oversight of the oil and gas industry at the federal level, with a focus on climate change and GHG emissions (including methane emissions). For example, in March 2024, the U.S. EPA published its final rule regulating methane and volatile organic compounds emissions in the oil and gas industry which, among other things, requires periodic inspections to detect leaks (and subsequent repairs), places stringent restrictions on venting and flaring of methane, and establishes a program whereby third parties can monitor and report large methane emissions to the U.S. EPA. In November 2024, the U.S. EPA published its final rule implementing a charge on large emitters of waste methane from the oil and gas sector. The charge, referred to as the WEC, is a component of the Biden Administration’s Methane Emissions Reduction Program to limit methane emissions from the oil and gas industry under the 2022 IRA. Executive orders have also been issued related to oil and gas activities on federal lands, infrastructure and environmental justice. In addition, an international climate agreement (the Paris Agreement) was agreed to at the 2015 United Nations Framework Convention on Climate Change in Paris, France. Although the U.S. officially withdrew from the Paris Agreement on November 4, 2020, the U.S. rejoined the Paris Agreement, which became effective for the U.S. on February 19, 2021. In January 2025, the United States submitted formal notification to the United Nations that it intends to withdraw from the Paris Agreement again. Pursuant to the terms of the Paris Agreement, the withdrawal will take effect on January 27, 2026.</w:t>
      </w:r>
    </w:p>
    <w:p>
      <w:pPr>
        <w:spacing w:after="0" w:line="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Environmental and Other Contingencies (Continued)</w:t>
      </w:r>
    </w:p>
    <w:p>
      <w:pPr>
        <w:spacing w:after="0" w:line="39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 Depending on the evolution of laws, regulations and litigation outcomes relating to climate change, there can be no guarantee that climate change litigation will not in the future materially adversely affect our results of operations, cash flows and financial condition.</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spacing w:after="0" w:line="7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Common Stock Issued and Outstanding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number of shares of common stock issued and outstanding for each of the three years presented is shown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gridSpan w:val="4"/>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Number of shares outstanding</w:t>
            </w:r>
            <w:r>
              <w:rPr>
                <w:rFonts w:ascii="Arial" w:cs="Arial" w:eastAsia="Arial" w:hAnsi="Arial"/>
                <w:sz w:val="18"/>
                <w:szCs w:val="18"/>
                <w:color w:val="auto"/>
              </w:rPr>
              <w:t>)</w:t>
            </w:r>
          </w:p>
        </w:tc>
        <w:tc>
          <w:tcPr>
            <w:tcW w:w="1500" w:type="dxa"/>
            <w:vAlign w:val="bottom"/>
          </w:tcPr>
          <w:p>
            <w:pPr>
              <w:jc w:val="right"/>
              <w:ind w:right="47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1500" w:type="dxa"/>
            <w:vAlign w:val="bottom"/>
          </w:tcPr>
          <w:p>
            <w:pPr>
              <w:jc w:val="right"/>
              <w:ind w:right="47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500" w:type="dxa"/>
            <w:vAlign w:val="bottom"/>
          </w:tcPr>
          <w:p>
            <w:pPr>
              <w:jc w:val="right"/>
              <w:ind w:right="451"/>
              <w:spacing w:after="0"/>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50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152,748,642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155,467,319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154,463,050</w:t>
            </w:r>
          </w:p>
        </w:tc>
      </w:tr>
      <w:tr>
        <w:trPr>
          <w:trHeight w:val="227"/>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Stock options exercised</w:t>
            </w:r>
          </w:p>
        </w:tc>
        <w:tc>
          <w:tcPr>
            <w:tcW w:w="500" w:type="dxa"/>
            <w:vAlign w:val="bottom"/>
          </w:tcPr>
          <w:p>
            <w:pPr>
              <w:jc w:val="right"/>
              <w:ind w:right="342"/>
              <w:spacing w:after="0"/>
              <w:rPr>
                <w:sz w:val="20"/>
                <w:szCs w:val="20"/>
                <w:color w:val="auto"/>
              </w:rPr>
            </w:pPr>
            <w:r>
              <w:rPr>
                <w:rFonts w:ascii="Arial" w:cs="Arial" w:eastAsia="Arial" w:hAnsi="Arial"/>
                <w:sz w:val="12"/>
                <w:szCs w:val="12"/>
                <w:color w:val="auto"/>
              </w:rPr>
              <w:t>1</w:t>
            </w:r>
          </w:p>
        </w:tc>
        <w:tc>
          <w:tcPr>
            <w:tcW w:w="40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181,655</w:t>
            </w:r>
          </w:p>
        </w:tc>
      </w:tr>
      <w:tr>
        <w:trPr>
          <w:trHeight w:val="227"/>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1</w:t>
            </w:r>
          </w:p>
        </w:tc>
        <w:tc>
          <w:tcPr>
            <w:tcW w:w="40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1,105,268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822,614</w:t>
            </w:r>
          </w:p>
        </w:tc>
      </w:tr>
      <w:tr>
        <w:trPr>
          <w:trHeight w:val="227"/>
        </w:trPr>
        <w:tc>
          <w:tcPr>
            <w:tcW w:w="65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Treasury shares purchased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(8,008,786)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(3,411,158)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year</w:t>
            </w:r>
          </w:p>
        </w:tc>
        <w:tc>
          <w:tcPr>
            <w:tcW w:w="50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145,845,124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152,748,642</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155,467,319</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right="420" w:hanging="147"/>
        <w:spacing w:after="0" w:line="224" w:lineRule="auto"/>
        <w:tabs>
          <w:tab w:leader="none" w:pos="93"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 xml:space="preserve">Shares issued upon exercise of stock options and award of restricted stock are less than the amount reflected in </w:t>
      </w:r>
      <w:r>
        <w:rPr>
          <w:rFonts w:ascii="Arial" w:cs="Arial" w:eastAsia="Arial" w:hAnsi="Arial"/>
          <w:sz w:val="16"/>
          <w:szCs w:val="16"/>
          <w:u w:val="single" w:color="auto"/>
          <w:color w:val="0000FF"/>
        </w:rPr>
        <w:t>Note I</w:t>
      </w:r>
      <w:r>
        <w:rPr>
          <w:rFonts w:ascii="Arial" w:cs="Arial" w:eastAsia="Arial" w:hAnsi="Arial"/>
          <w:sz w:val="16"/>
          <w:szCs w:val="16"/>
          <w:color w:val="auto"/>
        </w:rPr>
        <w:t xml:space="preserve"> due to withholdings for statutory income taxes owed upon issuance of shares.</w:t>
      </w:r>
    </w:p>
    <w:p>
      <w:pPr>
        <w:spacing w:after="0" w:line="9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Company’s Board of Directors has authorized a share repurchase program whereby the Company can repurchase up to $1,100.0 million of its common stock. This repurchase program has no time limit and may be suspended or discontinued completely at any time without prior notice as determined by the Company at its discretion and dependent upon a variety of factors.</w:t>
      </w:r>
    </w:p>
    <w:p>
      <w:pPr>
        <w:spacing w:after="0" w:line="7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the year ended December 31, 2024, the Company repurchased 8.0 million shares of its common stock under the share repurchase program for $300.0 million ($302.7 million including excise taxes and fees). As of December 31, 2024, the Company had $650.1 million of its common stock remaining available to repurchase under the program.</w:t>
      </w:r>
    </w:p>
    <w:p>
      <w:pPr>
        <w:spacing w:after="0" w:line="70"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Subsequent to year end, as of February 25, 2025, the Company repurchased 3.4 million shares of its common stock in open-market transactions for $95.1 million, excluding taxes and fees. As of this date, the Company had $555.0 million of its common stock remaining available to repurchase under the program.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Common Stock Issued and Outstanding (Continued)</w:t>
      </w:r>
    </w:p>
    <w:p>
      <w:pPr>
        <w:spacing w:after="0" w:line="396" w:lineRule="exact"/>
        <w:rPr>
          <w:sz w:val="20"/>
          <w:szCs w:val="20"/>
          <w:color w:val="auto"/>
        </w:rPr>
      </w:pPr>
    </w:p>
    <w:p>
      <w:pPr>
        <w:ind w:right="60"/>
        <w:spacing w:after="0" w:line="278" w:lineRule="auto"/>
        <w:rPr>
          <w:rFonts w:ascii="Arial" w:cs="Arial" w:eastAsia="Arial" w:hAnsi="Arial"/>
          <w:sz w:val="18"/>
          <w:szCs w:val="18"/>
          <w:color w:val="auto"/>
        </w:rPr>
      </w:pPr>
      <w:r>
        <w:rPr>
          <w:rFonts w:ascii="Arial" w:cs="Arial" w:eastAsia="Arial" w:hAnsi="Arial"/>
          <w:sz w:val="18"/>
          <w:szCs w:val="18"/>
          <w:color w:val="auto"/>
        </w:rPr>
        <w:t xml:space="preserve">The share repurchase program is a component of the Company’s capital allocation framework, the details of which can be found as part of the Company’s </w:t>
      </w:r>
      <w:hyperlink r:id="rId44">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August 4, 2022 and </w:t>
      </w:r>
      <w:hyperlink r:id="rId45">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August 8, 2024.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Business Segments</w:t>
      </w:r>
    </w:p>
    <w:p>
      <w:pPr>
        <w:spacing w:after="0" w:line="116"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Murphy’s reportable segments are organized into geographic areas of operations. The Company’s exploration and production activity is subdivided into segments for the U.S., Canada and all other countries. Each of these segments derive revenues primarily from the sale of crude oil, NGLs and/or natural gas. The Company’s management team and Chief Operating Decision Maker (CODM) evaluates segment performance-based on income (loss) from operations, excluding interest income and interest expense, and allocates financial and capital resources for each segment predominantly in the annual budget and forecasting process. The CODM also considers budget-to-actual variances on a monthly basis for the performance measure when making decisions about allocating capital and personnel to the segments.</w:t>
      </w:r>
    </w:p>
    <w:p>
      <w:pPr>
        <w:spacing w:after="0" w:line="65"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For the income statement periods presented in these financial statements, Murphy’s former CEO, Roger Jenkins, acted as the CODM. As of January 1, 2025, Murphy appointed a new CEO, Eric Hambly.</w:t>
      </w:r>
    </w:p>
    <w:p>
      <w:pPr>
        <w:spacing w:after="0" w:line="5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Customers that accounted for 10% or more of the Company’s sales revenue for each of the below three years ended December 31, are shown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51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1600" w:type="dxa"/>
            <w:vAlign w:val="bottom"/>
          </w:tcPr>
          <w:p>
            <w:pPr>
              <w:jc w:val="right"/>
              <w:ind w:right="511"/>
              <w:spacing w:after="0"/>
              <w:rPr>
                <w:sz w:val="20"/>
                <w:szCs w:val="20"/>
                <w:color w:val="auto"/>
              </w:rPr>
            </w:pPr>
            <w:r>
              <w:rPr>
                <w:rFonts w:ascii="Arial" w:cs="Arial" w:eastAsia="Arial" w:hAnsi="Arial"/>
                <w:sz w:val="18"/>
                <w:szCs w:val="18"/>
                <w:color w:val="auto"/>
              </w:rPr>
              <w:t>2022</w:t>
            </w:r>
          </w:p>
        </w:tc>
      </w:tr>
      <w:tr>
        <w:trPr>
          <w:trHeight w:val="220"/>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Chevron Corporation</w:t>
            </w:r>
          </w:p>
        </w:tc>
        <w:tc>
          <w:tcPr>
            <w:tcW w:w="10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ExxonMobil Corporation</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Phillips 66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184"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color w:val="auto"/>
        </w:rPr>
        <w:t>Due to the quantity of active oil and natural gas purchasers in the markets where it produces hydrocarbons, the Company does not foresee any difficulty with selling its hydrocarbon production at fair market prices.</w:t>
      </w:r>
    </w:p>
    <w:p>
      <w:pPr>
        <w:spacing w:after="0" w:line="5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No assets were held for sale as of December 31, 2024 and 2023. The former U.K., Malaysia and U.S. refining and marketing units have been reported as discontinued operations for all periods presented in these consolidated financial statements.</w:t>
      </w:r>
    </w:p>
    <w:p>
      <w:pPr>
        <w:spacing w:after="0" w:line="5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Information about business segments and geographic operations is reported in the following tables. For geographic purposes, revenues are attributed to the country in which the sale occurs. Corporate and other activities, including interest income, other gains and losses (including foreign exchange gains/losses and realized/unrealized gains/losses on crude oil and natural gas contracts), interest expense and unallocated overhead, are shown in the tables to reconcile the business segments to consolidated totals.</w:t>
      </w:r>
    </w:p>
    <w:p>
      <w:pPr>
        <w:spacing w:after="0" w:line="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“Other segment costs” below are those items that are included in Segment income (loss) but are not regularly provided to the CODM, or are reported to the CODM but are not considered to be significant segment expenses. “Other segment costs” for the years presented included certain pension amortization costs allocated to the reportable segments, and dividend income from short-term investment accounts attributed to the Canada segment.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Business Segments (Continued)</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color w:val="auto"/>
              </w:rPr>
              <w:t>Exploration and Production</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80"/>
              <w:spacing w:after="0" w:line="155" w:lineRule="exact"/>
              <w:rPr>
                <w:sz w:val="20"/>
                <w:szCs w:val="20"/>
                <w:color w:val="auto"/>
              </w:rPr>
            </w:pPr>
            <w:r>
              <w:rPr>
                <w:rFonts w:ascii="Arial" w:cs="Arial" w:eastAsia="Arial" w:hAnsi="Arial"/>
                <w:sz w:val="16"/>
                <w:szCs w:val="16"/>
                <w:color w:val="auto"/>
                <w:w w:val="97"/>
              </w:rPr>
              <w:t>Corporate,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9"/>
              </w:rPr>
              <w:t>United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61" w:lineRule="exact"/>
              <w:rPr>
                <w:sz w:val="20"/>
                <w:szCs w:val="20"/>
                <w:color w:val="auto"/>
              </w:rPr>
            </w:pPr>
            <w:r>
              <w:rPr>
                <w:rFonts w:ascii="Arial" w:cs="Arial" w:eastAsia="Arial" w:hAnsi="Arial"/>
                <w:sz w:val="16"/>
                <w:szCs w:val="16"/>
                <w:color w:val="auto"/>
                <w:w w:val="97"/>
              </w:rPr>
              <w:t>Other, and</w:t>
            </w:r>
          </w:p>
        </w:tc>
        <w:tc>
          <w:tcPr>
            <w:tcW w:w="140" w:type="dxa"/>
            <w:vAlign w:val="bottom"/>
          </w:tcPr>
          <w:p>
            <w:pPr>
              <w:spacing w:after="0"/>
              <w:rPr>
                <w:sz w:val="13"/>
                <w:szCs w:val="13"/>
                <w:color w:val="auto"/>
              </w:rPr>
            </w:pPr>
          </w:p>
        </w:tc>
        <w:tc>
          <w:tcPr>
            <w:tcW w:w="1180" w:type="dxa"/>
            <w:vAlign w:val="bottom"/>
            <w:vMerge w:val="restart"/>
          </w:tcPr>
          <w:p>
            <w:pPr>
              <w:jc w:val="right"/>
              <w:ind w:right="120"/>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60"/>
        </w:trPr>
        <w:tc>
          <w:tcPr>
            <w:tcW w:w="412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61" w:lineRule="exact"/>
              <w:rPr>
                <w:sz w:val="20"/>
                <w:szCs w:val="20"/>
                <w:color w:val="auto"/>
              </w:rPr>
            </w:pPr>
            <w:r>
              <w:rPr>
                <w:rFonts w:ascii="Arial" w:cs="Arial" w:eastAsia="Arial" w:hAnsi="Arial"/>
                <w:sz w:val="16"/>
                <w:szCs w:val="16"/>
                <w:color w:val="auto"/>
              </w:rPr>
              <w:t>Discontinued</w:t>
            </w: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1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60"/>
              <w:spacing w:after="0" w:line="174" w:lineRule="exact"/>
              <w:rPr>
                <w:sz w:val="20"/>
                <w:szCs w:val="20"/>
                <w:color w:val="auto"/>
              </w:rPr>
            </w:pPr>
            <w:r>
              <w:rPr>
                <w:rFonts w:ascii="Arial" w:cs="Arial" w:eastAsia="Arial" w:hAnsi="Arial"/>
                <w:sz w:val="16"/>
                <w:szCs w:val="16"/>
                <w:color w:val="auto"/>
                <w:w w:val="94"/>
              </w:rPr>
              <w:t xml:space="preserve">States </w:t>
            </w:r>
            <w:r>
              <w:rPr>
                <w:rFonts w:ascii="Arial" w:cs="Arial" w:eastAsia="Arial" w:hAnsi="Arial"/>
                <w:sz w:val="20"/>
                <w:szCs w:val="20"/>
                <w:color w:val="auto"/>
                <w:w w:val="94"/>
                <w:vertAlign w:val="superscript"/>
              </w:rPr>
              <w:t>1</w:t>
            </w: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20"/>
              <w:spacing w:after="0" w:line="174" w:lineRule="exact"/>
              <w:rPr>
                <w:sz w:val="20"/>
                <w:szCs w:val="20"/>
                <w:color w:val="auto"/>
              </w:rPr>
            </w:pPr>
            <w:r>
              <w:rPr>
                <w:rFonts w:ascii="Arial" w:cs="Arial" w:eastAsia="Arial" w:hAnsi="Arial"/>
                <w:sz w:val="16"/>
                <w:szCs w:val="16"/>
                <w:color w:val="auto"/>
              </w:rPr>
              <w:t>E&amp;P</w:t>
            </w:r>
          </w:p>
        </w:tc>
        <w:tc>
          <w:tcPr>
            <w:tcW w:w="160" w:type="dxa"/>
            <w:vAlign w:val="bottom"/>
          </w:tcPr>
          <w:p>
            <w:pPr>
              <w:spacing w:after="0"/>
              <w:rPr>
                <w:sz w:val="15"/>
                <w:szCs w:val="15"/>
                <w:color w:val="auto"/>
              </w:rPr>
            </w:pPr>
          </w:p>
        </w:tc>
        <w:tc>
          <w:tcPr>
            <w:tcW w:w="1280" w:type="dxa"/>
            <w:vAlign w:val="bottom"/>
            <w:gridSpan w:val="2"/>
          </w:tcPr>
          <w:p>
            <w:pPr>
              <w:jc w:val="center"/>
              <w:ind w:right="260"/>
              <w:spacing w:after="0" w:line="174" w:lineRule="exact"/>
              <w:rPr>
                <w:sz w:val="20"/>
                <w:szCs w:val="20"/>
                <w:color w:val="auto"/>
              </w:rPr>
            </w:pPr>
            <w:r>
              <w:rPr>
                <w:rFonts w:ascii="Arial" w:cs="Arial" w:eastAsia="Arial" w:hAnsi="Arial"/>
                <w:sz w:val="16"/>
                <w:szCs w:val="16"/>
                <w:color w:val="auto"/>
                <w:w w:val="99"/>
              </w:rPr>
              <w:t>Operations</w:t>
            </w:r>
          </w:p>
        </w:tc>
        <w:tc>
          <w:tcPr>
            <w:tcW w:w="140" w:type="dxa"/>
            <w:vAlign w:val="bottom"/>
          </w:tcPr>
          <w:p>
            <w:pPr>
              <w:spacing w:after="0"/>
              <w:rPr>
                <w:sz w:val="15"/>
                <w:szCs w:val="15"/>
                <w:color w:val="auto"/>
              </w:rPr>
            </w:pPr>
          </w:p>
        </w:tc>
        <w:tc>
          <w:tcPr>
            <w:tcW w:w="1180" w:type="dxa"/>
            <w:vAlign w:val="bottom"/>
          </w:tcPr>
          <w:p>
            <w:pPr>
              <w:jc w:val="right"/>
              <w:ind w:right="420"/>
              <w:spacing w:after="0" w:line="174"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2024</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2,503.8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504.5</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3,014.9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3,014.9</w:t>
            </w:r>
          </w:p>
        </w:tc>
        <w:tc>
          <w:tcPr>
            <w:tcW w:w="0" w:type="dxa"/>
            <w:vAlign w:val="bottom"/>
          </w:tcPr>
          <w:p>
            <w:pPr>
              <w:spacing w:after="0"/>
              <w:rPr>
                <w:sz w:val="1"/>
                <w:szCs w:val="1"/>
                <w:color w:val="auto"/>
              </w:rPr>
            </w:pPr>
          </w:p>
        </w:tc>
      </w:tr>
      <w:tr>
        <w:trPr>
          <w:trHeight w:val="214"/>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purchased natural gas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14"/>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Gain on sales of assets and other operating income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0" w:type="dxa"/>
            <w:vAlign w:val="bottom"/>
          </w:tcPr>
          <w:p>
            <w:pPr>
              <w:spacing w:after="0"/>
              <w:rPr>
                <w:sz w:val="1"/>
                <w:szCs w:val="1"/>
                <w:color w:val="auto"/>
              </w:rPr>
            </w:pPr>
          </w:p>
        </w:tc>
      </w:tr>
      <w:tr>
        <w:trPr>
          <w:trHeight w:val="207"/>
        </w:trPr>
        <w:tc>
          <w:tcPr>
            <w:tcW w:w="41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3,028.5</w:t>
            </w:r>
          </w:p>
        </w:tc>
        <w:tc>
          <w:tcPr>
            <w:tcW w:w="0" w:type="dxa"/>
            <w:vAlign w:val="bottom"/>
          </w:tcPr>
          <w:p>
            <w:pPr>
              <w:spacing w:after="0"/>
              <w:rPr>
                <w:sz w:val="1"/>
                <w:szCs w:val="1"/>
                <w:color w:val="auto"/>
              </w:rPr>
            </w:pPr>
          </w:p>
        </w:tc>
      </w:tr>
      <w:tr>
        <w:trPr>
          <w:trHeight w:val="192"/>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404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471.3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649.7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649.7</w:t>
            </w:r>
          </w:p>
        </w:tc>
        <w:tc>
          <w:tcPr>
            <w:tcW w:w="0" w:type="dxa"/>
            <w:vAlign w:val="bottom"/>
          </w:tcPr>
          <w:p>
            <w:pPr>
              <w:spacing w:after="0"/>
              <w:rPr>
                <w:sz w:val="1"/>
                <w:szCs w:val="1"/>
                <w:color w:val="auto"/>
              </w:rPr>
            </w:pPr>
          </w:p>
        </w:tc>
      </w:tr>
      <w:tr>
        <w:trPr>
          <w:trHeight w:val="214"/>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4040" w:type="dxa"/>
            <w:vAlign w:val="bottom"/>
            <w:gridSpan w:val="2"/>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68.5</w:t>
            </w:r>
          </w:p>
        </w:tc>
        <w:tc>
          <w:tcPr>
            <w:tcW w:w="0" w:type="dxa"/>
            <w:vAlign w:val="bottom"/>
          </w:tcPr>
          <w:p>
            <w:pPr>
              <w:spacing w:after="0"/>
              <w:rPr>
                <w:sz w:val="1"/>
                <w:szCs w:val="1"/>
                <w:color w:val="auto"/>
              </w:rPr>
            </w:pPr>
          </w:p>
        </w:tc>
      </w:tr>
      <w:tr>
        <w:trPr>
          <w:trHeight w:val="214"/>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218.8</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749.9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937.0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937.0</w:t>
            </w:r>
          </w:p>
        </w:tc>
        <w:tc>
          <w:tcPr>
            <w:tcW w:w="0" w:type="dxa"/>
            <w:vAlign w:val="bottom"/>
          </w:tcPr>
          <w:p>
            <w:pPr>
              <w:spacing w:after="0"/>
              <w:rPr>
                <w:sz w:val="1"/>
                <w:szCs w:val="1"/>
                <w:color w:val="auto"/>
              </w:rPr>
            </w:pPr>
          </w:p>
        </w:tc>
      </w:tr>
      <w:tr>
        <w:trPr>
          <w:trHeight w:val="207"/>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w:t>
            </w:r>
          </w:p>
        </w:tc>
        <w:tc>
          <w:tcPr>
            <w:tcW w:w="0" w:type="dxa"/>
            <w:vAlign w:val="bottom"/>
          </w:tcPr>
          <w:p>
            <w:pPr>
              <w:spacing w:after="0"/>
              <w:rPr>
                <w:sz w:val="1"/>
                <w:szCs w:val="1"/>
                <w:color w:val="auto"/>
              </w:rPr>
            </w:pPr>
          </w:p>
        </w:tc>
      </w:tr>
      <w:tr>
        <w:trPr>
          <w:trHeight w:val="214"/>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210.8</w:t>
            </w:r>
          </w:p>
        </w:tc>
        <w:tc>
          <w:tcPr>
            <w:tcW w:w="0" w:type="dxa"/>
            <w:vAlign w:val="bottom"/>
          </w:tcPr>
          <w:p>
            <w:pPr>
              <w:spacing w:after="0"/>
              <w:rPr>
                <w:sz w:val="1"/>
                <w:szCs w:val="1"/>
                <w:color w:val="auto"/>
              </w:rPr>
            </w:pPr>
          </w:p>
        </w:tc>
      </w:tr>
      <w:tr>
        <w:trPr>
          <w:trHeight w:val="214"/>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Costs of purchased natural gas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14"/>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112.9</w:t>
            </w:r>
          </w:p>
        </w:tc>
        <w:tc>
          <w:tcPr>
            <w:tcW w:w="0" w:type="dxa"/>
            <w:vAlign w:val="bottom"/>
          </w:tcPr>
          <w:p>
            <w:pPr>
              <w:spacing w:after="0"/>
              <w:rPr>
                <w:sz w:val="1"/>
                <w:szCs w:val="1"/>
                <w:color w:val="auto"/>
              </w:rPr>
            </w:pPr>
          </w:p>
        </w:tc>
      </w:tr>
      <w:tr>
        <w:trPr>
          <w:trHeight w:val="214"/>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404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27.2</w:t>
            </w:r>
          </w:p>
        </w:tc>
        <w:tc>
          <w:tcPr>
            <w:tcW w:w="0" w:type="dxa"/>
            <w:vAlign w:val="bottom"/>
          </w:tcPr>
          <w:p>
            <w:pPr>
              <w:spacing w:after="0"/>
              <w:rPr>
                <w:sz w:val="1"/>
                <w:szCs w:val="1"/>
                <w:color w:val="auto"/>
              </w:rPr>
            </w:pPr>
          </w:p>
        </w:tc>
      </w:tr>
      <w:tr>
        <w:trPr>
          <w:trHeight w:val="160"/>
        </w:trPr>
        <w:tc>
          <w:tcPr>
            <w:tcW w:w="80" w:type="dxa"/>
            <w:vAlign w:val="bottom"/>
            <w:shd w:val="clear" w:color="auto" w:fill="CCEEFF"/>
          </w:tcPr>
          <w:p>
            <w:pPr>
              <w:spacing w:after="0"/>
              <w:rPr>
                <w:sz w:val="13"/>
                <w:szCs w:val="13"/>
                <w:color w:val="auto"/>
              </w:rPr>
            </w:pPr>
          </w:p>
        </w:tc>
        <w:tc>
          <w:tcPr>
            <w:tcW w:w="404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6"/>
                <w:szCs w:val="16"/>
                <w:color w:val="auto"/>
              </w:rPr>
              <w:t>Dry holes and previously suspended exploration</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70.9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73.2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73.2</w:t>
            </w:r>
          </w:p>
        </w:tc>
        <w:tc>
          <w:tcPr>
            <w:tcW w:w="0" w:type="dxa"/>
            <w:vAlign w:val="bottom"/>
          </w:tcPr>
          <w:p>
            <w:pPr>
              <w:spacing w:after="0"/>
              <w:rPr>
                <w:sz w:val="1"/>
                <w:szCs w:val="1"/>
                <w:color w:val="auto"/>
              </w:rPr>
            </w:pPr>
          </w:p>
        </w:tc>
      </w:tr>
      <w:tr>
        <w:trPr>
          <w:trHeight w:val="214"/>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costs</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040" w:type="dxa"/>
            <w:vAlign w:val="bottom"/>
            <w:gridSpan w:val="2"/>
          </w:tcPr>
          <w:p>
            <w:pPr>
              <w:ind w:left="260"/>
              <w:spacing w:after="0" w:line="161" w:lineRule="exact"/>
              <w:rPr>
                <w:sz w:val="20"/>
                <w:szCs w:val="20"/>
                <w:color w:val="auto"/>
              </w:rPr>
            </w:pPr>
            <w:r>
              <w:rPr>
                <w:rFonts w:ascii="Arial" w:cs="Arial" w:eastAsia="Arial" w:hAnsi="Arial"/>
                <w:sz w:val="16"/>
                <w:szCs w:val="16"/>
                <w:color w:val="auto"/>
              </w:rPr>
              <w:t>Other exploratory costs, including undeveloped</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4040" w:type="dxa"/>
            <w:vAlign w:val="bottom"/>
            <w:gridSpan w:val="2"/>
          </w:tcPr>
          <w:p>
            <w:pPr>
              <w:ind w:left="260"/>
              <w:spacing w:after="0"/>
              <w:rPr>
                <w:sz w:val="20"/>
                <w:szCs w:val="20"/>
                <w:color w:val="auto"/>
              </w:rPr>
            </w:pPr>
            <w:r>
              <w:rPr>
                <w:rFonts w:ascii="Arial" w:cs="Arial" w:eastAsia="Arial" w:hAnsi="Arial"/>
                <w:sz w:val="16"/>
                <w:szCs w:val="16"/>
                <w:color w:val="auto"/>
              </w:rPr>
              <w:t>lease amortization and delay lease rentals</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133.5</w:t>
            </w:r>
          </w:p>
        </w:tc>
        <w:tc>
          <w:tcPr>
            <w:tcW w:w="0" w:type="dxa"/>
            <w:vAlign w:val="bottom"/>
          </w:tcPr>
          <w:p>
            <w:pPr>
              <w:spacing w:after="0"/>
              <w:rPr>
                <w:sz w:val="1"/>
                <w:szCs w:val="1"/>
                <w:color w:val="auto"/>
              </w:rPr>
            </w:pPr>
          </w:p>
        </w:tc>
      </w:tr>
      <w:tr>
        <w:trPr>
          <w:trHeight w:val="207"/>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865.8</w:t>
            </w:r>
          </w:p>
        </w:tc>
        <w:tc>
          <w:tcPr>
            <w:tcW w:w="0" w:type="dxa"/>
            <w:vAlign w:val="bottom"/>
          </w:tcPr>
          <w:p>
            <w:pPr>
              <w:spacing w:after="0"/>
              <w:rPr>
                <w:sz w:val="1"/>
                <w:szCs w:val="1"/>
                <w:color w:val="auto"/>
              </w:rPr>
            </w:pPr>
          </w:p>
        </w:tc>
      </w:tr>
      <w:tr>
        <w:trPr>
          <w:trHeight w:val="214"/>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Impairment of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62.9</w:t>
            </w:r>
          </w:p>
        </w:tc>
        <w:tc>
          <w:tcPr>
            <w:tcW w:w="0" w:type="dxa"/>
            <w:vAlign w:val="bottom"/>
          </w:tcPr>
          <w:p>
            <w:pPr>
              <w:spacing w:after="0"/>
              <w:rPr>
                <w:sz w:val="1"/>
                <w:szCs w:val="1"/>
                <w:color w:val="auto"/>
              </w:rPr>
            </w:pPr>
          </w:p>
        </w:tc>
      </w:tr>
      <w:tr>
        <w:trPr>
          <w:trHeight w:val="214"/>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52.5</w:t>
            </w:r>
          </w:p>
        </w:tc>
        <w:tc>
          <w:tcPr>
            <w:tcW w:w="0" w:type="dxa"/>
            <w:vAlign w:val="bottom"/>
          </w:tcPr>
          <w:p>
            <w:pPr>
              <w:spacing w:after="0"/>
              <w:rPr>
                <w:sz w:val="1"/>
                <w:szCs w:val="1"/>
                <w:color w:val="auto"/>
              </w:rPr>
            </w:pPr>
          </w:p>
        </w:tc>
      </w:tr>
      <w:tr>
        <w:trPr>
          <w:trHeight w:val="214"/>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r>
        <w:trPr>
          <w:trHeight w:val="214"/>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(34.2)</w:t>
            </w:r>
          </w:p>
        </w:tc>
        <w:tc>
          <w:tcPr>
            <w:tcW w:w="0" w:type="dxa"/>
            <w:vAlign w:val="bottom"/>
          </w:tcPr>
          <w:p>
            <w:pPr>
              <w:spacing w:after="0"/>
              <w:rPr>
                <w:sz w:val="1"/>
                <w:szCs w:val="1"/>
                <w:color w:val="auto"/>
              </w:rPr>
            </w:pPr>
          </w:p>
        </w:tc>
      </w:tr>
      <w:tr>
        <w:trPr>
          <w:trHeight w:val="214"/>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105.9</w:t>
            </w:r>
          </w:p>
        </w:tc>
        <w:tc>
          <w:tcPr>
            <w:tcW w:w="0" w:type="dxa"/>
            <w:vAlign w:val="bottom"/>
          </w:tcPr>
          <w:p>
            <w:pPr>
              <w:spacing w:after="0"/>
              <w:rPr>
                <w:sz w:val="1"/>
                <w:szCs w:val="1"/>
                <w:color w:val="auto"/>
              </w:rPr>
            </w:pPr>
          </w:p>
        </w:tc>
      </w:tr>
      <w:tr>
        <w:trPr>
          <w:trHeight w:val="212"/>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214"/>
        </w:trPr>
        <w:tc>
          <w:tcPr>
            <w:tcW w:w="8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w:t>
            </w:r>
          </w:p>
        </w:tc>
        <w:tc>
          <w:tcPr>
            <w:tcW w:w="0" w:type="dxa"/>
            <w:vAlign w:val="bottom"/>
          </w:tcPr>
          <w:p>
            <w:pPr>
              <w:spacing w:after="0"/>
              <w:rPr>
                <w:sz w:val="1"/>
                <w:szCs w:val="1"/>
                <w:color w:val="auto"/>
              </w:rPr>
            </w:pPr>
          </w:p>
        </w:tc>
      </w:tr>
      <w:tr>
        <w:trPr>
          <w:trHeight w:val="207"/>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78.3</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costs (income)</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w:t>
            </w:r>
          </w:p>
        </w:tc>
        <w:tc>
          <w:tcPr>
            <w:tcW w:w="0" w:type="dxa"/>
            <w:vAlign w:val="bottom"/>
          </w:tcPr>
          <w:p>
            <w:pPr>
              <w:spacing w:after="0"/>
              <w:rPr>
                <w:sz w:val="1"/>
                <w:szCs w:val="1"/>
                <w:color w:val="auto"/>
              </w:rPr>
            </w:pPr>
          </w:p>
        </w:tc>
      </w:tr>
      <w:tr>
        <w:trPr>
          <w:trHeight w:val="232"/>
        </w:trPr>
        <w:tc>
          <w:tcPr>
            <w:tcW w:w="4120" w:type="dxa"/>
            <w:vAlign w:val="bottom"/>
            <w:tcBorders>
              <w:bottom w:val="single" w:sz="8" w:color="CCEEFF"/>
            </w:tcBorders>
            <w:gridSpan w:val="3"/>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486.5</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840.6</w:t>
            </w:r>
          </w:p>
        </w:tc>
        <w:tc>
          <w:tcPr>
            <w:tcW w:w="0" w:type="dxa"/>
            <w:vAlign w:val="bottom"/>
          </w:tcPr>
          <w:p>
            <w:pPr>
              <w:spacing w:after="0"/>
              <w:rPr>
                <w:sz w:val="1"/>
                <w:szCs w:val="1"/>
                <w:color w:val="auto"/>
              </w:rPr>
            </w:pPr>
          </w:p>
        </w:tc>
      </w:tr>
      <w:tr>
        <w:trPr>
          <w:trHeight w:val="221"/>
        </w:trPr>
        <w:tc>
          <w:tcPr>
            <w:tcW w:w="4120" w:type="dxa"/>
            <w:vAlign w:val="bottom"/>
            <w:gridSpan w:val="3"/>
          </w:tcPr>
          <w:p>
            <w:pPr>
              <w:ind w:left="20"/>
              <w:spacing w:after="0"/>
              <w:rPr>
                <w:sz w:val="20"/>
                <w:szCs w:val="20"/>
                <w:color w:val="auto"/>
              </w:rPr>
            </w:pPr>
            <w:r>
              <w:rPr>
                <w:rFonts w:ascii="Arial" w:cs="Arial" w:eastAsia="Arial" w:hAnsi="Arial"/>
                <w:sz w:val="16"/>
                <w:szCs w:val="16"/>
                <w:color w:val="auto"/>
              </w:rPr>
              <w:t>Total assets at year-end</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6,953.8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9,175.6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9,667.5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hanging="107"/>
        <w:spacing w:after="0"/>
        <w:tabs>
          <w:tab w:leader="none" w:pos="12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Business Segments (Continued)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color w:val="auto"/>
              </w:rPr>
              <w:t>Exploration and Production</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100"/>
              <w:spacing w:after="0" w:line="155" w:lineRule="exact"/>
              <w:rPr>
                <w:sz w:val="20"/>
                <w:szCs w:val="20"/>
                <w:color w:val="auto"/>
              </w:rPr>
            </w:pPr>
            <w:r>
              <w:rPr>
                <w:rFonts w:ascii="Arial" w:cs="Arial" w:eastAsia="Arial" w:hAnsi="Arial"/>
                <w:sz w:val="16"/>
                <w:szCs w:val="16"/>
                <w:color w:val="auto"/>
              </w:rPr>
              <w:t>Corporate,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9"/>
              </w:rPr>
              <w:t>United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61" w:lineRule="exact"/>
              <w:rPr>
                <w:sz w:val="20"/>
                <w:szCs w:val="20"/>
                <w:color w:val="auto"/>
              </w:rPr>
            </w:pPr>
            <w:r>
              <w:rPr>
                <w:rFonts w:ascii="Arial" w:cs="Arial" w:eastAsia="Arial" w:hAnsi="Arial"/>
                <w:sz w:val="16"/>
                <w:szCs w:val="16"/>
                <w:color w:val="auto"/>
              </w:rPr>
              <w:t>Other, and</w:t>
            </w:r>
          </w:p>
        </w:tc>
        <w:tc>
          <w:tcPr>
            <w:tcW w:w="160" w:type="dxa"/>
            <w:vAlign w:val="bottom"/>
          </w:tcPr>
          <w:p>
            <w:pPr>
              <w:spacing w:after="0"/>
              <w:rPr>
                <w:sz w:val="13"/>
                <w:szCs w:val="13"/>
                <w:color w:val="auto"/>
              </w:rPr>
            </w:pPr>
          </w:p>
        </w:tc>
        <w:tc>
          <w:tcPr>
            <w:tcW w:w="1180" w:type="dxa"/>
            <w:vAlign w:val="bottom"/>
            <w:vMerge w:val="restart"/>
          </w:tcPr>
          <w:p>
            <w:pPr>
              <w:jc w:val="right"/>
              <w:ind w:right="120"/>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60"/>
        </w:trPr>
        <w:tc>
          <w:tcPr>
            <w:tcW w:w="414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61" w:lineRule="exact"/>
              <w:rPr>
                <w:sz w:val="20"/>
                <w:szCs w:val="20"/>
                <w:color w:val="auto"/>
              </w:rPr>
            </w:pPr>
            <w:r>
              <w:rPr>
                <w:rFonts w:ascii="Arial" w:cs="Arial" w:eastAsia="Arial" w:hAnsi="Arial"/>
                <w:sz w:val="16"/>
                <w:szCs w:val="16"/>
                <w:color w:val="auto"/>
                <w:w w:val="99"/>
              </w:rPr>
              <w:t>Discontinued</w:t>
            </w: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1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line="174" w:lineRule="exact"/>
              <w:rPr>
                <w:sz w:val="20"/>
                <w:szCs w:val="20"/>
                <w:color w:val="auto"/>
              </w:rPr>
            </w:pPr>
            <w:r>
              <w:rPr>
                <w:rFonts w:ascii="Arial" w:cs="Arial" w:eastAsia="Arial" w:hAnsi="Arial"/>
                <w:sz w:val="16"/>
                <w:szCs w:val="16"/>
                <w:color w:val="auto"/>
                <w:w w:val="97"/>
              </w:rPr>
              <w:t xml:space="preserve">States </w:t>
            </w:r>
            <w:r>
              <w:rPr>
                <w:rFonts w:ascii="Arial" w:cs="Arial" w:eastAsia="Arial" w:hAnsi="Arial"/>
                <w:sz w:val="20"/>
                <w:szCs w:val="20"/>
                <w:color w:val="auto"/>
                <w:w w:val="97"/>
                <w:vertAlign w:val="superscript"/>
              </w:rPr>
              <w:t>1</w:t>
            </w: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20"/>
              <w:spacing w:after="0" w:line="174" w:lineRule="exact"/>
              <w:rPr>
                <w:sz w:val="20"/>
                <w:szCs w:val="20"/>
                <w:color w:val="auto"/>
              </w:rPr>
            </w:pPr>
            <w:r>
              <w:rPr>
                <w:rFonts w:ascii="Arial" w:cs="Arial" w:eastAsia="Arial" w:hAnsi="Arial"/>
                <w:sz w:val="16"/>
                <w:szCs w:val="16"/>
                <w:color w:val="auto"/>
              </w:rPr>
              <w:t>E&amp;P</w:t>
            </w:r>
          </w:p>
        </w:tc>
        <w:tc>
          <w:tcPr>
            <w:tcW w:w="160" w:type="dxa"/>
            <w:vAlign w:val="bottom"/>
          </w:tcPr>
          <w:p>
            <w:pPr>
              <w:spacing w:after="0"/>
              <w:rPr>
                <w:sz w:val="15"/>
                <w:szCs w:val="15"/>
                <w:color w:val="auto"/>
              </w:rPr>
            </w:pPr>
          </w:p>
        </w:tc>
        <w:tc>
          <w:tcPr>
            <w:tcW w:w="1260" w:type="dxa"/>
            <w:vAlign w:val="bottom"/>
            <w:gridSpan w:val="2"/>
          </w:tcPr>
          <w:p>
            <w:pPr>
              <w:jc w:val="center"/>
              <w:ind w:right="240"/>
              <w:spacing w:after="0" w:line="174" w:lineRule="exact"/>
              <w:rPr>
                <w:sz w:val="20"/>
                <w:szCs w:val="20"/>
                <w:color w:val="auto"/>
              </w:rPr>
            </w:pPr>
            <w:r>
              <w:rPr>
                <w:rFonts w:ascii="Arial" w:cs="Arial" w:eastAsia="Arial" w:hAnsi="Arial"/>
                <w:sz w:val="16"/>
                <w:szCs w:val="16"/>
                <w:color w:val="auto"/>
                <w:w w:val="99"/>
              </w:rPr>
              <w:t>Operations</w:t>
            </w:r>
          </w:p>
        </w:tc>
        <w:tc>
          <w:tcPr>
            <w:tcW w:w="160" w:type="dxa"/>
            <w:vAlign w:val="bottom"/>
          </w:tcPr>
          <w:p>
            <w:pPr>
              <w:spacing w:after="0"/>
              <w:rPr>
                <w:sz w:val="15"/>
                <w:szCs w:val="15"/>
                <w:color w:val="auto"/>
              </w:rPr>
            </w:pPr>
          </w:p>
        </w:tc>
        <w:tc>
          <w:tcPr>
            <w:tcW w:w="1180" w:type="dxa"/>
            <w:vAlign w:val="bottom"/>
          </w:tcPr>
          <w:p>
            <w:pPr>
              <w:jc w:val="right"/>
              <w:ind w:right="420"/>
              <w:spacing w:after="0" w:line="174"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2,921.8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443.8</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3,376.6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3,376.6</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purchased natural gas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Gain on sales of assets and other operating income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2,928.3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3,460.1</w:t>
            </w:r>
          </w:p>
        </w:tc>
        <w:tc>
          <w:tcPr>
            <w:tcW w:w="0" w:type="dxa"/>
            <w:vAlign w:val="bottom"/>
          </w:tcPr>
          <w:p>
            <w:pPr>
              <w:spacing w:after="0"/>
              <w:rPr>
                <w:sz w:val="1"/>
                <w:szCs w:val="1"/>
                <w:color w:val="auto"/>
              </w:rPr>
            </w:pPr>
          </w:p>
        </w:tc>
      </w:tr>
      <w:tr>
        <w:trPr>
          <w:trHeight w:val="19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0" w:type="dxa"/>
            <w:vAlign w:val="bottom"/>
          </w:tcPr>
          <w:p>
            <w:pPr>
              <w:spacing w:after="0"/>
              <w:rPr>
                <w:sz w:val="1"/>
                <w:szCs w:val="1"/>
                <w:color w:val="auto"/>
              </w:rPr>
            </w:pPr>
          </w:p>
        </w:tc>
      </w:tr>
      <w:tr>
        <w:trPr>
          <w:trHeight w:val="214"/>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5"/>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6"/>
        </w:trPr>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630.7</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784.4</w:t>
            </w:r>
          </w:p>
        </w:tc>
        <w:tc>
          <w:tcPr>
            <w:tcW w:w="0" w:type="dxa"/>
            <w:vAlign w:val="bottom"/>
          </w:tcPr>
          <w:p>
            <w:pPr>
              <w:spacing w:after="0"/>
              <w:rPr>
                <w:sz w:val="1"/>
                <w:szCs w:val="1"/>
                <w:color w:val="auto"/>
              </w:rPr>
            </w:pPr>
          </w:p>
        </w:tc>
      </w:tr>
      <w:tr>
        <w:trPr>
          <w:trHeight w:val="208"/>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Costs of purchased natural gas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6"/>
                <w:szCs w:val="16"/>
                <w:color w:val="auto"/>
              </w:rPr>
              <w:t>Dry holes and previously suspended exploration</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4"/>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costs</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060" w:type="dxa"/>
            <w:vAlign w:val="bottom"/>
            <w:gridSpan w:val="2"/>
          </w:tcPr>
          <w:p>
            <w:pPr>
              <w:ind w:left="260"/>
              <w:spacing w:after="0" w:line="161" w:lineRule="exact"/>
              <w:rPr>
                <w:sz w:val="20"/>
                <w:szCs w:val="20"/>
                <w:color w:val="auto"/>
              </w:rPr>
            </w:pPr>
            <w:r>
              <w:rPr>
                <w:rFonts w:ascii="Arial" w:cs="Arial" w:eastAsia="Arial" w:hAnsi="Arial"/>
                <w:sz w:val="16"/>
                <w:szCs w:val="16"/>
                <w:color w:val="auto"/>
              </w:rPr>
              <w:t>Other exploratory costs, including undeveloped lease</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0" w:type="dxa"/>
            <w:vAlign w:val="bottom"/>
          </w:tcPr>
          <w:p>
            <w:pPr>
              <w:spacing w:after="0"/>
              <w:rPr>
                <w:sz w:val="1"/>
                <w:szCs w:val="1"/>
                <w:color w:val="auto"/>
              </w:rPr>
            </w:pPr>
          </w:p>
        </w:tc>
      </w:tr>
      <w:tr>
        <w:trPr>
          <w:trHeight w:val="206"/>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861.5</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miscellaneous operating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auto"/>
              </w:rPr>
              <w:t>Loss on contingent consideration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other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6"/>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2"/>
        </w:trPr>
        <w:tc>
          <w:tcPr>
            <w:tcW w:w="8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208"/>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06"/>
        </w:trPr>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costs (income)</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3"/>
        </w:trPr>
        <w:tc>
          <w:tcPr>
            <w:tcW w:w="4140" w:type="dxa"/>
            <w:vAlign w:val="bottom"/>
            <w:tcBorders>
              <w:bottom w:val="single" w:sz="8" w:color="CCEEFF"/>
            </w:tcBorders>
            <w:gridSpan w:val="3"/>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w:t>
            </w:r>
          </w:p>
        </w:tc>
        <w:tc>
          <w:tcPr>
            <w:tcW w:w="0" w:type="dxa"/>
            <w:vAlign w:val="bottom"/>
          </w:tcPr>
          <w:p>
            <w:pPr>
              <w:spacing w:after="0"/>
              <w:rPr>
                <w:sz w:val="1"/>
                <w:szCs w:val="1"/>
                <w:color w:val="auto"/>
              </w:rPr>
            </w:pPr>
          </w:p>
        </w:tc>
      </w:tr>
      <w:tr>
        <w:trPr>
          <w:trHeight w:val="211"/>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Total assets at year-end</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7,107.0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9,766.7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20" w:hanging="107"/>
        <w:spacing w:after="0"/>
        <w:tabs>
          <w:tab w:leader="none" w:pos="12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Business Segments (Continued)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color w:val="auto"/>
              </w:rPr>
              <w:t>Exploration and Production</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100"/>
              <w:spacing w:after="0" w:line="155" w:lineRule="exact"/>
              <w:rPr>
                <w:sz w:val="20"/>
                <w:szCs w:val="20"/>
                <w:color w:val="auto"/>
              </w:rPr>
            </w:pPr>
            <w:r>
              <w:rPr>
                <w:rFonts w:ascii="Arial" w:cs="Arial" w:eastAsia="Arial" w:hAnsi="Arial"/>
                <w:sz w:val="16"/>
                <w:szCs w:val="16"/>
                <w:color w:val="auto"/>
              </w:rPr>
              <w:t>Corporate,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9"/>
              </w:rPr>
              <w:t>United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61" w:lineRule="exact"/>
              <w:rPr>
                <w:sz w:val="20"/>
                <w:szCs w:val="20"/>
                <w:color w:val="auto"/>
              </w:rPr>
            </w:pPr>
            <w:r>
              <w:rPr>
                <w:rFonts w:ascii="Arial" w:cs="Arial" w:eastAsia="Arial" w:hAnsi="Arial"/>
                <w:sz w:val="16"/>
                <w:szCs w:val="16"/>
                <w:color w:val="auto"/>
              </w:rPr>
              <w:t>Other, and</w:t>
            </w:r>
          </w:p>
        </w:tc>
        <w:tc>
          <w:tcPr>
            <w:tcW w:w="160" w:type="dxa"/>
            <w:vAlign w:val="bottom"/>
          </w:tcPr>
          <w:p>
            <w:pPr>
              <w:spacing w:after="0"/>
              <w:rPr>
                <w:sz w:val="13"/>
                <w:szCs w:val="13"/>
                <w:color w:val="auto"/>
              </w:rPr>
            </w:pPr>
          </w:p>
        </w:tc>
        <w:tc>
          <w:tcPr>
            <w:tcW w:w="1180" w:type="dxa"/>
            <w:vAlign w:val="bottom"/>
            <w:vMerge w:val="restart"/>
          </w:tcPr>
          <w:p>
            <w:pPr>
              <w:jc w:val="right"/>
              <w:ind w:right="120"/>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160"/>
        </w:trPr>
        <w:tc>
          <w:tcPr>
            <w:tcW w:w="4140" w:type="dxa"/>
            <w:vAlign w:val="bottom"/>
            <w:gridSpan w:val="3"/>
            <w:vMerge w:val="restart"/>
          </w:tcPr>
          <w:p>
            <w:pPr>
              <w:ind w:left="20"/>
              <w:spacing w:after="0"/>
              <w:rPr>
                <w:sz w:val="20"/>
                <w:szCs w:val="20"/>
                <w:color w:val="auto"/>
              </w:rPr>
            </w:pPr>
            <w:r>
              <w:rPr>
                <w:rFonts w:ascii="Arial" w:cs="Arial" w:eastAsia="Arial" w:hAnsi="Arial"/>
                <w:sz w:val="16"/>
                <w:szCs w:val="16"/>
                <w:i w:val="1"/>
                <w:iCs w:val="1"/>
                <w:color w:val="auto"/>
              </w:rPr>
              <w:t>(Millions of dollars)</w:t>
            </w: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color w:val="auto"/>
              </w:rPr>
              <w:t>Canada</w:t>
            </w:r>
          </w:p>
        </w:tc>
        <w:tc>
          <w:tcPr>
            <w:tcW w:w="20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61" w:lineRule="exact"/>
              <w:rPr>
                <w:sz w:val="20"/>
                <w:szCs w:val="20"/>
                <w:color w:val="auto"/>
              </w:rPr>
            </w:pPr>
            <w:r>
              <w:rPr>
                <w:rFonts w:ascii="Arial" w:cs="Arial" w:eastAsia="Arial" w:hAnsi="Arial"/>
                <w:sz w:val="16"/>
                <w:szCs w:val="16"/>
                <w:color w:val="auto"/>
                <w:w w:val="99"/>
              </w:rPr>
              <w:t>Discontinued</w:t>
            </w: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1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line="174" w:lineRule="exact"/>
              <w:rPr>
                <w:sz w:val="20"/>
                <w:szCs w:val="20"/>
                <w:color w:val="auto"/>
              </w:rPr>
            </w:pPr>
            <w:r>
              <w:rPr>
                <w:rFonts w:ascii="Arial" w:cs="Arial" w:eastAsia="Arial" w:hAnsi="Arial"/>
                <w:sz w:val="16"/>
                <w:szCs w:val="16"/>
                <w:color w:val="auto"/>
                <w:w w:val="97"/>
              </w:rPr>
              <w:t xml:space="preserve">States </w:t>
            </w:r>
            <w:r>
              <w:rPr>
                <w:rFonts w:ascii="Arial" w:cs="Arial" w:eastAsia="Arial" w:hAnsi="Arial"/>
                <w:sz w:val="20"/>
                <w:szCs w:val="20"/>
                <w:color w:val="auto"/>
                <w:w w:val="97"/>
                <w:vertAlign w:val="superscript"/>
              </w:rPr>
              <w:t>1</w:t>
            </w: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20"/>
              <w:spacing w:after="0" w:line="174" w:lineRule="exact"/>
              <w:rPr>
                <w:sz w:val="20"/>
                <w:szCs w:val="20"/>
                <w:color w:val="auto"/>
              </w:rPr>
            </w:pPr>
            <w:r>
              <w:rPr>
                <w:rFonts w:ascii="Arial" w:cs="Arial" w:eastAsia="Arial" w:hAnsi="Arial"/>
                <w:sz w:val="16"/>
                <w:szCs w:val="16"/>
                <w:color w:val="auto"/>
              </w:rPr>
              <w:t>E&amp;P</w:t>
            </w:r>
          </w:p>
        </w:tc>
        <w:tc>
          <w:tcPr>
            <w:tcW w:w="160" w:type="dxa"/>
            <w:vAlign w:val="bottom"/>
          </w:tcPr>
          <w:p>
            <w:pPr>
              <w:spacing w:after="0"/>
              <w:rPr>
                <w:sz w:val="15"/>
                <w:szCs w:val="15"/>
                <w:color w:val="auto"/>
              </w:rPr>
            </w:pPr>
          </w:p>
        </w:tc>
        <w:tc>
          <w:tcPr>
            <w:tcW w:w="1260" w:type="dxa"/>
            <w:vAlign w:val="bottom"/>
            <w:gridSpan w:val="2"/>
          </w:tcPr>
          <w:p>
            <w:pPr>
              <w:jc w:val="center"/>
              <w:ind w:right="240"/>
              <w:spacing w:after="0" w:line="174" w:lineRule="exact"/>
              <w:rPr>
                <w:sz w:val="20"/>
                <w:szCs w:val="20"/>
                <w:color w:val="auto"/>
              </w:rPr>
            </w:pPr>
            <w:r>
              <w:rPr>
                <w:rFonts w:ascii="Arial" w:cs="Arial" w:eastAsia="Arial" w:hAnsi="Arial"/>
                <w:sz w:val="16"/>
                <w:szCs w:val="16"/>
                <w:color w:val="auto"/>
                <w:w w:val="99"/>
              </w:rPr>
              <w:t>Operations</w:t>
            </w:r>
          </w:p>
        </w:tc>
        <w:tc>
          <w:tcPr>
            <w:tcW w:w="160" w:type="dxa"/>
            <w:vAlign w:val="bottom"/>
          </w:tcPr>
          <w:p>
            <w:pPr>
              <w:spacing w:after="0"/>
              <w:rPr>
                <w:sz w:val="15"/>
                <w:szCs w:val="15"/>
                <w:color w:val="auto"/>
              </w:rPr>
            </w:pPr>
          </w:p>
        </w:tc>
        <w:tc>
          <w:tcPr>
            <w:tcW w:w="1180" w:type="dxa"/>
            <w:vAlign w:val="bottom"/>
          </w:tcPr>
          <w:p>
            <w:pPr>
              <w:jc w:val="right"/>
              <w:ind w:right="420"/>
              <w:spacing w:after="0" w:line="174" w:lineRule="exact"/>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Revenue from production</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3,435.5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580.0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4,038.5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4,038.5</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Sales of purchased natural gas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Gain on sales of assets and other operating income (loss)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(287.5)</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3,932.7</w:t>
            </w:r>
          </w:p>
        </w:tc>
        <w:tc>
          <w:tcPr>
            <w:tcW w:w="0" w:type="dxa"/>
            <w:vAlign w:val="bottom"/>
          </w:tcPr>
          <w:p>
            <w:pPr>
              <w:spacing w:after="0"/>
              <w:rPr>
                <w:sz w:val="1"/>
                <w:szCs w:val="1"/>
                <w:color w:val="auto"/>
              </w:rPr>
            </w:pPr>
          </w:p>
        </w:tc>
      </w:tr>
      <w:tr>
        <w:trPr>
          <w:trHeight w:val="19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Lease operating expenses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6"/>
                <w:szCs w:val="16"/>
                <w:color w:val="auto"/>
              </w:rPr>
              <w:t>Lease operating expenses and taxes other than</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0" w:type="dxa"/>
            <w:vAlign w:val="bottom"/>
          </w:tcPr>
          <w:p>
            <w:pPr>
              <w:spacing w:after="0"/>
              <w:rPr>
                <w:sz w:val="1"/>
                <w:szCs w:val="1"/>
                <w:color w:val="auto"/>
              </w:rPr>
            </w:pPr>
          </w:p>
        </w:tc>
      </w:tr>
      <w:tr>
        <w:trPr>
          <w:trHeight w:val="214"/>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auto"/>
              </w:rPr>
              <w:t>Repair and maintenance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5"/>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Workovers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6"/>
        </w:trPr>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lease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522.7</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679.3</w:t>
            </w:r>
          </w:p>
        </w:tc>
        <w:tc>
          <w:tcPr>
            <w:tcW w:w="0" w:type="dxa"/>
            <w:vAlign w:val="bottom"/>
          </w:tcPr>
          <w:p>
            <w:pPr>
              <w:spacing w:after="0"/>
              <w:rPr>
                <w:sz w:val="1"/>
                <w:szCs w:val="1"/>
                <w:color w:val="auto"/>
              </w:rPr>
            </w:pPr>
          </w:p>
        </w:tc>
      </w:tr>
      <w:tr>
        <w:trPr>
          <w:trHeight w:val="208"/>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Severance and ad valorem taxes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Transportation, gathering and processing</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Costs of purchased natural gas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Selling and general expenses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auto"/>
              </w:rPr>
              <w:t>Geological and geophysical</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6"/>
                <w:szCs w:val="16"/>
                <w:color w:val="auto"/>
              </w:rPr>
              <w:t>Dry holes and previously suspended exploration</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14"/>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costs</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060" w:type="dxa"/>
            <w:vAlign w:val="bottom"/>
            <w:gridSpan w:val="2"/>
          </w:tcPr>
          <w:p>
            <w:pPr>
              <w:ind w:left="260"/>
              <w:spacing w:after="0" w:line="161" w:lineRule="exact"/>
              <w:rPr>
                <w:sz w:val="20"/>
                <w:szCs w:val="20"/>
                <w:color w:val="auto"/>
              </w:rPr>
            </w:pPr>
            <w:r>
              <w:rPr>
                <w:rFonts w:ascii="Arial" w:cs="Arial" w:eastAsia="Arial" w:hAnsi="Arial"/>
                <w:sz w:val="16"/>
                <w:szCs w:val="16"/>
                <w:color w:val="auto"/>
              </w:rPr>
              <w:t>Other exploratory costs, including undeveloped lease</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auto"/>
              </w:rPr>
              <w:t>amortization and delay lease rentals</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exploration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06"/>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776.8</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Accretion of asset retirement obligations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Other operating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miscellaneous operating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060" w:type="dxa"/>
            <w:vAlign w:val="bottom"/>
            <w:gridSpan w:val="2"/>
          </w:tcPr>
          <w:p>
            <w:pPr>
              <w:ind w:left="260"/>
              <w:spacing w:after="0"/>
              <w:rPr>
                <w:sz w:val="20"/>
                <w:szCs w:val="20"/>
                <w:color w:val="auto"/>
              </w:rPr>
            </w:pPr>
            <w:r>
              <w:rPr>
                <w:rFonts w:ascii="Arial" w:cs="Arial" w:eastAsia="Arial" w:hAnsi="Arial"/>
                <w:sz w:val="16"/>
                <w:szCs w:val="16"/>
                <w:color w:val="auto"/>
              </w:rPr>
              <w:t>Loss on contingent consideration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other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06"/>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5"/>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capitalization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212"/>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income tax expense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2"/>
        </w:trPr>
        <w:tc>
          <w:tcPr>
            <w:tcW w:w="8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Deferred income tax expense</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08"/>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06"/>
        </w:trPr>
        <w:tc>
          <w:tcPr>
            <w:tcW w:w="41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segment costs (income)</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3"/>
        </w:trPr>
        <w:tc>
          <w:tcPr>
            <w:tcW w:w="4140" w:type="dxa"/>
            <w:vAlign w:val="bottom"/>
            <w:tcBorders>
              <w:bottom w:val="single" w:sz="8" w:color="CCEEFF"/>
            </w:tcBorders>
            <w:gridSpan w:val="3"/>
            <w:shd w:val="clear" w:color="auto" w:fill="CCEEFF"/>
          </w:tcPr>
          <w:p>
            <w:pPr>
              <w:ind w:left="20"/>
              <w:spacing w:after="0" w:line="208" w:lineRule="exact"/>
              <w:rPr>
                <w:sz w:val="20"/>
                <w:szCs w:val="20"/>
                <w:color w:val="auto"/>
              </w:rPr>
            </w:pPr>
            <w:r>
              <w:rPr>
                <w:rFonts w:ascii="Arial" w:cs="Arial" w:eastAsia="Arial" w:hAnsi="Arial"/>
                <w:sz w:val="16"/>
                <w:szCs w:val="16"/>
                <w:color w:val="auto"/>
              </w:rPr>
              <w:t xml:space="preserve">Segment income (loss) - including NCI </w:t>
            </w:r>
            <w:r>
              <w:rPr>
                <w:rFonts w:ascii="Arial" w:cs="Arial" w:eastAsia="Arial" w:hAnsi="Arial"/>
                <w:sz w:val="20"/>
                <w:szCs w:val="20"/>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1,138.7</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Additions to property, plant,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0" w:type="dxa"/>
            <w:vAlign w:val="bottom"/>
          </w:tcPr>
          <w:p>
            <w:pPr>
              <w:spacing w:after="0"/>
              <w:rPr>
                <w:sz w:val="1"/>
                <w:szCs w:val="1"/>
                <w:color w:val="auto"/>
              </w:rPr>
            </w:pPr>
          </w:p>
        </w:tc>
      </w:tr>
      <w:tr>
        <w:trPr>
          <w:trHeight w:val="211"/>
        </w:trPr>
        <w:tc>
          <w:tcPr>
            <w:tcW w:w="4140" w:type="dxa"/>
            <w:vAlign w:val="bottom"/>
            <w:gridSpan w:val="3"/>
          </w:tcPr>
          <w:p>
            <w:pPr>
              <w:ind w:left="20"/>
              <w:spacing w:after="0"/>
              <w:rPr>
                <w:sz w:val="20"/>
                <w:szCs w:val="20"/>
                <w:color w:val="auto"/>
              </w:rPr>
            </w:pPr>
            <w:r>
              <w:rPr>
                <w:rFonts w:ascii="Arial" w:cs="Arial" w:eastAsia="Arial" w:hAnsi="Arial"/>
                <w:sz w:val="16"/>
                <w:szCs w:val="16"/>
                <w:color w:val="auto"/>
              </w:rPr>
              <w:t>Total assets at year-end</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6,930.6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10,309.0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20" w:hanging="107"/>
        <w:spacing w:after="0"/>
        <w:tabs>
          <w:tab w:leader="none" w:pos="120"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Includes results attributable to a noncontrolling interest in MP GOM.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Business Segments (Continued)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00" w:type="dxa"/>
            <w:vAlign w:val="bottom"/>
            <w:gridSpan w:val="3"/>
          </w:tcPr>
          <w:p>
            <w:pPr>
              <w:ind w:left="20"/>
              <w:spacing w:after="0"/>
              <w:rPr>
                <w:sz w:val="20"/>
                <w:szCs w:val="20"/>
                <w:color w:val="auto"/>
              </w:rPr>
            </w:pPr>
            <w:r>
              <w:rPr>
                <w:rFonts w:ascii="Arial" w:cs="Arial" w:eastAsia="Arial" w:hAnsi="Arial"/>
                <w:sz w:val="18"/>
                <w:szCs w:val="18"/>
                <w:b w:val="1"/>
                <w:bCs w:val="1"/>
                <w:color w:val="auto"/>
              </w:rPr>
              <w:t>Geographic Information</w:t>
            </w:r>
          </w:p>
        </w:tc>
        <w:tc>
          <w:tcPr>
            <w:tcW w:w="26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gridSpan w:val="9"/>
          </w:tcPr>
          <w:p>
            <w:pPr>
              <w:ind w:left="860"/>
              <w:spacing w:after="0"/>
              <w:rPr>
                <w:sz w:val="20"/>
                <w:szCs w:val="20"/>
                <w:color w:val="auto"/>
              </w:rPr>
            </w:pPr>
            <w:r>
              <w:rPr>
                <w:rFonts w:ascii="Arial" w:cs="Arial" w:eastAsia="Arial" w:hAnsi="Arial"/>
                <w:sz w:val="18"/>
                <w:szCs w:val="18"/>
                <w:color w:val="auto"/>
              </w:rPr>
              <w:t xml:space="preserve">Certain long-lived assets at December 31 </w:t>
            </w:r>
            <w:r>
              <w:rPr>
                <w:rFonts w:ascii="Arial" w:cs="Arial" w:eastAsia="Arial" w:hAnsi="Arial"/>
                <w:sz w:val="23"/>
                <w:szCs w:val="23"/>
                <w:color w:val="auto"/>
                <w:vertAlign w:val="superscript"/>
              </w:rPr>
              <w:t>1</w:t>
            </w:r>
          </w:p>
        </w:tc>
        <w:tc>
          <w:tcPr>
            <w:tcW w:w="1000" w:type="dxa"/>
            <w:vAlign w:val="bottom"/>
            <w:tcBorders>
              <w:bottom w:val="single" w:sz="8" w:color="auto"/>
            </w:tcBorders>
          </w:tcPr>
          <w:p>
            <w:pPr>
              <w:spacing w:after="0"/>
              <w:rPr>
                <w:sz w:val="22"/>
                <w:szCs w:val="22"/>
                <w:color w:val="auto"/>
              </w:rPr>
            </w:pPr>
          </w:p>
        </w:tc>
      </w:tr>
      <w:tr>
        <w:trPr>
          <w:trHeight w:val="167"/>
        </w:trPr>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40"/>
              <w:spacing w:after="0" w:line="167" w:lineRule="exact"/>
              <w:rPr>
                <w:sz w:val="20"/>
                <w:szCs w:val="20"/>
                <w:color w:val="auto"/>
              </w:rPr>
            </w:pPr>
            <w:r>
              <w:rPr>
                <w:rFonts w:ascii="Arial" w:cs="Arial" w:eastAsia="Arial" w:hAnsi="Arial"/>
                <w:sz w:val="18"/>
                <w:szCs w:val="18"/>
                <w:color w:val="auto"/>
              </w:rPr>
              <w:t>United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0"/>
        </w:trPr>
        <w:tc>
          <w:tcPr>
            <w:tcW w:w="5600" w:type="dxa"/>
            <w:vAlign w:val="bottom"/>
            <w:gridSpan w:val="3"/>
          </w:tcPr>
          <w:p>
            <w:pPr>
              <w:ind w:left="20"/>
              <w:spacing w:after="0" w:line="201" w:lineRule="exact"/>
              <w:rPr>
                <w:sz w:val="20"/>
                <w:szCs w:val="20"/>
                <w:color w:val="auto"/>
              </w:rPr>
            </w:pPr>
            <w:r>
              <w:rPr>
                <w:rFonts w:ascii="Arial" w:cs="Arial" w:eastAsia="Arial" w:hAnsi="Arial"/>
                <w:sz w:val="18"/>
                <w:szCs w:val="18"/>
                <w:i w:val="1"/>
                <w:iCs w:val="1"/>
                <w:color w:val="auto"/>
              </w:rPr>
              <w:t>(Millions of dollars)</w:t>
            </w:r>
          </w:p>
        </w:tc>
        <w:tc>
          <w:tcPr>
            <w:tcW w:w="260" w:type="dxa"/>
            <w:vAlign w:val="bottom"/>
          </w:tcPr>
          <w:p>
            <w:pPr>
              <w:spacing w:after="0"/>
              <w:rPr>
                <w:sz w:val="17"/>
                <w:szCs w:val="17"/>
                <w:color w:val="auto"/>
              </w:rPr>
            </w:pPr>
          </w:p>
        </w:tc>
        <w:tc>
          <w:tcPr>
            <w:tcW w:w="11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States</w:t>
            </w:r>
          </w:p>
        </w:tc>
        <w:tc>
          <w:tcPr>
            <w:tcW w:w="240" w:type="dxa"/>
            <w:vAlign w:val="bottom"/>
          </w:tcPr>
          <w:p>
            <w:pPr>
              <w:spacing w:after="0"/>
              <w:rPr>
                <w:sz w:val="17"/>
                <w:szCs w:val="17"/>
                <w:color w:val="auto"/>
              </w:rPr>
            </w:pPr>
          </w:p>
        </w:tc>
        <w:tc>
          <w:tcPr>
            <w:tcW w:w="11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Canada</w:t>
            </w:r>
          </w:p>
        </w:tc>
        <w:tc>
          <w:tcPr>
            <w:tcW w:w="280" w:type="dxa"/>
            <w:vAlign w:val="bottom"/>
          </w:tcPr>
          <w:p>
            <w:pPr>
              <w:spacing w:after="0"/>
              <w:rPr>
                <w:sz w:val="17"/>
                <w:szCs w:val="17"/>
                <w:color w:val="auto"/>
              </w:rPr>
            </w:pPr>
          </w:p>
        </w:tc>
        <w:tc>
          <w:tcPr>
            <w:tcW w:w="11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00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Total</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0"/>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8,054.6</w:t>
            </w:r>
          </w:p>
        </w:tc>
      </w:tr>
      <w:tr>
        <w:trPr>
          <w:trHeight w:val="227"/>
        </w:trPr>
        <w:tc>
          <w:tcPr>
            <w:tcW w:w="14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8,225.1</w:t>
            </w:r>
          </w:p>
        </w:tc>
      </w:tr>
      <w:tr>
        <w:trPr>
          <w:trHeight w:val="227"/>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8,228.0</w:t>
            </w:r>
          </w:p>
        </w:tc>
      </w:tr>
    </w:tbl>
    <w:p>
      <w:pPr>
        <w:spacing w:after="0" w:line="186" w:lineRule="exact"/>
        <w:rPr>
          <w:sz w:val="20"/>
          <w:szCs w:val="20"/>
          <w:color w:val="auto"/>
        </w:rPr>
      </w:pPr>
    </w:p>
    <w:p>
      <w:pPr>
        <w:ind w:left="160" w:right="620" w:hanging="147"/>
        <w:spacing w:after="0" w:line="224" w:lineRule="auto"/>
        <w:tabs>
          <w:tab w:leader="none" w:pos="93"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Certain long-lived assets at December 31 represent total non-current assets, excluding investments, right-of-use operating lease assets, non-current receivables, deferred tax assets and other intangible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 Leases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Leases</w:t>
      </w:r>
    </w:p>
    <w:p>
      <w:pPr>
        <w:spacing w:after="0" w:line="11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The Company has entered into various operating and financial leases such as a natural gas processing plant, floating production storage and off-take vessels, buildings, marine vessels, vehicles, drilling rigs, pipelines and other oil and natural gas field equipment.</w:t>
      </w:r>
    </w:p>
    <w:p>
      <w:pPr>
        <w:spacing w:after="0" w:line="55"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Remaining lease terms range from 1 year to 16 years, some of which may include options to extend leases for multi-year periods and others which include options to terminate the leases within 1 month.</w:t>
      </w:r>
    </w:p>
    <w:p>
      <w:pPr>
        <w:spacing w:after="0" w:line="5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Options to extend lease terms are at the Company’s discretion. Early lease terminations are a combination of Company discretion and mutual agreement between the Company and the lessor. Purchase options also exist for certain leases.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Expenses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finance and operating leases included in the Consolidated Financial Statements are as follows: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300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44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Financial Statement Category</w:t>
            </w:r>
          </w:p>
        </w:tc>
        <w:tc>
          <w:tcPr>
            <w:tcW w:w="3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80"/>
        </w:trPr>
        <w:tc>
          <w:tcPr>
            <w:tcW w:w="3000" w:type="dxa"/>
            <w:vAlign w:val="bottom"/>
            <w:gridSpan w:val="3"/>
            <w:vMerge w:val="continue"/>
          </w:tcPr>
          <w:p>
            <w:pPr>
              <w:spacing w:after="0"/>
              <w:rPr>
                <w:sz w:val="15"/>
                <w:szCs w:val="15"/>
                <w:color w:val="auto"/>
              </w:rPr>
            </w:pPr>
          </w:p>
        </w:tc>
        <w:tc>
          <w:tcPr>
            <w:tcW w:w="44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ind w:right="591"/>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591"/>
              <w:spacing w:after="0" w:line="181"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000" w:type="dxa"/>
            <w:vAlign w:val="bottom"/>
            <w:gridSpan w:val="3"/>
            <w:shd w:val="clear" w:color="auto" w:fill="CCEEFF"/>
          </w:tcPr>
          <w:p>
            <w:pPr>
              <w:ind w:left="20"/>
              <w:spacing w:after="0" w:line="221" w:lineRule="exact"/>
              <w:rPr>
                <w:sz w:val="20"/>
                <w:szCs w:val="20"/>
                <w:color w:val="auto"/>
              </w:rPr>
            </w:pPr>
            <w:r>
              <w:rPr>
                <w:rFonts w:ascii="Arial" w:cs="Arial" w:eastAsia="Arial" w:hAnsi="Arial"/>
                <w:sz w:val="18"/>
                <w:szCs w:val="18"/>
                <w:color w:val="auto"/>
              </w:rPr>
              <w:t xml:space="preserve">Operating lease </w:t>
            </w:r>
            <w:r>
              <w:rPr>
                <w:rFonts w:ascii="Arial" w:cs="Arial" w:eastAsia="Arial" w:hAnsi="Arial"/>
                <w:sz w:val="23"/>
                <w:szCs w:val="23"/>
                <w:color w:val="auto"/>
                <w:vertAlign w:val="superscript"/>
              </w:rPr>
              <w:t>1, 2</w:t>
            </w: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411,303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246,721</w:t>
            </w:r>
          </w:p>
        </w:tc>
        <w:tc>
          <w:tcPr>
            <w:tcW w:w="0" w:type="dxa"/>
            <w:vAlign w:val="bottom"/>
          </w:tcPr>
          <w:p>
            <w:pPr>
              <w:spacing w:after="0"/>
              <w:rPr>
                <w:sz w:val="1"/>
                <w:szCs w:val="1"/>
                <w:color w:val="auto"/>
              </w:rPr>
            </w:pPr>
          </w:p>
        </w:tc>
      </w:tr>
      <w:tr>
        <w:trPr>
          <w:trHeight w:val="227"/>
        </w:trPr>
        <w:tc>
          <w:tcPr>
            <w:tcW w:w="300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 xml:space="preserve">Operating lease </w:t>
            </w:r>
            <w:r>
              <w:rPr>
                <w:rFonts w:ascii="Arial" w:cs="Arial" w:eastAsia="Arial" w:hAnsi="Arial"/>
                <w:sz w:val="23"/>
                <w:szCs w:val="23"/>
                <w:color w:val="auto"/>
                <w:vertAlign w:val="superscript"/>
              </w:rPr>
              <w:t>2</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Transportation, gathering and processing</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27"/>
        </w:trPr>
        <w:tc>
          <w:tcPr>
            <w:tcW w:w="3000" w:type="dxa"/>
            <w:vAlign w:val="bottom"/>
            <w:gridSpan w:val="3"/>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Operating lease </w:t>
            </w:r>
            <w:r>
              <w:rPr>
                <w:rFonts w:ascii="Arial" w:cs="Arial" w:eastAsia="Arial" w:hAnsi="Arial"/>
                <w:sz w:val="23"/>
                <w:szCs w:val="23"/>
                <w:color w:val="auto"/>
                <w:vertAlign w:val="superscript"/>
              </w:rPr>
              <w:t>2</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and general expenses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27"/>
        </w:trPr>
        <w:tc>
          <w:tcPr>
            <w:tcW w:w="300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 xml:space="preserve">Operating lease </w:t>
            </w:r>
            <w:r>
              <w:rPr>
                <w:rFonts w:ascii="Arial" w:cs="Arial" w:eastAsia="Arial" w:hAnsi="Arial"/>
                <w:sz w:val="23"/>
                <w:szCs w:val="23"/>
                <w:color w:val="auto"/>
                <w:vertAlign w:val="superscript"/>
              </w:rPr>
              <w:t>2</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Other operating expense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6,622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7"/>
        </w:trPr>
        <w:tc>
          <w:tcPr>
            <w:tcW w:w="3000" w:type="dxa"/>
            <w:vAlign w:val="bottom"/>
            <w:gridSpan w:val="3"/>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Operating lease </w:t>
            </w:r>
            <w:r>
              <w:rPr>
                <w:rFonts w:ascii="Arial" w:cs="Arial" w:eastAsia="Arial" w:hAnsi="Arial"/>
                <w:sz w:val="23"/>
                <w:szCs w:val="23"/>
                <w:color w:val="auto"/>
                <w:vertAlign w:val="superscript"/>
              </w:rPr>
              <w:t>2</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110,577</w:t>
            </w:r>
          </w:p>
        </w:tc>
        <w:tc>
          <w:tcPr>
            <w:tcW w:w="0" w:type="dxa"/>
            <w:vAlign w:val="bottom"/>
          </w:tcPr>
          <w:p>
            <w:pPr>
              <w:spacing w:after="0"/>
              <w:rPr>
                <w:sz w:val="1"/>
                <w:szCs w:val="1"/>
                <w:color w:val="auto"/>
              </w:rPr>
            </w:pPr>
          </w:p>
        </w:tc>
      </w:tr>
      <w:tr>
        <w:trPr>
          <w:trHeight w:val="227"/>
        </w:trPr>
        <w:tc>
          <w:tcPr>
            <w:tcW w:w="300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 xml:space="preserve">Operating lease </w:t>
            </w:r>
            <w:r>
              <w:rPr>
                <w:rFonts w:ascii="Arial" w:cs="Arial" w:eastAsia="Arial" w:hAnsi="Arial"/>
                <w:sz w:val="23"/>
                <w:szCs w:val="23"/>
                <w:color w:val="auto"/>
                <w:vertAlign w:val="superscript"/>
              </w:rPr>
              <w:t>2</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277,170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204,595</w:t>
            </w:r>
          </w:p>
        </w:tc>
        <w:tc>
          <w:tcPr>
            <w:tcW w:w="0" w:type="dxa"/>
            <w:vAlign w:val="bottom"/>
          </w:tcPr>
          <w:p>
            <w:pPr>
              <w:spacing w:after="0"/>
              <w:rPr>
                <w:sz w:val="1"/>
                <w:szCs w:val="1"/>
                <w:color w:val="auto"/>
              </w:rPr>
            </w:pPr>
          </w:p>
        </w:tc>
      </w:tr>
      <w:tr>
        <w:trPr>
          <w:trHeight w:val="227"/>
        </w:trPr>
        <w:tc>
          <w:tcPr>
            <w:tcW w:w="3000" w:type="dxa"/>
            <w:vAlign w:val="bottom"/>
            <w:gridSpan w:val="3"/>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Operating lease </w:t>
            </w:r>
            <w:r>
              <w:rPr>
                <w:rFonts w:ascii="Arial" w:cs="Arial" w:eastAsia="Arial" w:hAnsi="Arial"/>
                <w:sz w:val="23"/>
                <w:szCs w:val="23"/>
                <w:color w:val="auto"/>
                <w:vertAlign w:val="superscript"/>
              </w:rPr>
              <w:t>2</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57,442</w:t>
            </w:r>
          </w:p>
        </w:tc>
        <w:tc>
          <w:tcPr>
            <w:tcW w:w="0" w:type="dxa"/>
            <w:vAlign w:val="bottom"/>
          </w:tcPr>
          <w:p>
            <w:pPr>
              <w:spacing w:after="0"/>
              <w:rPr>
                <w:sz w:val="1"/>
                <w:szCs w:val="1"/>
                <w:color w:val="auto"/>
              </w:rPr>
            </w:pPr>
          </w:p>
        </w:tc>
      </w:tr>
      <w:tr>
        <w:trPr>
          <w:trHeight w:val="227"/>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Finance lease</w:t>
            </w: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asset</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rPr>
              <w:t>Interest on lease liabilities</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7"/>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0"/>
        </w:trPr>
        <w:tc>
          <w:tcPr>
            <w:tcW w:w="3000" w:type="dxa"/>
            <w:vAlign w:val="bottom"/>
            <w:gridSpan w:val="3"/>
          </w:tcPr>
          <w:p>
            <w:pPr>
              <w:ind w:left="20"/>
              <w:spacing w:after="0"/>
              <w:rPr>
                <w:sz w:val="20"/>
                <w:szCs w:val="20"/>
                <w:color w:val="auto"/>
              </w:rPr>
            </w:pPr>
            <w:r>
              <w:rPr>
                <w:rFonts w:ascii="Arial" w:cs="Arial" w:eastAsia="Arial" w:hAnsi="Arial"/>
                <w:sz w:val="18"/>
                <w:szCs w:val="18"/>
                <w:color w:val="auto"/>
              </w:rPr>
              <w:t>Net lease expense</w:t>
            </w: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761,091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0" w:right="760" w:hanging="147"/>
        <w:spacing w:after="0" w:line="232" w:lineRule="auto"/>
        <w:tabs>
          <w:tab w:leader="none" w:pos="153"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i w:val="1"/>
          <w:iCs w:val="1"/>
          <w:color w:val="auto"/>
        </w:rPr>
        <w:t xml:space="preserve">Variable lease expenses. </w:t>
      </w:r>
      <w:r>
        <w:rPr>
          <w:rFonts w:ascii="Arial" w:cs="Arial" w:eastAsia="Arial" w:hAnsi="Arial"/>
          <w:sz w:val="16"/>
          <w:szCs w:val="16"/>
          <w:color w:val="auto"/>
        </w:rPr>
        <w:t>For the years ended December 31, 2024 and 2023, includes variable lease expenses of $42.3 million and $36.7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primarily related to additional volumes processed at a natural gas processing plant.</w:t>
      </w:r>
    </w:p>
    <w:p>
      <w:pPr>
        <w:spacing w:after="0" w:line="16" w:lineRule="exact"/>
        <w:rPr>
          <w:sz w:val="20"/>
          <w:szCs w:val="20"/>
          <w:color w:val="auto"/>
        </w:rPr>
      </w:pPr>
    </w:p>
    <w:p>
      <w:pPr>
        <w:ind w:left="160" w:right="20" w:hanging="147"/>
        <w:spacing w:after="0" w:line="245" w:lineRule="auto"/>
        <w:tabs>
          <w:tab w:leader="none" w:pos="153"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i w:val="1"/>
          <w:iCs w:val="1"/>
          <w:color w:val="auto"/>
        </w:rPr>
        <w:t xml:space="preserve">Short-term leases due within 12 months. </w:t>
      </w:r>
      <w:r>
        <w:rPr>
          <w:rFonts w:ascii="Arial" w:cs="Arial" w:eastAsia="Arial" w:hAnsi="Arial"/>
          <w:sz w:val="16"/>
          <w:szCs w:val="16"/>
          <w:color w:val="auto"/>
        </w:rPr>
        <w:t>For the year ended December 31, 2024, includes $236.4 million in lease operating expenses, $13.0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gathering and processing”, $38.5 million for “Exploration expenses, including undeveloped lease amortization”, $0.8 million in “Selling and general expenses”, $6.2 million in “Other operating expense”, $97.1 million in “Property, plant and equipment, net” and nil in “Asset retirement obligations” relating to short-term leases due within 12 months. Expenses primarily relate to drilling rigs and other oil and natural gas field equipment. For the year ended December 31, 2023, includes $78.2 million in lease operating expenses, $29.4 million in “Transportation, gathering and processing”, $80.3 million for “Exploration expenses, including undeveloped lease amortization”, $1.6 million in “Selling and general expenses", $0.3 million in “Other operating expense”, $112.7 million in “Property, plant and equipment, net” and $57.4 million in “Asset retirement obligations” relating to short-term leases due within 12 months. Expenses primarily relate to drilling rigs and other oil and natural gas field equipment.</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 Leases (Continued)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gridSpan w:val="7"/>
          </w:tcPr>
          <w:p>
            <w:pPr>
              <w:spacing w:after="0"/>
              <w:rPr>
                <w:sz w:val="20"/>
                <w:szCs w:val="20"/>
                <w:color w:val="auto"/>
              </w:rPr>
            </w:pPr>
            <w:r>
              <w:rPr>
                <w:rFonts w:ascii="Arial" w:cs="Arial" w:eastAsia="Arial" w:hAnsi="Arial"/>
                <w:sz w:val="18"/>
                <w:szCs w:val="18"/>
                <w:color w:val="auto"/>
              </w:rPr>
              <w:t>Maturity of Lease Liabilities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24"/>
                <w:szCs w:val="24"/>
                <w:color w:val="auto"/>
              </w:rPr>
            </w:pPr>
          </w:p>
        </w:tc>
        <w:tc>
          <w:tcPr>
            <w:tcW w:w="1200" w:type="dxa"/>
            <w:vAlign w:val="bottom"/>
            <w:gridSpan w:val="4"/>
          </w:tcPr>
          <w:p>
            <w:pPr>
              <w:jc w:val="center"/>
              <w:ind w:left="51"/>
              <w:spacing w:after="0"/>
              <w:rPr>
                <w:sz w:val="20"/>
                <w:szCs w:val="20"/>
                <w:color w:val="auto"/>
              </w:rPr>
            </w:pPr>
            <w:r>
              <w:rPr>
                <w:rFonts w:ascii="Arial" w:cs="Arial" w:eastAsia="Arial" w:hAnsi="Arial"/>
                <w:sz w:val="18"/>
                <w:szCs w:val="18"/>
                <w:b w:val="1"/>
                <w:bCs w:val="1"/>
                <w:color w:val="auto"/>
                <w:w w:val="96"/>
              </w:rPr>
              <w:t>Finance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60" w:type="dxa"/>
            <w:vAlign w:val="bottom"/>
            <w:gridSpan w:val="6"/>
          </w:tcPr>
          <w:p>
            <w:pPr>
              <w:spacing w:after="0" w:line="201" w:lineRule="exact"/>
              <w:rPr>
                <w:sz w:val="20"/>
                <w:szCs w:val="20"/>
                <w:color w:val="auto"/>
              </w:rPr>
            </w:pPr>
            <w:r>
              <w:rPr>
                <w:rFonts w:ascii="Arial" w:cs="Arial" w:eastAsia="Arial" w:hAnsi="Arial"/>
                <w:sz w:val="18"/>
                <w:szCs w:val="18"/>
                <w:i w:val="1"/>
                <w:iCs w:val="1"/>
                <w:color w:val="auto"/>
              </w:rPr>
              <w:t>(Thousands of dollars)</w:t>
            </w:r>
          </w:p>
        </w:tc>
        <w:tc>
          <w:tcPr>
            <w:tcW w:w="180" w:type="dxa"/>
            <w:vAlign w:val="bottom"/>
          </w:tcPr>
          <w:p>
            <w:pPr>
              <w:spacing w:after="0"/>
              <w:rPr>
                <w:sz w:val="17"/>
                <w:szCs w:val="17"/>
                <w:color w:val="auto"/>
              </w:rPr>
            </w:pPr>
          </w:p>
        </w:tc>
        <w:tc>
          <w:tcPr>
            <w:tcW w:w="1160" w:type="dxa"/>
            <w:vAlign w:val="bottom"/>
            <w:gridSpan w:val="2"/>
          </w:tcPr>
          <w:p>
            <w:pPr>
              <w:jc w:val="right"/>
              <w:ind w:right="360"/>
              <w:spacing w:after="0" w:line="201" w:lineRule="exact"/>
              <w:rPr>
                <w:sz w:val="20"/>
                <w:szCs w:val="20"/>
                <w:color w:val="auto"/>
              </w:rPr>
            </w:pPr>
            <w:r>
              <w:rPr>
                <w:rFonts w:ascii="Arial" w:cs="Arial" w:eastAsia="Arial" w:hAnsi="Arial"/>
                <w:sz w:val="18"/>
                <w:szCs w:val="18"/>
                <w:b w:val="1"/>
                <w:bCs w:val="1"/>
                <w:color w:val="auto"/>
              </w:rPr>
              <w:t>Leases</w:t>
            </w:r>
          </w:p>
        </w:tc>
        <w:tc>
          <w:tcPr>
            <w:tcW w:w="160" w:type="dxa"/>
            <w:vAlign w:val="bottom"/>
          </w:tcPr>
          <w:p>
            <w:pPr>
              <w:spacing w:after="0"/>
              <w:rPr>
                <w:sz w:val="17"/>
                <w:szCs w:val="17"/>
                <w:color w:val="auto"/>
              </w:rPr>
            </w:pPr>
          </w:p>
        </w:tc>
        <w:tc>
          <w:tcPr>
            <w:tcW w:w="1200" w:type="dxa"/>
            <w:vAlign w:val="bottom"/>
            <w:gridSpan w:val="4"/>
          </w:tcPr>
          <w:p>
            <w:pPr>
              <w:jc w:val="center"/>
              <w:ind w:left="51"/>
              <w:spacing w:after="0" w:line="201" w:lineRule="exact"/>
              <w:rPr>
                <w:sz w:val="20"/>
                <w:szCs w:val="20"/>
                <w:color w:val="auto"/>
              </w:rPr>
            </w:pPr>
            <w:r>
              <w:rPr>
                <w:rFonts w:ascii="Arial" w:cs="Arial" w:eastAsia="Arial" w:hAnsi="Arial"/>
                <w:sz w:val="18"/>
                <w:szCs w:val="18"/>
                <w:b w:val="1"/>
                <w:bCs w:val="1"/>
                <w:color w:val="auto"/>
              </w:rPr>
              <w:t>Leases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290,474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123,487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66,521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2028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59,398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56,849</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Remaining</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406,450</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1,003,179</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(212,590)</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6860" w:type="dxa"/>
            <w:vAlign w:val="bottom"/>
            <w:tcBorders>
              <w:bottom w:val="single" w:sz="8" w:color="CCEEFF"/>
            </w:tcBorders>
            <w:gridSpan w:val="6"/>
            <w:shd w:val="clear" w:color="auto" w:fill="CCEEFF"/>
          </w:tcPr>
          <w:p>
            <w:pPr>
              <w:spacing w:after="0" w:line="221" w:lineRule="exact"/>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790,589</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4,877</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795,466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6"/>
                <w:szCs w:val="16"/>
                <w:color w:val="auto"/>
              </w:rPr>
              <w:t xml:space="preserve"> Includes both the current and long-term portion of the lease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686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880" w:type="dxa"/>
            <w:vAlign w:val="bottom"/>
            <w:gridSpan w:val="7"/>
          </w:tcPr>
          <w:p>
            <w:pPr>
              <w:spacing w:after="0"/>
              <w:rPr>
                <w:sz w:val="20"/>
                <w:szCs w:val="20"/>
                <w:color w:val="auto"/>
              </w:rPr>
            </w:pPr>
            <w:r>
              <w:rPr>
                <w:rFonts w:ascii="Arial" w:cs="Arial" w:eastAsia="Arial" w:hAnsi="Arial"/>
                <w:sz w:val="18"/>
                <w:szCs w:val="18"/>
                <w:color w:val="auto"/>
              </w:rPr>
              <w:t>Lease Term and Discount Rate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6"/>
          </w:tcPr>
          <w:p>
            <w:pPr>
              <w:ind w:left="40"/>
              <w:spacing w:after="0"/>
              <w:rPr>
                <w:sz w:val="20"/>
                <w:szCs w:val="20"/>
                <w:color w:val="auto"/>
              </w:rPr>
            </w:pPr>
            <w:r>
              <w:rPr>
                <w:rFonts w:ascii="Arial" w:cs="Arial" w:eastAsia="Arial" w:hAnsi="Arial"/>
                <w:sz w:val="18"/>
                <w:szCs w:val="18"/>
                <w:b w:val="1"/>
                <w:bCs w:val="1"/>
                <w:color w:val="auto"/>
              </w:rPr>
              <w:t>December 31, 2024</w:t>
            </w:r>
          </w:p>
        </w:tc>
        <w:tc>
          <w:tcPr>
            <w:tcW w:w="2280" w:type="dxa"/>
            <w:vAlign w:val="bottom"/>
            <w:gridSpan w:val="7"/>
          </w:tcPr>
          <w:p>
            <w:pPr>
              <w:jc w:val="right"/>
              <w:ind w:right="360"/>
              <w:spacing w:after="0"/>
              <w:rPr>
                <w:sz w:val="20"/>
                <w:szCs w:val="20"/>
                <w:color w:val="auto"/>
              </w:rPr>
            </w:pPr>
            <w:r>
              <w:rPr>
                <w:rFonts w:ascii="Arial" w:cs="Arial" w:eastAsia="Arial" w:hAnsi="Arial"/>
                <w:sz w:val="18"/>
                <w:szCs w:val="18"/>
                <w:color w:val="auto"/>
              </w:rPr>
              <w:t>December 31, 2023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6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gridSpan w:val="6"/>
          </w:tcPr>
          <w:p>
            <w:pPr>
              <w:ind w:left="44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b w:val="1"/>
                <w:bCs w:val="1"/>
                <w:color w:val="auto"/>
              </w:rPr>
              <w:t>8 years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6 years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gridSpan w:val="6"/>
          </w:tcPr>
          <w:p>
            <w:pPr>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60" w:type="dxa"/>
            <w:vAlign w:val="bottom"/>
            <w:gridSpan w:val="6"/>
          </w:tcPr>
          <w:p>
            <w:pPr>
              <w:ind w:left="44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4.9 %</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343"/>
        </w:trPr>
        <w:tc>
          <w:tcPr>
            <w:tcW w:w="6880" w:type="dxa"/>
            <w:vAlign w:val="bottom"/>
            <w:gridSpan w:val="7"/>
          </w:tcPr>
          <w:p>
            <w:pPr>
              <w:spacing w:after="0"/>
              <w:rPr>
                <w:sz w:val="20"/>
                <w:szCs w:val="20"/>
                <w:color w:val="auto"/>
              </w:rPr>
            </w:pPr>
            <w:r>
              <w:rPr>
                <w:rFonts w:ascii="Arial" w:cs="Arial" w:eastAsia="Arial" w:hAnsi="Arial"/>
                <w:sz w:val="18"/>
                <w:szCs w:val="18"/>
                <w:color w:val="auto"/>
              </w:rPr>
              <w:t>Other Information</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9"/>
            <w:vMerge w:val="restart"/>
          </w:tcPr>
          <w:p>
            <w:pPr>
              <w:jc w:val="right"/>
              <w:ind w:right="6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6860" w:type="dxa"/>
            <w:vAlign w:val="bottom"/>
            <w:gridSpan w:val="6"/>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6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511"/>
              <w:spacing w:after="0" w:line="181"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gridSpan w:val="6"/>
          </w:tcPr>
          <w:p>
            <w:pPr>
              <w:ind w:left="44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328,847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gridSpan w:val="6"/>
            <w:shd w:val="clear" w:color="auto" w:fill="CCEEFF"/>
          </w:tcPr>
          <w:p>
            <w:pPr>
              <w:ind w:left="440"/>
              <w:spacing w:after="0"/>
              <w:rPr>
                <w:sz w:val="20"/>
                <w:szCs w:val="20"/>
                <w:color w:val="auto"/>
              </w:rPr>
            </w:pPr>
            <w:r>
              <w:rPr>
                <w:rFonts w:ascii="Arial" w:cs="Arial" w:eastAsia="Arial" w:hAnsi="Arial"/>
                <w:sz w:val="18"/>
                <w:szCs w:val="18"/>
                <w:color w:val="auto"/>
              </w:rPr>
              <w:t>Operating cash flows from finance leases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gridSpan w:val="6"/>
          </w:tcPr>
          <w:p>
            <w:pPr>
              <w:ind w:left="44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60" w:type="dxa"/>
            <w:vAlign w:val="bottom"/>
            <w:gridSpan w:val="6"/>
          </w:tcPr>
          <w:p>
            <w:pPr>
              <w:ind w:left="440"/>
              <w:spacing w:after="0"/>
              <w:rPr>
                <w:sz w:val="20"/>
                <w:szCs w:val="20"/>
                <w:color w:val="auto"/>
              </w:rPr>
            </w:pPr>
            <w:r>
              <w:rPr>
                <w:rFonts w:ascii="Arial" w:cs="Arial" w:eastAsia="Arial" w:hAnsi="Arial"/>
                <w:sz w:val="18"/>
                <w:szCs w:val="18"/>
                <w:color w:val="auto"/>
              </w:rPr>
              <w:t>Operating leases ¹</w:t>
            </w:r>
          </w:p>
        </w:tc>
        <w:tc>
          <w:tcPr>
            <w:tcW w:w="18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349,312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60" w:right="320" w:hanging="147"/>
        <w:spacing w:after="0" w:line="237" w:lineRule="auto"/>
        <w:tabs>
          <w:tab w:leader="none" w:pos="153"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2024, right-of-use assets obtained in exchange for lease liabilities primarily includes $254.1 million related to the extension of an operating lease pertaining to a drill ship used in our U.S. Offshore business and $52.7 million pertaining to two drilling rigs and several natural gas compressor units at our U.S. Onshore business. December 31, 2023 includes $4.5 million related to natural gas compressor units at various U.S. Onshore locations.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 – Subsequent Event</w:t>
      </w:r>
    </w:p>
    <w:p>
      <w:pPr>
        <w:spacing w:after="0" w:line="1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January 30, 2025, the Board of Directors of Murphy Oil Corporation (NYSE: MUR) declared a quarterly cash dividend on the Common Stock of Murphy Oil Corporation of $0.325 per share, or $1.30 per share on an annualized basis. The dividend is payable on March 3, 2025, to stockholders of record as of February 18, 2025.</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5540"/>
        <w:spacing w:after="0" w:line="32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w:t>
      </w:r>
    </w:p>
    <w:p>
      <w:pPr>
        <w:spacing w:after="0" w:line="200" w:lineRule="exact"/>
        <w:rPr>
          <w:sz w:val="20"/>
          <w:szCs w:val="20"/>
          <w:color w:val="auto"/>
        </w:rPr>
      </w:pPr>
    </w:p>
    <w:p>
      <w:pPr>
        <w:spacing w:after="0" w:line="345"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 following unaudited schedules are presented in accordance with required disclosures about Oil and Gas Producing Activities to provide users with a common base for preparing estimates of future cash flows and comparing reserves among companies. Additional background information concerning some of the schedules follows:</w:t>
      </w:r>
    </w:p>
    <w:p>
      <w:pPr>
        <w:spacing w:after="0" w:line="70" w:lineRule="exact"/>
        <w:rPr>
          <w:sz w:val="20"/>
          <w:szCs w:val="20"/>
          <w:color w:val="auto"/>
        </w:rPr>
      </w:pPr>
    </w:p>
    <w:p>
      <w:pPr>
        <w:ind w:right="4840"/>
        <w:spacing w:after="0" w:line="393" w:lineRule="auto"/>
        <w:rPr>
          <w:sz w:val="20"/>
          <w:szCs w:val="20"/>
          <w:color w:val="auto"/>
        </w:rPr>
      </w:pPr>
      <w:r>
        <w:rPr>
          <w:rFonts w:ascii="Arial" w:cs="Arial" w:eastAsia="Arial" w:hAnsi="Arial"/>
          <w:sz w:val="17"/>
          <w:szCs w:val="17"/>
          <w:color w:val="auto"/>
        </w:rPr>
        <w:t>SCHEDULE 1 – SUMMARY OF TOTAL PROVED EQUIVALENT RESERVES SCHEDULE 2 – SUMMARY OF PROVED CRUDE OIL RESERVES SCHEDULE 3 – SUMMARY OF PROVED NATURAL GAS LIQUIDS RESERVES SCHEDULE 4 – SUMMARY OF PROVED NATURAL GAS RESERVES</w:t>
      </w:r>
    </w:p>
    <w:p>
      <w:pPr>
        <w:spacing w:after="0" w:line="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Reserves of crude oil, natural gas and NGLs are estimated by the Company’s or independent engineers and are adjusted to reflect contractual arrangements and royalty rates in effect at the end of each year. Many assumptions and judgments are required to estimate reserves. Reserve estimates and future cash flows are based on the average market prices for sales of oil and natural gas on the first calendar day of each month during the year. The average prices used for 2024 were $ 75.48 per BBL for NYMEX crude oil (WTI) and $2.13 per MCF for natural gas (Henry Hub). The average prices used for 2023 were $78.22 per BBL for NYMEX crude oil (WTI) and $2.64 per MCF for natural gas (Henry Hub). The average prices used for 2022 were $93.67 per BBL for NYMEX crude oil (WTI) and $6.36 per MCF for natural gas (Henry</w:t>
      </w:r>
    </w:p>
    <w:p>
      <w:pPr>
        <w:spacing w:after="0" w:line="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Hub). Reported quantities are subject to future revisions, some of which may be substantial, as additional information becomes available from reservoir performance, new geological and geophysical data, additional drilling, technological advancements, price changes and other economic factors.</w:t>
      </w:r>
    </w:p>
    <w:p>
      <w:pPr>
        <w:spacing w:after="0" w:line="7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Murphy’s estimations for proved reserves were generated through the integration of available geoscience, engineering, and economic data (including hydrocarbon prices, operating costs, and development costs) and commercially available technologies to establish “reasonable certainty” of economic producibility. Estimates are presented in millions of barrels of oil equivalents and dollars and billions of cubic feet with one decimal; totals within the tables may not add as a result of rounding. As defined by the SEC, reasonable certainty of proved reserves describes a high degree of confidence that the quantities will be recovered. In estimating proved reserves, Murphy uses common industry-accepted methods for subsurface evaluations, including performance, volumetric and analog-based studies. Where appropriate, Murphy includes reliable geologic and engineering technology to estimate proved reserves. Reliable geologic and engineering technology is a method or combination of methods that are field tested and have been demonstrated to provide reasonably certain results with consistency and repeatability in the formation being evaluated or in an analogous formation. This integrated approach increases the quality of and confidence in Murphy’s proved reserves estimates. The approach was utilized in certain undrilled acreage at distances greater than the directly offsetting development spacing areas and in certain reservoirs developed with the application of improved recovery techniques. Murphy utilized a combination of 3D seismic interpretation, core analysis, wellbore log measurements, well test data, historic production and pressure data and commercially available seismic processing and numerical reservoir simulation programs. Reservoir parameters from analogous reservoirs were used to strengthen the reserves estimates when available.</w:t>
      </w:r>
    </w:p>
    <w:p>
      <w:pPr>
        <w:spacing w:after="0" w:line="81"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color w:val="auto"/>
        </w:rPr>
        <w:t>Production quantities shown are net volumes withdrawn from reservoirs. These may differ from sales quantities due to inventory changes, volumes consumed for fuel and/or shrinkage from the extraction of NGLs.</w:t>
      </w:r>
    </w:p>
    <w:p>
      <w:pPr>
        <w:spacing w:after="0" w:line="55"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All crude oil, natural gas and NGL reserves are from consolidated subsidiaries (including noncontrolling interest) and proportionately consolidated joint ventures. The Company has no proved reserves attributable to investees accounted for by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880"/>
        <w:spacing w:after="0" w:line="32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line="200" w:lineRule="exact"/>
        <w:rPr>
          <w:sz w:val="20"/>
          <w:szCs w:val="20"/>
          <w:color w:val="auto"/>
        </w:rPr>
      </w:pPr>
    </w:p>
    <w:p>
      <w:pPr>
        <w:spacing w:after="0" w:line="345"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color w:val="auto"/>
        </w:rPr>
        <w:t>SCHEDULE 7 – STANDARDIZED MEASURE OF DISCOUNTED FUTURE NET CASH FLOWS RELATING TO PROVED OIL AND GAS RESERVES</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GAAP requires calculation of future net cash flows using a 10% annual discount factor, an unweighted average of oil and natural gas prices in effect at the beginning of each month of the year, and year-end costs and statutory tax rates, except for known future changes such as contracted prices and legislated tax rates.</w:t>
      </w:r>
    </w:p>
    <w:p>
      <w:pPr>
        <w:spacing w:after="0" w:line="7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reported value of proved reserves is not necessarily indicative of either fair market value or present value of future cash flows because prices, costs and governmental policies do not remain static; appropriate discount rates may vary; and extensive judgment is required to estimate the timing of production. Other logical assumptions would likely have resulted in significantly different amounts.</w:t>
      </w:r>
    </w:p>
    <w:p>
      <w:pPr>
        <w:spacing w:after="0" w:line="70"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Schedule 7 also presents the principal reasons for change in the standardized measure of discounted future net cash flows for each of the three years ended December 31, 2024.</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860"/>
        <w:spacing w:after="0" w:line="27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 – Summary of Total Proved Equivalent Reserves Based on Average Prices for 2021 –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color w:val="auto"/>
              </w:rPr>
              <w:t>Equivalents</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80"/>
              <w:spacing w:after="0" w:line="167" w:lineRule="exact"/>
              <w:rPr>
                <w:sz w:val="20"/>
                <w:szCs w:val="20"/>
                <w:color w:val="auto"/>
              </w:rPr>
            </w:pPr>
            <w:r>
              <w:rPr>
                <w:rFonts w:ascii="Arial" w:cs="Arial" w:eastAsia="Arial" w:hAnsi="Arial"/>
                <w:sz w:val="18"/>
                <w:szCs w:val="18"/>
                <w:color w:val="auto"/>
              </w:rPr>
              <w:t>United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520" w:type="dxa"/>
            <w:vAlign w:val="bottom"/>
            <w:gridSpan w:val="3"/>
          </w:tcPr>
          <w:p>
            <w:pPr>
              <w:ind w:left="20"/>
              <w:spacing w:after="0" w:line="201" w:lineRule="exact"/>
              <w:rPr>
                <w:sz w:val="20"/>
                <w:szCs w:val="20"/>
                <w:color w:val="auto"/>
              </w:rPr>
            </w:pPr>
            <w:r>
              <w:rPr>
                <w:rFonts w:ascii="Arial" w:cs="Arial" w:eastAsia="Arial" w:hAnsi="Arial"/>
                <w:sz w:val="18"/>
                <w:szCs w:val="18"/>
                <w:i w:val="1"/>
                <w:iCs w:val="1"/>
                <w:color w:val="auto"/>
              </w:rPr>
              <w:t>(Millions of barrels of oil equivalent)</w:t>
            </w:r>
          </w:p>
        </w:tc>
        <w:tc>
          <w:tcPr>
            <w:tcW w:w="11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Total</w:t>
            </w:r>
          </w:p>
        </w:tc>
        <w:tc>
          <w:tcPr>
            <w:tcW w:w="11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States</w:t>
            </w:r>
          </w:p>
        </w:tc>
        <w:tc>
          <w:tcPr>
            <w:tcW w:w="11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Canada</w:t>
            </w:r>
          </w:p>
        </w:tc>
        <w:tc>
          <w:tcPr>
            <w:tcW w:w="1060" w:type="dxa"/>
            <w:vAlign w:val="bottom"/>
          </w:tcPr>
          <w:p>
            <w:pPr>
              <w:jc w:val="right"/>
              <w:ind w:right="211"/>
              <w:spacing w:after="0" w:line="201"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64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Proved developed and undeveloped reserves:</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80" w:type="dxa"/>
            <w:vAlign w:val="bottom"/>
            <w:vMerge w:val="continue"/>
          </w:tcPr>
          <w:p>
            <w:pPr>
              <w:spacing w:after="0"/>
              <w:rPr>
                <w:sz w:val="18"/>
                <w:szCs w:val="18"/>
                <w:color w:val="auto"/>
              </w:rPr>
            </w:pPr>
          </w:p>
        </w:tc>
        <w:tc>
          <w:tcPr>
            <w:tcW w:w="64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Revisions of previous estimates</w:t>
            </w: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Improved recovery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Extensions and discoveries</w:t>
            </w:r>
          </w:p>
        </w:tc>
        <w:tc>
          <w:tcPr>
            <w:tcW w:w="10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Purchases of properties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Sale of properties</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0"/>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December 31, 2022</w:t>
            </w:r>
          </w:p>
        </w:tc>
        <w:tc>
          <w:tcPr>
            <w:tcW w:w="1060" w:type="dxa"/>
            <w:vAlign w:val="bottom"/>
          </w:tcPr>
          <w:p>
            <w:pPr>
              <w:jc w:val="right"/>
              <w:spacing w:after="0"/>
              <w:rPr>
                <w:sz w:val="20"/>
                <w:szCs w:val="20"/>
                <w:color w:val="auto"/>
              </w:rPr>
            </w:pPr>
            <w:r>
              <w:rPr>
                <w:rFonts w:ascii="Arial" w:cs="Arial" w:eastAsia="Arial" w:hAnsi="Arial"/>
                <w:sz w:val="18"/>
                <w:szCs w:val="18"/>
                <w:color w:val="auto"/>
              </w:rPr>
              <w:t>715.4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Revisions of previous estimates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Improved recovery</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Extensions and discoveries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Sale of properties</w:t>
            </w: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0"/>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December 31, 2023</w:t>
            </w:r>
          </w:p>
        </w:tc>
        <w:tc>
          <w:tcPr>
            <w:tcW w:w="1060" w:type="dxa"/>
            <w:vAlign w:val="bottom"/>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Revisions of previous estimates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27"/>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Improved recovery</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6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Extensions and discoveries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Production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December 31, 2024 ¹</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644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Arial" w:cs="Arial" w:eastAsia="Arial" w:hAnsi="Arial"/>
                <w:sz w:val="18"/>
                <w:szCs w:val="18"/>
                <w:b w:val="1"/>
                <w:bCs w:val="1"/>
                <w:color w:val="auto"/>
              </w:rPr>
              <w:t>Proved developed reserves: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 w:type="dxa"/>
            <w:vAlign w:val="bottom"/>
            <w:vMerge w:val="continue"/>
          </w:tcPr>
          <w:p>
            <w:pPr>
              <w:spacing w:after="0"/>
              <w:rPr>
                <w:sz w:val="15"/>
                <w:szCs w:val="15"/>
                <w:color w:val="auto"/>
              </w:rPr>
            </w:pPr>
          </w:p>
        </w:tc>
        <w:tc>
          <w:tcPr>
            <w:tcW w:w="644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440" w:type="dxa"/>
            <w:vAlign w:val="bottom"/>
            <w:gridSpan w:val="2"/>
          </w:tcPr>
          <w:p>
            <w:pPr>
              <w:ind w:left="380"/>
              <w:spacing w:after="0"/>
              <w:rPr>
                <w:sz w:val="20"/>
                <w:szCs w:val="20"/>
                <w:color w:val="auto"/>
              </w:rPr>
            </w:pPr>
            <w:r>
              <w:rPr>
                <w:rFonts w:ascii="Arial" w:cs="Arial" w:eastAsia="Arial" w:hAnsi="Arial"/>
                <w:sz w:val="18"/>
                <w:szCs w:val="18"/>
                <w:color w:val="auto"/>
              </w:rPr>
              <w:t>December 31, 2022</w:t>
            </w:r>
          </w:p>
        </w:tc>
        <w:tc>
          <w:tcPr>
            <w:tcW w:w="1060" w:type="dxa"/>
            <w:vAlign w:val="bottom"/>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44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 2024 ²</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218.9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217.1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Proved undeveloped reserves: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440" w:type="dxa"/>
            <w:vAlign w:val="bottom"/>
            <w:gridSpan w:val="2"/>
          </w:tcPr>
          <w:p>
            <w:pPr>
              <w:ind w:left="380"/>
              <w:spacing w:after="0"/>
              <w:rPr>
                <w:sz w:val="20"/>
                <w:szCs w:val="20"/>
                <w:color w:val="auto"/>
              </w:rPr>
            </w:pPr>
            <w:r>
              <w:rPr>
                <w:rFonts w:ascii="Arial" w:cs="Arial" w:eastAsia="Arial" w:hAnsi="Arial"/>
                <w:sz w:val="18"/>
                <w:szCs w:val="18"/>
                <w:color w:val="auto"/>
              </w:rPr>
              <w:t>December 31, 2021</w:t>
            </w:r>
          </w:p>
        </w:tc>
        <w:tc>
          <w:tcPr>
            <w:tcW w:w="106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440" w:type="dxa"/>
            <w:vAlign w:val="bottom"/>
            <w:gridSpan w:val="2"/>
          </w:tcPr>
          <w:p>
            <w:pPr>
              <w:ind w:left="380"/>
              <w:spacing w:after="0"/>
              <w:rPr>
                <w:sz w:val="20"/>
                <w:szCs w:val="20"/>
                <w:color w:val="auto"/>
              </w:rPr>
            </w:pPr>
            <w:r>
              <w:rPr>
                <w:rFonts w:ascii="Arial" w:cs="Arial" w:eastAsia="Arial" w:hAnsi="Arial"/>
                <w:sz w:val="18"/>
                <w:szCs w:val="18"/>
                <w:color w:val="auto"/>
              </w:rPr>
              <w:t>December 31, 2023</w:t>
            </w:r>
          </w:p>
        </w:tc>
        <w:tc>
          <w:tcPr>
            <w:tcW w:w="1060" w:type="dxa"/>
            <w:vAlign w:val="bottom"/>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December 31, 2024 ³</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60" w:right="580" w:hanging="147"/>
        <w:spacing w:after="0" w:line="224" w:lineRule="auto"/>
        <w:tabs>
          <w:tab w:leader="none" w:pos="153"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reserves of 15.9 MMBOE, consisting of 14.5 MMBBL of oil, 0.6 MMBBL of NGLs and 5 BCF of natural gas attributable to the noncontrolling interest in MP GOM.</w:t>
      </w:r>
    </w:p>
    <w:p>
      <w:pPr>
        <w:spacing w:after="0" w:line="17" w:lineRule="exact"/>
        <w:rPr>
          <w:sz w:val="20"/>
          <w:szCs w:val="20"/>
          <w:color w:val="auto"/>
        </w:rPr>
      </w:pPr>
    </w:p>
    <w:p>
      <w:pPr>
        <w:ind w:left="160" w:hanging="147"/>
        <w:spacing w:after="0" w:line="224" w:lineRule="auto"/>
        <w:tabs>
          <w:tab w:leader="none" w:pos="108"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developed reserves of 14.4 MMBOE, consisting of 13.2 MMBBL of oil, 0.5 MMBBL of NGLs and 4.2 BCF of natural gas attributable to the noncontrolling interest in MP GOM.</w:t>
      </w:r>
    </w:p>
    <w:p>
      <w:pPr>
        <w:spacing w:after="0" w:line="30" w:lineRule="exact"/>
        <w:rPr>
          <w:sz w:val="20"/>
          <w:szCs w:val="20"/>
          <w:color w:val="auto"/>
        </w:rPr>
      </w:pPr>
    </w:p>
    <w:p>
      <w:pPr>
        <w:ind w:left="160" w:hanging="147"/>
        <w:spacing w:after="0" w:line="224" w:lineRule="auto"/>
        <w:tabs>
          <w:tab w:leader="none" w:pos="108"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undeveloped reserves of 1.5 MMBOE, consisting of 1.3 MMBBL of oil, 0.1 MMBBL of NGLs and 0.8 BCF of natural gas attributable to the noncontrolling interest in MP GOM.</w:t>
      </w:r>
    </w:p>
    <w:p>
      <w:pPr>
        <w:ind w:left="120" w:hanging="107"/>
        <w:spacing w:after="0" w:line="226" w:lineRule="auto"/>
        <w:tabs>
          <w:tab w:leader="none" w:pos="120"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Totals within the tables may not add as a result of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960"/>
        <w:spacing w:after="0" w:line="27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 – Summary of Total Proved Equivalent Reserves Based on Average Prices for 2021 – 2024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Comments for Proved Equivalent Reserves Changes</w:t>
      </w:r>
    </w:p>
    <w:p>
      <w:pPr>
        <w:spacing w:after="0" w:line="169"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The equivalent reserves revisions in 2024 resulted predominantly from performance adjustments in Tupper</w:t>
      </w:r>
      <w:r>
        <w:rPr>
          <w:rFonts w:ascii="Arial" w:cs="Arial" w:eastAsia="Arial" w:hAnsi="Arial"/>
          <w:sz w:val="18"/>
          <w:szCs w:val="18"/>
          <w:i w:val="1"/>
          <w:iCs w:val="1"/>
          <w:color w:val="auto"/>
        </w:rPr>
        <w:t xml:space="preserve"> </w:t>
      </w:r>
      <w:r>
        <w:rPr>
          <w:rFonts w:ascii="Arial" w:cs="Arial" w:eastAsia="Arial" w:hAnsi="Arial"/>
          <w:sz w:val="18"/>
          <w:szCs w:val="18"/>
          <w:color w:val="auto"/>
        </w:rPr>
        <w:t>Montney and Eagle Ford Shale and positive revisions due to reduced royalty rates and delayed royalty incentive payouts resulting from lower commodity prices in Tupper Montney.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Proved equivalent reserves were added in 2024 for the non-operated St. Malo waterflood in the Gulf of America.</w:t>
      </w:r>
    </w:p>
    <w:p>
      <w:pPr>
        <w:spacing w:after="0" w:line="114" w:lineRule="exact"/>
        <w:rPr>
          <w:sz w:val="20"/>
          <w:szCs w:val="20"/>
          <w:color w:val="auto"/>
        </w:rPr>
      </w:pPr>
    </w:p>
    <w:p>
      <w:pPr>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2024, proved equivalent reserves were added for drilling activities predominantly in Tupper Montney, the Eagle</w:t>
      </w:r>
      <w:r>
        <w:rPr>
          <w:rFonts w:ascii="Arial" w:cs="Arial" w:eastAsia="Arial" w:hAnsi="Arial"/>
          <w:sz w:val="18"/>
          <w:szCs w:val="18"/>
          <w:i w:val="1"/>
          <w:iCs w:val="1"/>
          <w:color w:val="auto"/>
        </w:rPr>
        <w:t xml:space="preserve"> </w:t>
      </w:r>
      <w:r>
        <w:rPr>
          <w:rFonts w:ascii="Arial" w:cs="Arial" w:eastAsia="Arial" w:hAnsi="Arial"/>
          <w:sz w:val="18"/>
          <w:szCs w:val="18"/>
          <w:color w:val="auto"/>
        </w:rPr>
        <w:t>Ford Shale, and projects in the Gulf of America.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Comments for Proved Equivalent Reserves Changes</w:t>
      </w:r>
    </w:p>
    <w:p>
      <w:pPr>
        <w:spacing w:after="0" w:line="156"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i w:val="1"/>
          <w:iCs w:val="1"/>
          <w:color w:val="auto"/>
        </w:rPr>
        <w:t xml:space="preserve">Revisions of previous estimates </w:t>
      </w:r>
      <w:r>
        <w:rPr>
          <w:rFonts w:ascii="Arial" w:cs="Arial" w:eastAsia="Arial" w:hAnsi="Arial"/>
          <w:sz w:val="17"/>
          <w:szCs w:val="17"/>
          <w:color w:val="auto"/>
        </w:rPr>
        <w:t>- The equivalent reserves revisions in 2023 resulted predominantly from lower commodity prices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and performance adjustments in Tupper Montney and the Eagle Ford Shale. These negative revisions were partially offset by positive revisions due to reduced royalty rates and delayed royalty incentive payouts resulting from lower commodity prices in Tupper Montney.</w:t>
      </w:r>
    </w:p>
    <w:p>
      <w:pPr>
        <w:spacing w:after="0" w:line="52"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2023, proved equivalent reserves were added for drilling and expansion activities predominantly in Tupper</w:t>
      </w:r>
      <w:r>
        <w:rPr>
          <w:rFonts w:ascii="Arial" w:cs="Arial" w:eastAsia="Arial" w:hAnsi="Arial"/>
          <w:sz w:val="18"/>
          <w:szCs w:val="18"/>
          <w:i w:val="1"/>
          <w:iCs w:val="1"/>
          <w:color w:val="auto"/>
        </w:rPr>
        <w:t xml:space="preserve"> </w:t>
      </w:r>
      <w:r>
        <w:rPr>
          <w:rFonts w:ascii="Arial" w:cs="Arial" w:eastAsia="Arial" w:hAnsi="Arial"/>
          <w:sz w:val="18"/>
          <w:szCs w:val="18"/>
          <w:color w:val="auto"/>
        </w:rPr>
        <w:t>Montney, the Eagle Ford Shale, and Vietnam.</w:t>
      </w:r>
    </w:p>
    <w:p>
      <w:pPr>
        <w:spacing w:after="0" w:line="5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i w:val="1"/>
          <w:iCs w:val="1"/>
          <w:color w:val="auto"/>
        </w:rPr>
        <w:t xml:space="preserve">Purchases and sales of properties </w:t>
      </w:r>
      <w:r>
        <w:rPr>
          <w:rFonts w:ascii="Arial" w:cs="Arial" w:eastAsia="Arial" w:hAnsi="Arial"/>
          <w:sz w:val="18"/>
          <w:szCs w:val="18"/>
          <w:color w:val="auto"/>
        </w:rPr>
        <w:t>- In 2023, the Company divested a portion of its working interest, in the Kaybob Duvernay and all of its non-operated Placid Montney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Comments for Proved Equivalent Reserves Changes</w:t>
      </w:r>
    </w:p>
    <w:p>
      <w:pPr>
        <w:spacing w:after="0" w:line="15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The equivalent reserves revisions in 2022 resulted predominantly from increased royalty rates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royalty incentive payouts due to higher commodity prices in Tupper Montney. These negative revisions were partially offset by positive well performance in the Gulf of America.</w:t>
      </w:r>
    </w:p>
    <w:p>
      <w:pPr>
        <w:spacing w:after="0" w:line="7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2022, proved equivalent reserves were added for drilling and expansion activities predominantly in Tupper</w:t>
      </w:r>
      <w:r>
        <w:rPr>
          <w:rFonts w:ascii="Arial" w:cs="Arial" w:eastAsia="Arial" w:hAnsi="Arial"/>
          <w:sz w:val="18"/>
          <w:szCs w:val="18"/>
          <w:i w:val="1"/>
          <w:iCs w:val="1"/>
          <w:color w:val="auto"/>
        </w:rPr>
        <w:t xml:space="preserve"> </w:t>
      </w:r>
      <w:r>
        <w:rPr>
          <w:rFonts w:ascii="Arial" w:cs="Arial" w:eastAsia="Arial" w:hAnsi="Arial"/>
          <w:sz w:val="18"/>
          <w:szCs w:val="18"/>
          <w:color w:val="auto"/>
        </w:rPr>
        <w:t>Montney and Kaybob Duvernay, as well as the Gulf of America and Eagle Ford Shale.</w:t>
      </w:r>
    </w:p>
    <w:p>
      <w:pPr>
        <w:spacing w:after="0" w:line="55"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i w:val="1"/>
          <w:iCs w:val="1"/>
          <w:color w:val="auto"/>
        </w:rPr>
        <w:t xml:space="preserve">Purchases and sales of properties </w:t>
      </w:r>
      <w:r>
        <w:rPr>
          <w:rFonts w:ascii="Arial" w:cs="Arial" w:eastAsia="Arial" w:hAnsi="Arial"/>
          <w:sz w:val="18"/>
          <w:szCs w:val="18"/>
          <w:color w:val="auto"/>
        </w:rPr>
        <w:t>- In 2022, the Company acquired incremental working interests in two producing fields in the Gulf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 divested certain working interests in the Gulf of America and Eagle Ford Shale.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3760"/>
        <w:spacing w:after="0" w:line="27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 – Summary of Proved Crude Oil Reserves Based on Average Prices for 2021 –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United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8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rPr>
              <w:t>(Millions of barrels)</w:t>
            </w:r>
          </w:p>
        </w:tc>
        <w:tc>
          <w:tcPr>
            <w:tcW w:w="11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Total</w:t>
            </w:r>
          </w:p>
        </w:tc>
        <w:tc>
          <w:tcPr>
            <w:tcW w:w="11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States</w:t>
            </w:r>
          </w:p>
        </w:tc>
        <w:tc>
          <w:tcPr>
            <w:tcW w:w="106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65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Proved developed and undeveloped crude oil reserves:</w:t>
            </w: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0" w:type="dxa"/>
            <w:vAlign w:val="bottom"/>
            <w:vMerge w:val="continue"/>
          </w:tcPr>
          <w:p>
            <w:pPr>
              <w:spacing w:after="0"/>
              <w:rPr>
                <w:sz w:val="17"/>
                <w:szCs w:val="17"/>
                <w:color w:val="auto"/>
              </w:rPr>
            </w:pPr>
          </w:p>
        </w:tc>
        <w:tc>
          <w:tcPr>
            <w:tcW w:w="652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December 31, 2021</w:t>
            </w:r>
          </w:p>
        </w:tc>
        <w:tc>
          <w:tcPr>
            <w:tcW w:w="108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Revisions of previous estimates</w:t>
            </w: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Improved recovery</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Extensions and discoveries</w:t>
            </w: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Purchases of properties</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Sale of properties</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6580" w:type="dxa"/>
            <w:vAlign w:val="bottom"/>
            <w:gridSpan w:val="3"/>
          </w:tcPr>
          <w:p>
            <w:pPr>
              <w:spacing w:after="0"/>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6580" w:type="dxa"/>
            <w:vAlign w:val="bottom"/>
            <w:gridSpan w:val="3"/>
          </w:tcPr>
          <w:p>
            <w:pPr>
              <w:spacing w:after="0"/>
              <w:rPr>
                <w:sz w:val="20"/>
                <w:szCs w:val="20"/>
                <w:color w:val="auto"/>
              </w:rPr>
            </w:pPr>
            <w:r>
              <w:rPr>
                <w:rFonts w:ascii="Arial" w:cs="Arial" w:eastAsia="Arial" w:hAnsi="Arial"/>
                <w:sz w:val="18"/>
                <w:szCs w:val="18"/>
                <w:color w:val="auto"/>
              </w:rPr>
              <w:t>December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Revisions of previous estimates</w:t>
            </w: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Improved recovery</w:t>
            </w: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Extensions and discoveries</w:t>
            </w: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Sale of properties</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1"/>
        </w:trPr>
        <w:tc>
          <w:tcPr>
            <w:tcW w:w="6580" w:type="dxa"/>
            <w:vAlign w:val="bottom"/>
            <w:gridSpan w:val="3"/>
          </w:tcPr>
          <w:p>
            <w:pPr>
              <w:spacing w:after="0"/>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6580" w:type="dxa"/>
            <w:vAlign w:val="bottom"/>
            <w:gridSpan w:val="3"/>
          </w:tcPr>
          <w:p>
            <w:pPr>
              <w:spacing w:after="0"/>
              <w:rPr>
                <w:sz w:val="20"/>
                <w:szCs w:val="20"/>
                <w:color w:val="auto"/>
              </w:rPr>
            </w:pPr>
            <w:r>
              <w:rPr>
                <w:rFonts w:ascii="Arial" w:cs="Arial" w:eastAsia="Arial" w:hAnsi="Arial"/>
                <w:sz w:val="18"/>
                <w:szCs w:val="18"/>
                <w:color w:val="auto"/>
              </w:rPr>
              <w:t>December 31, 2023</w:t>
            </w:r>
          </w:p>
        </w:tc>
        <w:tc>
          <w:tcPr>
            <w:tcW w:w="108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Revisions of previous estimates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Improved recovery</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6580" w:type="dxa"/>
            <w:vAlign w:val="bottom"/>
            <w:gridSpan w:val="3"/>
          </w:tcPr>
          <w:p>
            <w:pPr>
              <w:spacing w:after="0"/>
              <w:rPr>
                <w:sz w:val="20"/>
                <w:szCs w:val="20"/>
                <w:color w:val="auto"/>
              </w:rPr>
            </w:pPr>
            <w:r>
              <w:rPr>
                <w:rFonts w:ascii="Arial" w:cs="Arial" w:eastAsia="Arial" w:hAnsi="Arial"/>
                <w:sz w:val="18"/>
                <w:szCs w:val="18"/>
                <w:color w:val="auto"/>
              </w:rPr>
              <w:t>Extensions and discoveries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33"/>
        </w:trPr>
        <w:tc>
          <w:tcPr>
            <w:tcW w:w="6580" w:type="dxa"/>
            <w:vAlign w:val="bottom"/>
            <w:gridSpan w:val="3"/>
          </w:tcPr>
          <w:p>
            <w:pPr>
              <w:spacing w:after="0"/>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65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2024 ¹</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275.1</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65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Proved developed crude oil reserves:</w:t>
            </w: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0" w:type="dxa"/>
            <w:vAlign w:val="bottom"/>
            <w:vMerge w:val="continue"/>
          </w:tcPr>
          <w:p>
            <w:pPr>
              <w:spacing w:after="0"/>
              <w:rPr>
                <w:sz w:val="16"/>
                <w:szCs w:val="16"/>
                <w:color w:val="auto"/>
              </w:rPr>
            </w:pPr>
          </w:p>
        </w:tc>
        <w:tc>
          <w:tcPr>
            <w:tcW w:w="652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520" w:type="dxa"/>
            <w:vAlign w:val="bottom"/>
            <w:gridSpan w:val="2"/>
          </w:tcPr>
          <w:p>
            <w:pPr>
              <w:ind w:left="380"/>
              <w:spacing w:after="0"/>
              <w:rPr>
                <w:sz w:val="20"/>
                <w:szCs w:val="20"/>
                <w:color w:val="auto"/>
              </w:rPr>
            </w:pPr>
            <w:r>
              <w:rPr>
                <w:rFonts w:ascii="Arial" w:cs="Arial" w:eastAsia="Arial" w:hAnsi="Arial"/>
                <w:sz w:val="18"/>
                <w:szCs w:val="18"/>
                <w:color w:val="auto"/>
              </w:rPr>
              <w:t>December 31, 2021</w:t>
            </w:r>
          </w:p>
        </w:tc>
        <w:tc>
          <w:tcPr>
            <w:tcW w:w="108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520" w:type="dxa"/>
            <w:vAlign w:val="bottom"/>
            <w:gridSpan w:val="2"/>
          </w:tcPr>
          <w:p>
            <w:pPr>
              <w:ind w:left="380"/>
              <w:spacing w:after="0"/>
              <w:rPr>
                <w:sz w:val="20"/>
                <w:szCs w:val="20"/>
                <w:color w:val="auto"/>
              </w:rPr>
            </w:pPr>
            <w:r>
              <w:rPr>
                <w:rFonts w:ascii="Arial" w:cs="Arial" w:eastAsia="Arial" w:hAnsi="Arial"/>
                <w:sz w:val="18"/>
                <w:szCs w:val="18"/>
                <w:color w:val="auto"/>
              </w:rPr>
              <w:t>December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6520" w:type="dxa"/>
            <w:vAlign w:val="bottom"/>
            <w:gridSpan w:val="2"/>
          </w:tcPr>
          <w:p>
            <w:pPr>
              <w:ind w:left="380"/>
              <w:spacing w:after="0"/>
              <w:rPr>
                <w:sz w:val="20"/>
                <w:szCs w:val="20"/>
                <w:color w:val="auto"/>
              </w:rPr>
            </w:pPr>
            <w:r>
              <w:rPr>
                <w:rFonts w:ascii="Arial" w:cs="Arial" w:eastAsia="Arial" w:hAnsi="Arial"/>
                <w:sz w:val="18"/>
                <w:szCs w:val="18"/>
                <w:color w:val="auto"/>
              </w:rPr>
              <w:t>December 31, 2023</w:t>
            </w:r>
          </w:p>
        </w:tc>
        <w:tc>
          <w:tcPr>
            <w:tcW w:w="108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52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 2024 ²</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184.7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164.1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52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Proved undeveloped crude oil reserves: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520" w:type="dxa"/>
            <w:vAlign w:val="bottom"/>
            <w:gridSpan w:val="2"/>
          </w:tcPr>
          <w:p>
            <w:pPr>
              <w:ind w:left="380"/>
              <w:spacing w:after="0"/>
              <w:rPr>
                <w:sz w:val="20"/>
                <w:szCs w:val="20"/>
                <w:color w:val="auto"/>
              </w:rPr>
            </w:pPr>
            <w:r>
              <w:rPr>
                <w:rFonts w:ascii="Arial" w:cs="Arial" w:eastAsia="Arial" w:hAnsi="Arial"/>
                <w:sz w:val="18"/>
                <w:szCs w:val="18"/>
                <w:color w:val="auto"/>
              </w:rPr>
              <w:t>December 31, 2021</w:t>
            </w:r>
          </w:p>
        </w:tc>
        <w:tc>
          <w:tcPr>
            <w:tcW w:w="108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520" w:type="dxa"/>
            <w:vAlign w:val="bottom"/>
            <w:gridSpan w:val="2"/>
          </w:tcPr>
          <w:p>
            <w:pPr>
              <w:ind w:left="380"/>
              <w:spacing w:after="0"/>
              <w:rPr>
                <w:sz w:val="20"/>
                <w:szCs w:val="20"/>
                <w:color w:val="auto"/>
              </w:rPr>
            </w:pPr>
            <w:r>
              <w:rPr>
                <w:rFonts w:ascii="Arial" w:cs="Arial" w:eastAsia="Arial" w:hAnsi="Arial"/>
                <w:sz w:val="18"/>
                <w:szCs w:val="18"/>
                <w:color w:val="auto"/>
              </w:rPr>
              <w:t>December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6520" w:type="dxa"/>
            <w:vAlign w:val="bottom"/>
            <w:gridSpan w:val="2"/>
          </w:tcPr>
          <w:p>
            <w:pPr>
              <w:ind w:left="380"/>
              <w:spacing w:after="0"/>
              <w:rPr>
                <w:sz w:val="20"/>
                <w:szCs w:val="20"/>
                <w:color w:val="auto"/>
              </w:rPr>
            </w:pPr>
            <w:r>
              <w:rPr>
                <w:rFonts w:ascii="Arial" w:cs="Arial" w:eastAsia="Arial" w:hAnsi="Arial"/>
                <w:sz w:val="18"/>
                <w:szCs w:val="18"/>
                <w:color w:val="auto"/>
              </w:rPr>
              <w:t>December 31, 2023</w:t>
            </w:r>
          </w:p>
        </w:tc>
        <w:tc>
          <w:tcPr>
            <w:tcW w:w="108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652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 2024 ³</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90.4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-4231640</wp:posOffset>
            </wp:positionV>
            <wp:extent cx="7108190" cy="144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-3943350</wp:posOffset>
            </wp:positionV>
            <wp:extent cx="7108190" cy="144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-3655060</wp:posOffset>
            </wp:positionV>
            <wp:extent cx="7108190" cy="144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-3366135</wp:posOffset>
            </wp:positionV>
            <wp:extent cx="7108190" cy="144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-3069590</wp:posOffset>
            </wp:positionV>
            <wp:extent cx="7108190" cy="144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-2781300</wp:posOffset>
            </wp:positionV>
            <wp:extent cx="7108190" cy="144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-2493010</wp:posOffset>
            </wp:positionV>
            <wp:extent cx="7108190" cy="144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-2195830</wp:posOffset>
            </wp:positionV>
            <wp:extent cx="7108190" cy="144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-1907540</wp:posOffset>
            </wp:positionV>
            <wp:extent cx="7108190" cy="144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-1304925</wp:posOffset>
            </wp:positionV>
            <wp:extent cx="7108190" cy="144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-1016635</wp:posOffset>
            </wp:positionV>
            <wp:extent cx="7108190" cy="144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-728345</wp:posOffset>
            </wp:positionV>
            <wp:extent cx="7108190" cy="144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-440055</wp:posOffset>
            </wp:positionV>
            <wp:extent cx="7108190" cy="144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7108190" cy="144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0819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-1619250</wp:posOffset>
            </wp:positionV>
            <wp:extent cx="7108190" cy="169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08190" cy="169545"/>
                    </a:xfrm>
                    <a:prstGeom prst="rect">
                      <a:avLst/>
                    </a:prstGeom>
                    <a:noFill/>
                  </pic:spPr>
                </pic:pic>
              </a:graphicData>
            </a:graphic>
          </wp:anchor>
        </w:drawing>
      </w:r>
    </w:p>
    <w:p>
      <w:pPr>
        <w:spacing w:after="0" w:line="123" w:lineRule="exact"/>
        <w:rPr>
          <w:sz w:val="20"/>
          <w:szCs w:val="20"/>
          <w:color w:val="auto"/>
        </w:rPr>
      </w:pPr>
    </w:p>
    <w:p>
      <w:pPr>
        <w:ind w:left="120" w:hanging="107"/>
        <w:spacing w:after="0"/>
        <w:tabs>
          <w:tab w:leader="none" w:pos="120"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reserves of 14.5 MMBBL attributable to the noncontrolling interest in MP GOM.</w:t>
      </w:r>
    </w:p>
    <w:p>
      <w:pPr>
        <w:ind w:left="120" w:hanging="107"/>
        <w:spacing w:after="0" w:line="225" w:lineRule="auto"/>
        <w:tabs>
          <w:tab w:leader="none" w:pos="12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developed reserves of 13.2 MMBBL attributable to the noncontrolling interest in MP GOM.</w:t>
      </w:r>
    </w:p>
    <w:p>
      <w:pPr>
        <w:spacing w:after="0" w:line="32" w:lineRule="exact"/>
        <w:rPr>
          <w:rFonts w:ascii="Arial" w:cs="Arial" w:eastAsia="Arial" w:hAnsi="Arial"/>
          <w:sz w:val="21"/>
          <w:szCs w:val="21"/>
          <w:color w:val="auto"/>
          <w:vertAlign w:val="superscript"/>
        </w:rPr>
      </w:pPr>
    </w:p>
    <w:p>
      <w:pPr>
        <w:ind w:left="20" w:right="580"/>
        <w:spacing w:after="0" w:line="273" w:lineRule="auto"/>
        <w:rPr>
          <w:rFonts w:ascii="Arial" w:cs="Arial" w:eastAsia="Arial" w:hAnsi="Arial"/>
          <w:sz w:val="21"/>
          <w:szCs w:val="21"/>
          <w:color w:val="auto"/>
          <w:vertAlign w:val="superscript"/>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Total and United States includes proved undeveloped reserves of 1.3 MMBBL attributable to the noncontrolling interest in MP GOM. </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Totals within the tables may not add as a result of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15240</wp:posOffset>
            </wp:positionV>
            <wp:extent cx="6788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2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0.6</w:t>
      </w:r>
    </w:p>
    <w:p>
      <w:pPr>
        <w:spacing w:after="0" w:line="2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0.2</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11430</wp:posOffset>
            </wp:positionV>
            <wp:extent cx="6788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0.5</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11430</wp:posOffset>
            </wp:positionV>
            <wp:extent cx="6788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(0.1)</w:t>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(0.1)</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38735</wp:posOffset>
            </wp:positionV>
            <wp:extent cx="6788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0.5</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0.4</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0.2</w:t>
      </w:r>
    </w:p>
    <w:p>
      <w:pPr>
        <w:spacing w:after="0" w:line="24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0.1</w:t>
      </w:r>
    </w:p>
    <w:p>
      <w:pPr>
        <w:spacing w:after="0" w:line="2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12.0</w:t>
      </w:r>
    </w:p>
    <w:p>
      <w:pPr>
        <w:sectPr>
          <w:pgSz w:w="11900" w:h="16838" w:orient="portrait"/>
          <w:cols w:equalWidth="0" w:num="2">
            <w:col w:w="10020" w:space="420"/>
            <w:col w:w="740"/>
          </w:cols>
          <w:pgMar w:left="320" w:top="230" w:right="3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920"/>
        <w:spacing w:after="0" w:line="27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 – Summary of Proved Crude Oil Reserves Based on Average Prices for 2021 – 2024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Comments for Proved Crude Oil Reserves Changes</w:t>
      </w:r>
    </w:p>
    <w:p>
      <w:pPr>
        <w:spacing w:after="0" w:line="169"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The crude oil reserves revisions in 2024 resulted predominantly from performance adjustments in the Eagle</w:t>
      </w:r>
      <w:r>
        <w:rPr>
          <w:rFonts w:ascii="Arial" w:cs="Arial" w:eastAsia="Arial" w:hAnsi="Arial"/>
          <w:sz w:val="18"/>
          <w:szCs w:val="18"/>
          <w:i w:val="1"/>
          <w:iCs w:val="1"/>
          <w:color w:val="auto"/>
        </w:rPr>
        <w:t xml:space="preserve"> </w:t>
      </w:r>
      <w:r>
        <w:rPr>
          <w:rFonts w:ascii="Arial" w:cs="Arial" w:eastAsia="Arial" w:hAnsi="Arial"/>
          <w:sz w:val="18"/>
          <w:szCs w:val="18"/>
          <w:color w:val="auto"/>
        </w:rPr>
        <w:t>Ford Shale and Gulf of America.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Proved oil reserves were added in 2024 for the non-operated St. Malo waterflood in the Gulf of America.</w:t>
      </w:r>
    </w:p>
    <w:p>
      <w:pPr>
        <w:spacing w:after="0" w:line="11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2024, proved oil reserves were added for drilling activities predominantly in the Eagle Ford Shale and Gulf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Comments for Proved Crude Oil Reserves Changes</w:t>
      </w:r>
    </w:p>
    <w:p>
      <w:pPr>
        <w:spacing w:after="0" w:line="156"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The negative crude oil reserves revisions in 2023 resulted predominantly from impacts of lower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the U.S. and performance adjustments in the Eagle Ford Shale and the Gulf of America.</w:t>
      </w:r>
    </w:p>
    <w:p>
      <w:pPr>
        <w:spacing w:after="0" w:line="55"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2023, proved oil reserves were added for drilling and expansion activities predominantly in the Eagle Ford</w:t>
      </w:r>
      <w:r>
        <w:rPr>
          <w:rFonts w:ascii="Arial" w:cs="Arial" w:eastAsia="Arial" w:hAnsi="Arial"/>
          <w:sz w:val="18"/>
          <w:szCs w:val="18"/>
          <w:i w:val="1"/>
          <w:iCs w:val="1"/>
          <w:color w:val="auto"/>
        </w:rPr>
        <w:t xml:space="preserve"> </w:t>
      </w:r>
      <w:r>
        <w:rPr>
          <w:rFonts w:ascii="Arial" w:cs="Arial" w:eastAsia="Arial" w:hAnsi="Arial"/>
          <w:sz w:val="18"/>
          <w:szCs w:val="18"/>
          <w:color w:val="auto"/>
        </w:rPr>
        <w:t>Shale and Vietnam.</w:t>
      </w:r>
    </w:p>
    <w:p>
      <w:pPr>
        <w:spacing w:after="0" w:line="5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i w:val="1"/>
          <w:iCs w:val="1"/>
          <w:color w:val="auto"/>
        </w:rPr>
        <w:t xml:space="preserve">Purchases and sales of properties </w:t>
      </w:r>
      <w:r>
        <w:rPr>
          <w:rFonts w:ascii="Arial" w:cs="Arial" w:eastAsia="Arial" w:hAnsi="Arial"/>
          <w:sz w:val="18"/>
          <w:szCs w:val="18"/>
          <w:color w:val="auto"/>
        </w:rPr>
        <w:t>- In 2023, the Company divested a portion of its working interest in the Kaybob Duvernay and all of its non-operated Placid Montney assets.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Comments for Proved Crude Oil Reserves Changes</w:t>
      </w:r>
    </w:p>
    <w:p>
      <w:pPr>
        <w:spacing w:after="0" w:line="16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i w:val="1"/>
          <w:iCs w:val="1"/>
          <w:color w:val="auto"/>
        </w:rPr>
        <w:t xml:space="preserve">Revisions of previous estimates - </w:t>
      </w:r>
      <w:r>
        <w:rPr>
          <w:rFonts w:ascii="Arial" w:cs="Arial" w:eastAsia="Arial" w:hAnsi="Arial"/>
          <w:sz w:val="18"/>
          <w:szCs w:val="18"/>
          <w:color w:val="auto"/>
        </w:rPr>
        <w:t>The positive crude oil reserves revisions in 2022 resulted predominantly from improved well performance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Gulf of America and impacts of higher commodity prices in the U.S.</w:t>
      </w:r>
    </w:p>
    <w:p>
      <w:pPr>
        <w:spacing w:after="0" w:line="55" w:lineRule="exact"/>
        <w:rPr>
          <w:sz w:val="20"/>
          <w:szCs w:val="20"/>
          <w:color w:val="auto"/>
        </w:rPr>
      </w:pPr>
    </w:p>
    <w:p>
      <w:pPr>
        <w:spacing w:after="0" w:line="278" w:lineRule="auto"/>
        <w:rPr>
          <w:sz w:val="20"/>
          <w:szCs w:val="20"/>
          <w:color w:val="auto"/>
        </w:rPr>
      </w:pPr>
      <w:r>
        <w:rPr>
          <w:rFonts w:ascii="Arial" w:cs="Arial" w:eastAsia="Arial" w:hAnsi="Arial"/>
          <w:sz w:val="18"/>
          <w:szCs w:val="18"/>
          <w:i w:val="1"/>
          <w:iCs w:val="1"/>
          <w:color w:val="auto"/>
        </w:rPr>
        <w:t xml:space="preserve">Extensions and discoveries - </w:t>
      </w:r>
      <w:r>
        <w:rPr>
          <w:rFonts w:ascii="Arial" w:cs="Arial" w:eastAsia="Arial" w:hAnsi="Arial"/>
          <w:sz w:val="18"/>
          <w:szCs w:val="18"/>
          <w:color w:val="auto"/>
        </w:rPr>
        <w:t>In 2022, proved oil reserves were added for drilling and expansion activities predominantly in the Gulf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Eagle Ford Shale.</w:t>
      </w:r>
    </w:p>
    <w:p>
      <w:pPr>
        <w:spacing w:after="0" w:line="55"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i w:val="1"/>
          <w:iCs w:val="1"/>
          <w:color w:val="auto"/>
        </w:rPr>
        <w:t xml:space="preserve">Purchases and sales of properties - </w:t>
      </w:r>
      <w:r>
        <w:rPr>
          <w:rFonts w:ascii="Arial" w:cs="Arial" w:eastAsia="Arial" w:hAnsi="Arial"/>
          <w:sz w:val="18"/>
          <w:szCs w:val="18"/>
          <w:color w:val="auto"/>
        </w:rPr>
        <w:t>In 2022, the Company acquired incremental working interests in two producing fields in the Gulf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 divested certain working interests in the Gulf of America and Eagle Ford Shale.</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3520"/>
        <w:spacing w:after="0" w:line="27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 – Summary of Proved Natural Gas Liquids Reserves Based on Average Prices for 2021 –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United</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rPr>
              <w:t>(Millions of barrels)</w:t>
            </w:r>
          </w:p>
        </w:tc>
        <w:tc>
          <w:tcPr>
            <w:tcW w:w="140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Total</w:t>
            </w:r>
          </w:p>
        </w:tc>
        <w:tc>
          <w:tcPr>
            <w:tcW w:w="142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States</w:t>
            </w:r>
          </w:p>
        </w:tc>
        <w:tc>
          <w:tcPr>
            <w:tcW w:w="1320" w:type="dxa"/>
            <w:vAlign w:val="bottom"/>
          </w:tcPr>
          <w:p>
            <w:pPr>
              <w:jc w:val="right"/>
              <w:ind w:right="251"/>
              <w:spacing w:after="0" w:line="201" w:lineRule="exact"/>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55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Proved developed and undeveloped NGL reserves:</w:t>
            </w: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0" w:type="dxa"/>
            <w:vAlign w:val="bottom"/>
            <w:vMerge w:val="continue"/>
          </w:tcPr>
          <w:p>
            <w:pPr>
              <w:spacing w:after="0"/>
              <w:rPr>
                <w:sz w:val="17"/>
                <w:szCs w:val="17"/>
                <w:color w:val="auto"/>
              </w:rPr>
            </w:pPr>
          </w:p>
        </w:tc>
        <w:tc>
          <w:tcPr>
            <w:tcW w:w="556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December 31, 2021</w:t>
            </w:r>
          </w:p>
        </w:tc>
        <w:tc>
          <w:tcPr>
            <w:tcW w:w="13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Revisions of previous estimates</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Improved recovery</w:t>
            </w: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Extensions and discoveries</w:t>
            </w: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Purchase of properties</w:t>
            </w: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Sale of properties</w:t>
            </w: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5620" w:type="dxa"/>
            <w:vAlign w:val="bottom"/>
            <w:gridSpan w:val="3"/>
          </w:tcPr>
          <w:p>
            <w:pPr>
              <w:spacing w:after="0"/>
              <w:rPr>
                <w:sz w:val="20"/>
                <w:szCs w:val="20"/>
                <w:color w:val="auto"/>
              </w:rPr>
            </w:pPr>
            <w:r>
              <w:rPr>
                <w:rFonts w:ascii="Arial" w:cs="Arial" w:eastAsia="Arial" w:hAnsi="Arial"/>
                <w:sz w:val="18"/>
                <w:szCs w:val="18"/>
                <w:color w:val="auto"/>
              </w:rPr>
              <w:t>Production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7"/>
        </w:trPr>
        <w:tc>
          <w:tcPr>
            <w:tcW w:w="5620" w:type="dxa"/>
            <w:vAlign w:val="bottom"/>
            <w:gridSpan w:val="3"/>
          </w:tcPr>
          <w:p>
            <w:pPr>
              <w:spacing w:after="0"/>
              <w:rPr>
                <w:sz w:val="20"/>
                <w:szCs w:val="20"/>
                <w:color w:val="auto"/>
              </w:rPr>
            </w:pPr>
            <w:r>
              <w:rPr>
                <w:rFonts w:ascii="Arial" w:cs="Arial" w:eastAsia="Arial" w:hAnsi="Arial"/>
                <w:sz w:val="18"/>
                <w:szCs w:val="18"/>
                <w:color w:val="auto"/>
              </w:rPr>
              <w:t>December 31, 2022</w:t>
            </w:r>
          </w:p>
        </w:tc>
        <w:tc>
          <w:tcPr>
            <w:tcW w:w="13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Revisions of previous estimates</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Extensions and discoveries</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Sale of properties</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1"/>
        </w:trPr>
        <w:tc>
          <w:tcPr>
            <w:tcW w:w="5620" w:type="dxa"/>
            <w:vAlign w:val="bottom"/>
            <w:gridSpan w:val="3"/>
          </w:tcPr>
          <w:p>
            <w:pPr>
              <w:spacing w:after="0"/>
              <w:rPr>
                <w:sz w:val="20"/>
                <w:szCs w:val="20"/>
                <w:color w:val="auto"/>
              </w:rPr>
            </w:pPr>
            <w:r>
              <w:rPr>
                <w:rFonts w:ascii="Arial" w:cs="Arial" w:eastAsia="Arial" w:hAnsi="Arial"/>
                <w:sz w:val="18"/>
                <w:szCs w:val="18"/>
                <w:color w:val="auto"/>
              </w:rPr>
              <w:t>Production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5620" w:type="dxa"/>
            <w:vAlign w:val="bottom"/>
            <w:gridSpan w:val="3"/>
          </w:tcPr>
          <w:p>
            <w:pPr>
              <w:spacing w:after="0"/>
              <w:rPr>
                <w:sz w:val="20"/>
                <w:szCs w:val="20"/>
                <w:color w:val="auto"/>
              </w:rPr>
            </w:pPr>
            <w:r>
              <w:rPr>
                <w:rFonts w:ascii="Arial" w:cs="Arial" w:eastAsia="Arial" w:hAnsi="Arial"/>
                <w:sz w:val="18"/>
                <w:szCs w:val="18"/>
                <w:color w:val="auto"/>
              </w:rPr>
              <w:t>December 31, 2023</w:t>
            </w:r>
          </w:p>
        </w:tc>
        <w:tc>
          <w:tcPr>
            <w:tcW w:w="13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Revisions of previous estimates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Improved recovery</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tcPr>
          <w:p>
            <w:pPr>
              <w:spacing w:after="0"/>
              <w:rPr>
                <w:sz w:val="20"/>
                <w:szCs w:val="20"/>
                <w:color w:val="auto"/>
              </w:rPr>
            </w:pPr>
            <w:r>
              <w:rPr>
                <w:rFonts w:ascii="Arial" w:cs="Arial" w:eastAsia="Arial" w:hAnsi="Arial"/>
                <w:sz w:val="18"/>
                <w:szCs w:val="18"/>
                <w:color w:val="auto"/>
              </w:rPr>
              <w:t>Extensions and discoveries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33"/>
        </w:trPr>
        <w:tc>
          <w:tcPr>
            <w:tcW w:w="5620" w:type="dxa"/>
            <w:vAlign w:val="bottom"/>
            <w:gridSpan w:val="3"/>
          </w:tcPr>
          <w:p>
            <w:pPr>
              <w:spacing w:after="0"/>
              <w:rPr>
                <w:sz w:val="20"/>
                <w:szCs w:val="20"/>
                <w:color w:val="auto"/>
              </w:rPr>
            </w:pPr>
            <w:r>
              <w:rPr>
                <w:rFonts w:ascii="Arial" w:cs="Arial" w:eastAsia="Arial" w:hAnsi="Arial"/>
                <w:sz w:val="18"/>
                <w:szCs w:val="18"/>
                <w:color w:val="auto"/>
              </w:rPr>
              <w:t>Production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2024 ¹</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0" w:lineRule="exact"/>
              <w:rPr>
                <w:sz w:val="1"/>
                <w:szCs w:val="1"/>
                <w:color w:val="auto"/>
              </w:rPr>
            </w:pPr>
          </w:p>
        </w:tc>
        <w:tc>
          <w:tcPr>
            <w:tcW w:w="55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Proved developed NGL reserves:</w:t>
            </w: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0" w:type="dxa"/>
            <w:vAlign w:val="bottom"/>
            <w:vMerge w:val="continue"/>
          </w:tcPr>
          <w:p>
            <w:pPr>
              <w:spacing w:after="0"/>
              <w:rPr>
                <w:sz w:val="16"/>
                <w:szCs w:val="16"/>
                <w:color w:val="auto"/>
              </w:rPr>
            </w:pPr>
          </w:p>
        </w:tc>
        <w:tc>
          <w:tcPr>
            <w:tcW w:w="556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color w:val="auto"/>
              </w:rPr>
              <w:t>December 31, 2021</w:t>
            </w:r>
          </w:p>
        </w:tc>
        <w:tc>
          <w:tcPr>
            <w:tcW w:w="13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color w:val="auto"/>
              </w:rPr>
              <w:t>December 31, 2022</w:t>
            </w:r>
          </w:p>
        </w:tc>
        <w:tc>
          <w:tcPr>
            <w:tcW w:w="13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color w:val="auto"/>
              </w:rPr>
              <w:t>December 31, 2023</w:t>
            </w:r>
          </w:p>
        </w:tc>
        <w:tc>
          <w:tcPr>
            <w:tcW w:w="13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 2024 ²</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Proved undeveloped NGL reserves: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color w:val="auto"/>
              </w:rPr>
              <w:t>December 31, 2021</w:t>
            </w: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color w:val="auto"/>
              </w:rPr>
              <w:t>December 31, 2022</w:t>
            </w: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color w:val="auto"/>
              </w:rPr>
              <w:t>December 31, 2023</w:t>
            </w:r>
          </w:p>
        </w:tc>
        <w:tc>
          <w:tcPr>
            <w:tcW w:w="13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 2024 ³</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-4087495</wp:posOffset>
            </wp:positionV>
            <wp:extent cx="7117080" cy="144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-3799205</wp:posOffset>
            </wp:positionV>
            <wp:extent cx="7117080" cy="144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-3510915</wp:posOffset>
            </wp:positionV>
            <wp:extent cx="7117080" cy="144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-3221990</wp:posOffset>
            </wp:positionV>
            <wp:extent cx="7117080" cy="144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-2925445</wp:posOffset>
            </wp:positionV>
            <wp:extent cx="7117080" cy="144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-2637155</wp:posOffset>
            </wp:positionV>
            <wp:extent cx="7117080" cy="144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-2051685</wp:posOffset>
            </wp:positionV>
            <wp:extent cx="7117080" cy="144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-1763395</wp:posOffset>
            </wp:positionV>
            <wp:extent cx="7117080" cy="144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-1160780</wp:posOffset>
            </wp:positionV>
            <wp:extent cx="7117080" cy="144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-872490</wp:posOffset>
            </wp:positionV>
            <wp:extent cx="7117080" cy="144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17080" cy="144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-295910</wp:posOffset>
            </wp:positionV>
            <wp:extent cx="7117080" cy="144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-1449070</wp:posOffset>
            </wp:positionV>
            <wp:extent cx="7117080" cy="144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-2348230</wp:posOffset>
            </wp:positionV>
            <wp:extent cx="7117080" cy="152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7117080" cy="152400"/>
                    </a:xfrm>
                    <a:prstGeom prst="rect">
                      <a:avLst/>
                    </a:prstGeom>
                    <a:noFill/>
                  </pic:spPr>
                </pic:pic>
              </a:graphicData>
            </a:graphic>
          </wp:anchor>
        </w:drawing>
      </w:r>
    </w:p>
    <w:p>
      <w:pPr>
        <w:spacing w:after="0" w:line="123" w:lineRule="exact"/>
        <w:rPr>
          <w:sz w:val="20"/>
          <w:szCs w:val="20"/>
          <w:color w:val="auto"/>
        </w:rPr>
      </w:pPr>
    </w:p>
    <w:p>
      <w:pPr>
        <w:ind w:left="120" w:hanging="107"/>
        <w:spacing w:after="0"/>
        <w:tabs>
          <w:tab w:leader="none" w:pos="120"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total proved reserves of 0.6 MMBBL attributable to the noncontrolling interest in MP GOM.</w:t>
      </w:r>
    </w:p>
    <w:p>
      <w:pPr>
        <w:ind w:left="100" w:hanging="87"/>
        <w:spacing w:after="0" w:line="225" w:lineRule="auto"/>
        <w:tabs>
          <w:tab w:leader="none" w:pos="100"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developed reserves of 0.5 MMBBL attributable to the noncontrolling interest in MP GOM.</w:t>
      </w:r>
    </w:p>
    <w:p>
      <w:pPr>
        <w:ind w:left="120" w:hanging="107"/>
        <w:spacing w:after="0" w:line="226" w:lineRule="auto"/>
        <w:tabs>
          <w:tab w:leader="none" w:pos="120" w:val="left"/>
        </w:tabs>
        <w:numPr>
          <w:ilvl w:val="0"/>
          <w:numId w:val="56"/>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undeveloped reserves of 0.1 MMBBL attributable to the noncontrolling interest in MP GOM.</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1" w:lineRule="exact"/>
        <w:rPr>
          <w:rFonts w:ascii="Arial" w:cs="Arial" w:eastAsia="Arial" w:hAnsi="Arial"/>
          <w:sz w:val="21"/>
          <w:szCs w:val="21"/>
          <w:color w:val="auto"/>
          <w:vertAlign w:val="superscript"/>
        </w:rPr>
      </w:pPr>
    </w:p>
    <w:p>
      <w:pPr>
        <w:ind w:left="5480"/>
        <w:spacing w:after="0"/>
        <w:rPr>
          <w:rFonts w:ascii="Arial" w:cs="Arial" w:eastAsia="Arial" w:hAnsi="Arial"/>
          <w:sz w:val="21"/>
          <w:szCs w:val="21"/>
          <w:color w:val="auto"/>
          <w:vertAlign w:val="superscript"/>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15240</wp:posOffset>
            </wp:positionV>
            <wp:extent cx="839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11430</wp:posOffset>
            </wp:positionV>
            <wp:extent cx="839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839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13335</wp:posOffset>
            </wp:positionV>
            <wp:extent cx="839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2">
            <w:col w:w="9780" w:space="580"/>
            <w:col w:w="780"/>
          </w:cols>
          <w:pgMar w:left="320" w:top="229"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940"/>
        <w:spacing w:after="0" w:line="27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 – Summary of Proved Natural Gas Liquids Reserves Based on Average Prices for 2021 – 2024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Comments for Proved Natural Gas Liquids Reserves Changes</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The NGL reserves revisions in 2024 resulted predominantly from performance adjustments in Tupper</w:t>
      </w:r>
      <w:r>
        <w:rPr>
          <w:rFonts w:ascii="Arial" w:cs="Arial" w:eastAsia="Arial" w:hAnsi="Arial"/>
          <w:sz w:val="18"/>
          <w:szCs w:val="18"/>
          <w:i w:val="1"/>
          <w:iCs w:val="1"/>
          <w:color w:val="auto"/>
        </w:rPr>
        <w:t xml:space="preserve"> </w:t>
      </w:r>
      <w:r>
        <w:rPr>
          <w:rFonts w:ascii="Arial" w:cs="Arial" w:eastAsia="Arial" w:hAnsi="Arial"/>
          <w:sz w:val="18"/>
          <w:szCs w:val="18"/>
          <w:color w:val="auto"/>
        </w:rPr>
        <w:t>Montney and Eagle Ford Shale, and positive revisions due to reduced royalty rates and delayed royalty incentive payouts resulting from lower commodity prices in Tupper Montney.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Proved NGL reserves were added in 2024 for the non-operated St. Malo waterflood in the Gulf of America.</w:t>
      </w:r>
    </w:p>
    <w:p>
      <w:pPr>
        <w:spacing w:after="0" w:line="114" w:lineRule="exact"/>
        <w:rPr>
          <w:sz w:val="20"/>
          <w:szCs w:val="20"/>
          <w:color w:val="auto"/>
        </w:rPr>
      </w:pPr>
    </w:p>
    <w:p>
      <w:pPr>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2024, proved NGL reserves were added for drilling activities predominantly in Tupper Montney and Eagle Ford</w:t>
      </w:r>
      <w:r>
        <w:rPr>
          <w:rFonts w:ascii="Arial" w:cs="Arial" w:eastAsia="Arial" w:hAnsi="Arial"/>
          <w:sz w:val="18"/>
          <w:szCs w:val="18"/>
          <w:i w:val="1"/>
          <w:iCs w:val="1"/>
          <w:color w:val="auto"/>
        </w:rPr>
        <w:t xml:space="preserve"> </w:t>
      </w:r>
      <w:r>
        <w:rPr>
          <w:rFonts w:ascii="Arial" w:cs="Arial" w:eastAsia="Arial" w:hAnsi="Arial"/>
          <w:sz w:val="18"/>
          <w:szCs w:val="18"/>
          <w:color w:val="auto"/>
        </w:rPr>
        <w:t>Shale.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Comments for Proved Natural Gas Liquids Reserves Changes</w:t>
      </w:r>
    </w:p>
    <w:p>
      <w:pPr>
        <w:spacing w:after="0" w:line="15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The negative NGL reserves revisions in 2023 resulted predominantly from impacts of lower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the U.S. and performance adjustments in the Eagle Ford Shale. These revisions were partially offset by improvements in the Gulf of America.</w:t>
      </w:r>
    </w:p>
    <w:p>
      <w:pPr>
        <w:spacing w:after="0" w:line="70"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2023, proved NGL reserves were added for drilling and expansion activities predominantly in the Eagle Ford</w:t>
      </w:r>
      <w:r>
        <w:rPr>
          <w:rFonts w:ascii="Arial" w:cs="Arial" w:eastAsia="Arial" w:hAnsi="Arial"/>
          <w:sz w:val="18"/>
          <w:szCs w:val="18"/>
          <w:i w:val="1"/>
          <w:iCs w:val="1"/>
          <w:color w:val="auto"/>
        </w:rPr>
        <w:t xml:space="preserve"> </w:t>
      </w:r>
      <w:r>
        <w:rPr>
          <w:rFonts w:ascii="Arial" w:cs="Arial" w:eastAsia="Arial" w:hAnsi="Arial"/>
          <w:sz w:val="18"/>
          <w:szCs w:val="18"/>
          <w:color w:val="auto"/>
        </w:rPr>
        <w:t>Shale.</w:t>
      </w:r>
    </w:p>
    <w:p>
      <w:pPr>
        <w:spacing w:after="0" w:line="5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i w:val="1"/>
          <w:iCs w:val="1"/>
          <w:color w:val="auto"/>
        </w:rPr>
        <w:t xml:space="preserve">Purchases and sales of properties </w:t>
      </w:r>
      <w:r>
        <w:rPr>
          <w:rFonts w:ascii="Arial" w:cs="Arial" w:eastAsia="Arial" w:hAnsi="Arial"/>
          <w:sz w:val="18"/>
          <w:szCs w:val="18"/>
          <w:color w:val="auto"/>
        </w:rPr>
        <w:t>- In 2023, the Company divested a portion of its working interest in the Kaybob Duvernay and all of its non-operated Placid Montney assets.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Comments for Proved Natural Gas Liquids Reserves Changes</w:t>
      </w:r>
    </w:p>
    <w:p>
      <w:pPr>
        <w:spacing w:after="0" w:line="169"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i w:val="1"/>
          <w:iCs w:val="1"/>
          <w:color w:val="auto"/>
        </w:rPr>
        <w:t xml:space="preserve">Revisions of previous estimates - </w:t>
      </w:r>
      <w:r>
        <w:rPr>
          <w:rFonts w:ascii="Arial" w:cs="Arial" w:eastAsia="Arial" w:hAnsi="Arial"/>
          <w:sz w:val="18"/>
          <w:szCs w:val="18"/>
          <w:color w:val="auto"/>
        </w:rPr>
        <w:t>The positive NGL reserves revisions in 2022 resulted predominantly from improved well performance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Gulf of America, Eagle Ford Shale, and Kaybob Duvernay.</w:t>
      </w:r>
    </w:p>
    <w:p>
      <w:pPr>
        <w:spacing w:after="0" w:line="55"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i w:val="1"/>
          <w:iCs w:val="1"/>
          <w:color w:val="auto"/>
        </w:rPr>
        <w:t xml:space="preserve">Extensions and discoveries - </w:t>
      </w:r>
      <w:r>
        <w:rPr>
          <w:rFonts w:ascii="Arial" w:cs="Arial" w:eastAsia="Arial" w:hAnsi="Arial"/>
          <w:sz w:val="18"/>
          <w:szCs w:val="18"/>
          <w:color w:val="auto"/>
        </w:rPr>
        <w:t>In 2022, proved NGL reserves were added for drilling and expansion activities predominantly in the Gulf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 Eagle Ford Shale, as well as in Tupper Montney and Kaybob Duvernay.</w:t>
      </w:r>
    </w:p>
    <w:p>
      <w:pPr>
        <w:spacing w:after="0" w:line="55"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i w:val="1"/>
          <w:iCs w:val="1"/>
          <w:color w:val="auto"/>
        </w:rPr>
        <w:t xml:space="preserve">Purchases and sales of properties - </w:t>
      </w:r>
      <w:r>
        <w:rPr>
          <w:rFonts w:ascii="Arial" w:cs="Arial" w:eastAsia="Arial" w:hAnsi="Arial"/>
          <w:sz w:val="18"/>
          <w:szCs w:val="18"/>
          <w:color w:val="auto"/>
        </w:rPr>
        <w:t>In 2022, the Company acquired incremental working interests in two producing fields in the Gulf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 divested certain working interests in the Gulf of America and Eagle Ford Shale.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GAS INFORMATION (UNAUDITED) –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4 – Summary of Proved Natural Gas Reserves Based on Average Prices for 2021 –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United</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3"/>
          </w:tcPr>
          <w:p>
            <w:pPr>
              <w:ind w:left="20"/>
              <w:spacing w:after="0" w:line="201" w:lineRule="exact"/>
              <w:rPr>
                <w:sz w:val="20"/>
                <w:szCs w:val="20"/>
                <w:color w:val="auto"/>
              </w:rPr>
            </w:pPr>
            <w:r>
              <w:rPr>
                <w:rFonts w:ascii="Arial" w:cs="Arial" w:eastAsia="Arial" w:hAnsi="Arial"/>
                <w:sz w:val="18"/>
                <w:szCs w:val="18"/>
                <w:i w:val="1"/>
                <w:iCs w:val="1"/>
                <w:color w:val="auto"/>
              </w:rPr>
              <w:t>(Billions of cubic feet)</w:t>
            </w:r>
          </w:p>
        </w:tc>
        <w:tc>
          <w:tcPr>
            <w:tcW w:w="1420" w:type="dxa"/>
            <w:vAlign w:val="bottom"/>
            <w:gridSpan w:val="2"/>
          </w:tcPr>
          <w:p>
            <w:pPr>
              <w:ind w:left="480"/>
              <w:spacing w:after="0" w:line="201" w:lineRule="exact"/>
              <w:rPr>
                <w:sz w:val="20"/>
                <w:szCs w:val="20"/>
                <w:color w:val="auto"/>
              </w:rPr>
            </w:pPr>
            <w:r>
              <w:rPr>
                <w:rFonts w:ascii="Arial" w:cs="Arial" w:eastAsia="Arial" w:hAnsi="Arial"/>
                <w:sz w:val="18"/>
                <w:szCs w:val="18"/>
                <w:color w:val="auto"/>
              </w:rPr>
              <w:t>Total</w:t>
            </w:r>
          </w:p>
        </w:tc>
        <w:tc>
          <w:tcPr>
            <w:tcW w:w="142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States</w:t>
            </w:r>
          </w:p>
        </w:tc>
        <w:tc>
          <w:tcPr>
            <w:tcW w:w="14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Canada</w:t>
            </w:r>
          </w:p>
        </w:tc>
        <w:tc>
          <w:tcPr>
            <w:tcW w:w="1320" w:type="dxa"/>
            <w:vAlign w:val="bottom"/>
          </w:tcPr>
          <w:p>
            <w:pPr>
              <w:jc w:val="right"/>
              <w:ind w:right="351"/>
              <w:spacing w:after="0" w:line="201"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55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Proved developed and undeveloped natural gas reserves:</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554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Revisions of previous estimates</w:t>
            </w:r>
          </w:p>
        </w:tc>
        <w:tc>
          <w:tcPr>
            <w:tcW w:w="1320" w:type="dxa"/>
            <w:vAlign w:val="bottom"/>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Improved recovery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Extensions and discoveries</w:t>
            </w:r>
          </w:p>
        </w:tc>
        <w:tc>
          <w:tcPr>
            <w:tcW w:w="1320" w:type="dxa"/>
            <w:vAlign w:val="bottom"/>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Purchases of properties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Sale of properties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December 31, 2022</w:t>
            </w:r>
          </w:p>
        </w:tc>
        <w:tc>
          <w:tcPr>
            <w:tcW w:w="1320" w:type="dxa"/>
            <w:vAlign w:val="bottom"/>
          </w:tcPr>
          <w:p>
            <w:pPr>
              <w:jc w:val="right"/>
              <w:spacing w:after="0"/>
              <w:rPr>
                <w:sz w:val="20"/>
                <w:szCs w:val="20"/>
                <w:color w:val="auto"/>
              </w:rPr>
            </w:pPr>
            <w:r>
              <w:rPr>
                <w:rFonts w:ascii="Arial" w:cs="Arial" w:eastAsia="Arial" w:hAnsi="Arial"/>
                <w:sz w:val="18"/>
                <w:szCs w:val="18"/>
                <w:color w:val="auto"/>
              </w:rPr>
              <w:t>2,219.9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1,884.8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Revisions of previous estimates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Extensions and discoveries</w:t>
            </w:r>
          </w:p>
        </w:tc>
        <w:tc>
          <w:tcPr>
            <w:tcW w:w="1320" w:type="dxa"/>
            <w:vAlign w:val="bottom"/>
          </w:tcPr>
          <w:p>
            <w:pPr>
              <w:jc w:val="right"/>
              <w:spacing w:after="0"/>
              <w:rPr>
                <w:sz w:val="20"/>
                <w:szCs w:val="20"/>
                <w:color w:val="auto"/>
              </w:rPr>
            </w:pPr>
            <w:r>
              <w:rPr>
                <w:rFonts w:ascii="Arial" w:cs="Arial" w:eastAsia="Arial" w:hAnsi="Arial"/>
                <w:sz w:val="18"/>
                <w:szCs w:val="18"/>
                <w:color w:val="auto"/>
              </w:rPr>
              <w:t>528.9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 of properties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Production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2023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Revisions of previous estimates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Improved recovery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Extensions and discoveries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5540" w:type="dxa"/>
            <w:vAlign w:val="bottom"/>
            <w:gridSpan w:val="2"/>
          </w:tcPr>
          <w:p>
            <w:pPr>
              <w:ind w:left="160"/>
              <w:spacing w:after="0" w:line="221" w:lineRule="exact"/>
              <w:rPr>
                <w:sz w:val="20"/>
                <w:szCs w:val="20"/>
                <w:color w:val="auto"/>
              </w:rPr>
            </w:pPr>
            <w:r>
              <w:rPr>
                <w:rFonts w:ascii="Arial" w:cs="Arial" w:eastAsia="Arial" w:hAnsi="Arial"/>
                <w:sz w:val="18"/>
                <w:szCs w:val="18"/>
                <w:b w:val="1"/>
                <w:bCs w:val="1"/>
                <w:color w:val="auto"/>
              </w:rPr>
              <w:t xml:space="preserve">December 31, 2024 </w:t>
            </w:r>
            <w:r>
              <w:rPr>
                <w:rFonts w:ascii="Arial" w:cs="Arial" w:eastAsia="Arial" w:hAnsi="Arial"/>
                <w:sz w:val="23"/>
                <w:szCs w:val="23"/>
                <w:b w:val="1"/>
                <w:bCs w:val="1"/>
                <w:color w:val="auto"/>
                <w:vertAlign w:val="superscript"/>
              </w:rPr>
              <w:t>1,4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2,491.8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2,199.9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 w:type="dxa"/>
            <w:vAlign w:val="bottom"/>
            <w:shd w:val="clear" w:color="auto" w:fill="CCEEFF"/>
          </w:tcPr>
          <w:p>
            <w:pPr>
              <w:spacing w:after="0"/>
              <w:rPr>
                <w:sz w:val="16"/>
                <w:szCs w:val="16"/>
                <w:color w:val="auto"/>
              </w:rPr>
            </w:pPr>
          </w:p>
        </w:tc>
        <w:tc>
          <w:tcPr>
            <w:tcW w:w="554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Proved developed natural gas reserves:</w:t>
            </w: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380"/>
              <w:spacing w:after="0"/>
              <w:rPr>
                <w:sz w:val="20"/>
                <w:szCs w:val="20"/>
                <w:color w:val="auto"/>
              </w:rPr>
            </w:pPr>
            <w:r>
              <w:rPr>
                <w:rFonts w:ascii="Arial" w:cs="Arial" w:eastAsia="Arial" w:hAnsi="Arial"/>
                <w:sz w:val="18"/>
                <w:szCs w:val="18"/>
                <w:color w:val="auto"/>
              </w:rPr>
              <w:t>December 31, 2021</w:t>
            </w:r>
          </w:p>
        </w:tc>
        <w:tc>
          <w:tcPr>
            <w:tcW w:w="1320" w:type="dxa"/>
            <w:vAlign w:val="bottom"/>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380"/>
              <w:spacing w:after="0"/>
              <w:rPr>
                <w:sz w:val="20"/>
                <w:szCs w:val="20"/>
                <w:color w:val="auto"/>
              </w:rPr>
            </w:pPr>
            <w:r>
              <w:rPr>
                <w:rFonts w:ascii="Arial" w:cs="Arial" w:eastAsia="Arial" w:hAnsi="Arial"/>
                <w:sz w:val="18"/>
                <w:szCs w:val="18"/>
                <w:color w:val="auto"/>
              </w:rPr>
              <w:t>December 31, 2023</w:t>
            </w:r>
          </w:p>
        </w:tc>
        <w:tc>
          <w:tcPr>
            <w:tcW w:w="1320" w:type="dxa"/>
            <w:vAlign w:val="bottom"/>
          </w:tcPr>
          <w:p>
            <w:pPr>
              <w:jc w:val="right"/>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1,066.7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180"/>
              <w:spacing w:after="0" w:line="228" w:lineRule="exact"/>
              <w:rPr>
                <w:sz w:val="20"/>
                <w:szCs w:val="20"/>
                <w:color w:val="auto"/>
              </w:rPr>
            </w:pPr>
            <w:r>
              <w:rPr>
                <w:rFonts w:ascii="Arial" w:cs="Arial" w:eastAsia="Arial" w:hAnsi="Arial"/>
                <w:sz w:val="18"/>
                <w:szCs w:val="18"/>
                <w:b w:val="1"/>
                <w:bCs w:val="1"/>
                <w:color w:val="auto"/>
              </w:rPr>
              <w:t xml:space="preserve">December 31, 2024 </w:t>
            </w:r>
            <w:r>
              <w:rPr>
                <w:rFonts w:ascii="Arial" w:cs="Arial" w:eastAsia="Arial" w:hAnsi="Arial"/>
                <w:sz w:val="23"/>
                <w:szCs w:val="23"/>
                <w:b w:val="1"/>
                <w:bCs w:val="1"/>
                <w:color w:val="auto"/>
                <w:vertAlign w:val="superscript"/>
              </w:rPr>
              <w:t>2,4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1,167.2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Proved undeveloped natural gas reserves: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380"/>
              <w:spacing w:after="0"/>
              <w:rPr>
                <w:sz w:val="20"/>
                <w:szCs w:val="20"/>
                <w:color w:val="auto"/>
              </w:rPr>
            </w:pPr>
            <w:r>
              <w:rPr>
                <w:rFonts w:ascii="Arial" w:cs="Arial" w:eastAsia="Arial" w:hAnsi="Arial"/>
                <w:sz w:val="18"/>
                <w:szCs w:val="18"/>
                <w:color w:val="auto"/>
              </w:rPr>
              <w:t>December 31, 2022</w:t>
            </w:r>
          </w:p>
        </w:tc>
        <w:tc>
          <w:tcPr>
            <w:tcW w:w="1320" w:type="dxa"/>
            <w:vAlign w:val="bottom"/>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956.0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2023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55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2024 ³</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1,127.6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1,032.7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hanging="107"/>
        <w:spacing w:after="0"/>
        <w:tabs>
          <w:tab w:leader="none" w:pos="120" w:val="left"/>
        </w:tabs>
        <w:numPr>
          <w:ilvl w:val="0"/>
          <w:numId w:val="57"/>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total proved reserves of 5.0 BCF attributable to the noncontrolling interest in MP GOM.</w:t>
      </w:r>
    </w:p>
    <w:p>
      <w:pPr>
        <w:ind w:left="120" w:hanging="107"/>
        <w:spacing w:after="0" w:line="225" w:lineRule="auto"/>
        <w:tabs>
          <w:tab w:leader="none" w:pos="120"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developed reserves of 4.2 BCF attributable to the noncontrolling interest in MP GOM.</w:t>
      </w:r>
    </w:p>
    <w:p>
      <w:pPr>
        <w:ind w:left="120" w:hanging="107"/>
        <w:spacing w:after="0" w:line="226" w:lineRule="auto"/>
        <w:tabs>
          <w:tab w:leader="none" w:pos="120"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Total and United States includes proved undeveloped reserves of 0.8 BCF attributable to the noncontrolling interest in MP GOM.</w:t>
      </w:r>
    </w:p>
    <w:p>
      <w:pPr>
        <w:spacing w:after="0" w:line="30" w:lineRule="exact"/>
        <w:rPr>
          <w:sz w:val="20"/>
          <w:szCs w:val="20"/>
          <w:color w:val="auto"/>
        </w:rPr>
      </w:pPr>
    </w:p>
    <w:p>
      <w:pPr>
        <w:ind w:left="160" w:hanging="147"/>
        <w:spacing w:after="0" w:line="217" w:lineRule="auto"/>
        <w:tabs>
          <w:tab w:leader="none" w:pos="109"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Includes proved natural gas reserves to be consumed in operations as fuel of 67.9 BCF, 36.0 BCF and 2.8 BCF for the U.S., Canada and Other, respectively, with 1.1 BCF attributable to the noncontrolling interest in MP GOM.</w:t>
      </w:r>
    </w:p>
    <w:p>
      <w:pPr>
        <w:ind w:left="100" w:hanging="93"/>
        <w:spacing w:after="0" w:line="225" w:lineRule="auto"/>
        <w:tabs>
          <w:tab w:leader="none" w:pos="100" w:val="left"/>
        </w:tabs>
        <w:numPr>
          <w:ilvl w:val="0"/>
          <w:numId w:val="61"/>
        </w:numPr>
        <w:rPr>
          <w:rFonts w:ascii="Arial" w:cs="Arial" w:eastAsia="Arial" w:hAnsi="Arial"/>
          <w:sz w:val="21"/>
          <w:szCs w:val="21"/>
          <w:color w:val="auto"/>
          <w:vertAlign w:val="superscript"/>
        </w:rPr>
      </w:pPr>
      <w:r>
        <w:rPr>
          <w:rFonts w:ascii="Arial" w:cs="Arial" w:eastAsia="Arial" w:hAnsi="Arial"/>
          <w:sz w:val="16"/>
          <w:szCs w:val="16"/>
          <w:color w:val="auto"/>
        </w:rPr>
        <w:t>Totals within the tables may not add as a result of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940"/>
        <w:spacing w:after="0" w:line="287"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rPr>
          <w:sz w:val="20"/>
          <w:szCs w:val="20"/>
          <w:color w:val="auto"/>
        </w:rPr>
      </w:pPr>
      <w:r>
        <w:rPr>
          <w:rFonts w:ascii="Arial" w:cs="Arial" w:eastAsia="Arial" w:hAnsi="Arial"/>
          <w:sz w:val="18"/>
          <w:szCs w:val="18"/>
          <w:b w:val="1"/>
          <w:bCs w:val="1"/>
          <w:color w:val="auto"/>
        </w:rPr>
        <w:t>Schedule 4 – Summary of Proved Natural Gas Reserves Based on Average Prices for 2021 – 2024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Comments for Proved Natural Gas Reserves Changes</w:t>
      </w:r>
    </w:p>
    <w:p>
      <w:pPr>
        <w:spacing w:after="0" w:line="16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The natural gas reserves revisions in 2024 resulted predominantly from performance adjustments in Tupper</w:t>
      </w:r>
      <w:r>
        <w:rPr>
          <w:rFonts w:ascii="Arial" w:cs="Arial" w:eastAsia="Arial" w:hAnsi="Arial"/>
          <w:sz w:val="18"/>
          <w:szCs w:val="18"/>
          <w:i w:val="1"/>
          <w:iCs w:val="1"/>
          <w:color w:val="auto"/>
        </w:rPr>
        <w:t xml:space="preserve"> </w:t>
      </w:r>
      <w:r>
        <w:rPr>
          <w:rFonts w:ascii="Arial" w:cs="Arial" w:eastAsia="Arial" w:hAnsi="Arial"/>
          <w:sz w:val="18"/>
          <w:szCs w:val="18"/>
          <w:color w:val="auto"/>
        </w:rPr>
        <w:t>Montney and Eagle Ford Shale, and positive revisions due to reduced royalty rates and delayed royalty incentive payouts resulting from lower commodity prices in Tupper Montney.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Proved natural gas reserves were added in 2024 for the non-operated St. Malo waterflood in the Gulf of America.</w:t>
      </w:r>
    </w:p>
    <w:p>
      <w:pPr>
        <w:spacing w:after="0" w:line="114"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2024, proved natural gas reserves were added for drilling activities predominantly in Tupper Montney and</w:t>
      </w:r>
      <w:r>
        <w:rPr>
          <w:rFonts w:ascii="Arial" w:cs="Arial" w:eastAsia="Arial" w:hAnsi="Arial"/>
          <w:sz w:val="18"/>
          <w:szCs w:val="18"/>
          <w:i w:val="1"/>
          <w:iCs w:val="1"/>
          <w:color w:val="auto"/>
        </w:rPr>
        <w:t xml:space="preserve"> </w:t>
      </w:r>
      <w:r>
        <w:rPr>
          <w:rFonts w:ascii="Arial" w:cs="Arial" w:eastAsia="Arial" w:hAnsi="Arial"/>
          <w:sz w:val="18"/>
          <w:szCs w:val="18"/>
          <w:color w:val="auto"/>
        </w:rPr>
        <w:t>Eagle Ford Shale.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Comments for Proved Natural Gas Reserves Changes</w:t>
      </w:r>
    </w:p>
    <w:p>
      <w:pPr>
        <w:spacing w:after="0" w:line="1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The negative natural gas reserves revisions in 2023 resulted predominantly from lower commodity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 and performance adjustments in Tupper Montney and Eagle Ford Shale. These negative revisions were partially offset by positive revisions in the Gulf of America, as well as reduced royalty rates and delayed royalty incentive payouts resulting from lower commodity prices in Tupper Montney.</w:t>
      </w:r>
    </w:p>
    <w:p>
      <w:pPr>
        <w:spacing w:after="0" w:line="75"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In 2023, proved natural gas reserves were added for drilling and expansion activities predominantly in Tupper</w:t>
      </w:r>
      <w:r>
        <w:rPr>
          <w:rFonts w:ascii="Arial" w:cs="Arial" w:eastAsia="Arial" w:hAnsi="Arial"/>
          <w:sz w:val="18"/>
          <w:szCs w:val="18"/>
          <w:i w:val="1"/>
          <w:iCs w:val="1"/>
          <w:color w:val="auto"/>
        </w:rPr>
        <w:t xml:space="preserve"> </w:t>
      </w:r>
      <w:r>
        <w:rPr>
          <w:rFonts w:ascii="Arial" w:cs="Arial" w:eastAsia="Arial" w:hAnsi="Arial"/>
          <w:sz w:val="18"/>
          <w:szCs w:val="18"/>
          <w:color w:val="auto"/>
        </w:rPr>
        <w:t>Montney.</w:t>
      </w:r>
    </w:p>
    <w:p>
      <w:pPr>
        <w:spacing w:after="0" w:line="5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i w:val="1"/>
          <w:iCs w:val="1"/>
          <w:color w:val="auto"/>
        </w:rPr>
        <w:t xml:space="preserve">Purchases and sales of properties </w:t>
      </w:r>
      <w:r>
        <w:rPr>
          <w:rFonts w:ascii="Arial" w:cs="Arial" w:eastAsia="Arial" w:hAnsi="Arial"/>
          <w:sz w:val="18"/>
          <w:szCs w:val="18"/>
          <w:color w:val="auto"/>
        </w:rPr>
        <w:t>- In 2023, the Company divested a portion of its working interest in the Kaybob Duvernay and all of its non-operated Placid Montney assets.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Comments for Proved Natural Gas Reserves Changes</w:t>
      </w:r>
    </w:p>
    <w:p>
      <w:pPr>
        <w:spacing w:after="0" w:line="209" w:lineRule="exact"/>
        <w:rPr>
          <w:sz w:val="20"/>
          <w:szCs w:val="20"/>
          <w:color w:val="auto"/>
        </w:rPr>
      </w:pPr>
    </w:p>
    <w:p>
      <w:pPr>
        <w:spacing w:after="0" w:line="278" w:lineRule="auto"/>
        <w:rPr>
          <w:sz w:val="20"/>
          <w:szCs w:val="20"/>
          <w:color w:val="auto"/>
        </w:rPr>
      </w:pPr>
      <w:r>
        <w:rPr>
          <w:rFonts w:ascii="Arial" w:cs="Arial" w:eastAsia="Arial" w:hAnsi="Arial"/>
          <w:sz w:val="18"/>
          <w:szCs w:val="18"/>
          <w:i w:val="1"/>
          <w:iCs w:val="1"/>
          <w:color w:val="auto"/>
        </w:rPr>
        <w:t xml:space="preserve">Revisions of previous estimates - </w:t>
      </w:r>
      <w:r>
        <w:rPr>
          <w:rFonts w:ascii="Arial" w:cs="Arial" w:eastAsia="Arial" w:hAnsi="Arial"/>
          <w:sz w:val="18"/>
          <w:szCs w:val="18"/>
          <w:color w:val="auto"/>
        </w:rPr>
        <w:t>The negative natural gas reserves revisions in 2022 resulted predominantly from increased royalty rates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royalty incentive payouts due to higher commodity prices in Tupper Montney.</w:t>
      </w:r>
    </w:p>
    <w:p>
      <w:pPr>
        <w:spacing w:after="0" w:line="55"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i w:val="1"/>
          <w:iCs w:val="1"/>
          <w:color w:val="auto"/>
        </w:rPr>
        <w:t xml:space="preserve">Extensions and discoveries - </w:t>
      </w:r>
      <w:r>
        <w:rPr>
          <w:rFonts w:ascii="Arial" w:cs="Arial" w:eastAsia="Arial" w:hAnsi="Arial"/>
          <w:sz w:val="18"/>
          <w:szCs w:val="18"/>
          <w:color w:val="auto"/>
        </w:rPr>
        <w:t>In 2022, proved natural gas reserves were added for drilling and expansion activities predominantly in Tupper</w:t>
      </w:r>
      <w:r>
        <w:rPr>
          <w:rFonts w:ascii="Arial" w:cs="Arial" w:eastAsia="Arial" w:hAnsi="Arial"/>
          <w:sz w:val="18"/>
          <w:szCs w:val="18"/>
          <w:i w:val="1"/>
          <w:iCs w:val="1"/>
          <w:color w:val="auto"/>
        </w:rPr>
        <w:t xml:space="preserve"> </w:t>
      </w:r>
      <w:r>
        <w:rPr>
          <w:rFonts w:ascii="Arial" w:cs="Arial" w:eastAsia="Arial" w:hAnsi="Arial"/>
          <w:sz w:val="18"/>
          <w:szCs w:val="18"/>
          <w:color w:val="auto"/>
        </w:rPr>
        <w:t>Montney, as well as in the Gulf of America and Eagle Ford Shale.</w:t>
      </w:r>
    </w:p>
    <w:p>
      <w:pPr>
        <w:spacing w:after="0" w:line="55"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i w:val="1"/>
          <w:iCs w:val="1"/>
          <w:color w:val="auto"/>
        </w:rPr>
        <w:t xml:space="preserve">Purchases and sales of properties - </w:t>
      </w:r>
      <w:r>
        <w:rPr>
          <w:rFonts w:ascii="Arial" w:cs="Arial" w:eastAsia="Arial" w:hAnsi="Arial"/>
          <w:sz w:val="18"/>
          <w:szCs w:val="18"/>
          <w:color w:val="auto"/>
        </w:rPr>
        <w:t>In 2022, the Company acquired incremental working interests in two producing fields in the Gulf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 divested certain working interests in the Gulf of America and Eagle Ford Shale.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980"/>
        <w:spacing w:after="0" w:line="273"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5 – Costs Incurred in Oil and Gas Property Acquisition, Exploration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United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3"/>
          </w:tcPr>
          <w:p>
            <w:pPr>
              <w:ind w:left="20"/>
              <w:spacing w:after="0" w:line="201" w:lineRule="exact"/>
              <w:rPr>
                <w:sz w:val="20"/>
                <w:szCs w:val="20"/>
                <w:color w:val="auto"/>
              </w:rPr>
            </w:pPr>
            <w:r>
              <w:rPr>
                <w:rFonts w:ascii="Arial" w:cs="Arial" w:eastAsia="Arial" w:hAnsi="Arial"/>
                <w:sz w:val="18"/>
                <w:szCs w:val="18"/>
                <w:i w:val="1"/>
                <w:iCs w:val="1"/>
                <w:color w:val="auto"/>
              </w:rPr>
              <w:t>(Millions of dollars)</w:t>
            </w:r>
          </w:p>
        </w:tc>
        <w:tc>
          <w:tcPr>
            <w:tcW w:w="260" w:type="dxa"/>
            <w:vAlign w:val="bottom"/>
          </w:tcPr>
          <w:p>
            <w:pPr>
              <w:spacing w:after="0"/>
              <w:rPr>
                <w:sz w:val="17"/>
                <w:szCs w:val="17"/>
                <w:color w:val="auto"/>
              </w:rPr>
            </w:pPr>
          </w:p>
        </w:tc>
        <w:tc>
          <w:tcPr>
            <w:tcW w:w="11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States</w:t>
            </w:r>
          </w:p>
        </w:tc>
        <w:tc>
          <w:tcPr>
            <w:tcW w:w="240" w:type="dxa"/>
            <w:vAlign w:val="bottom"/>
          </w:tcPr>
          <w:p>
            <w:pPr>
              <w:spacing w:after="0"/>
              <w:rPr>
                <w:sz w:val="17"/>
                <w:szCs w:val="17"/>
                <w:color w:val="auto"/>
              </w:rPr>
            </w:pPr>
          </w:p>
        </w:tc>
        <w:tc>
          <w:tcPr>
            <w:tcW w:w="12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Canada</w:t>
            </w:r>
          </w:p>
        </w:tc>
        <w:tc>
          <w:tcPr>
            <w:tcW w:w="280" w:type="dxa"/>
            <w:vAlign w:val="bottom"/>
          </w:tcPr>
          <w:p>
            <w:pPr>
              <w:spacing w:after="0"/>
              <w:rPr>
                <w:sz w:val="17"/>
                <w:szCs w:val="17"/>
                <w:color w:val="auto"/>
              </w:rPr>
            </w:pPr>
          </w:p>
        </w:tc>
        <w:tc>
          <w:tcPr>
            <w:tcW w:w="11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04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Property acquisition costs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Unproved</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380"/>
              <w:spacing w:after="0"/>
              <w:rPr>
                <w:sz w:val="20"/>
                <w:szCs w:val="20"/>
                <w:color w:val="auto"/>
              </w:rPr>
            </w:pPr>
            <w:r>
              <w:rPr>
                <w:rFonts w:ascii="Arial" w:cs="Arial" w:eastAsia="Arial" w:hAnsi="Arial"/>
                <w:sz w:val="18"/>
                <w:szCs w:val="18"/>
                <w:color w:val="auto"/>
              </w:rPr>
              <w:t>Proved</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0"/>
        </w:trPr>
        <w:tc>
          <w:tcPr>
            <w:tcW w:w="8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Total acquisition costs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Exploration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145.9</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781.5</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Total costs incurred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935.4</w:t>
            </w:r>
          </w:p>
        </w:tc>
        <w:tc>
          <w:tcPr>
            <w:tcW w:w="0" w:type="dxa"/>
            <w:vAlign w:val="bottom"/>
          </w:tcPr>
          <w:p>
            <w:pPr>
              <w:spacing w:after="0"/>
              <w:rPr>
                <w:sz w:val="1"/>
                <w:szCs w:val="1"/>
                <w:color w:val="auto"/>
              </w:rPr>
            </w:pPr>
          </w:p>
        </w:tc>
      </w:tr>
      <w:tr>
        <w:trPr>
          <w:trHeight w:val="20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Charged to expense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380"/>
              <w:spacing w:after="0"/>
              <w:rPr>
                <w:sz w:val="20"/>
                <w:szCs w:val="20"/>
                <w:color w:val="auto"/>
              </w:rPr>
            </w:pPr>
            <w:r>
              <w:rPr>
                <w:rFonts w:ascii="Arial" w:cs="Arial" w:eastAsia="Arial" w:hAnsi="Arial"/>
                <w:sz w:val="18"/>
                <w:szCs w:val="18"/>
                <w:color w:val="auto"/>
              </w:rPr>
              <w:t>Dry hole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73.2</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Geophysical and other costs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Total charged to expense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w:t>
            </w:r>
          </w:p>
        </w:tc>
        <w:tc>
          <w:tcPr>
            <w:tcW w:w="0" w:type="dxa"/>
            <w:vAlign w:val="bottom"/>
          </w:tcPr>
          <w:p>
            <w:pPr>
              <w:spacing w:after="0"/>
              <w:rPr>
                <w:sz w:val="1"/>
                <w:szCs w:val="1"/>
                <w:color w:val="auto"/>
              </w:rPr>
            </w:pPr>
          </w:p>
        </w:tc>
      </w:tr>
      <w:tr>
        <w:trPr>
          <w:trHeight w:val="245"/>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Property additions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Year ended December 31, 2023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acquisition costs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380"/>
              <w:spacing w:after="0"/>
              <w:rPr>
                <w:sz w:val="20"/>
                <w:szCs w:val="20"/>
                <w:color w:val="auto"/>
              </w:rPr>
            </w:pPr>
            <w:r>
              <w:rPr>
                <w:rFonts w:ascii="Arial" w:cs="Arial" w:eastAsia="Arial" w:hAnsi="Arial"/>
                <w:sz w:val="18"/>
                <w:szCs w:val="18"/>
                <w:color w:val="auto"/>
              </w:rPr>
              <w:t>Unproved</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Proved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Total acquisition costs</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Exploration costs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costs incurred</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0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Dry hole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27"/>
        </w:trPr>
        <w:tc>
          <w:tcPr>
            <w:tcW w:w="8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Geophysical and other costs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charged to expense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Property additions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2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Year ended December 31, 2022</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Property acquisition costs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Unproved</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380"/>
              <w:spacing w:after="0"/>
              <w:rPr>
                <w:sz w:val="20"/>
                <w:szCs w:val="20"/>
                <w:color w:val="auto"/>
              </w:rPr>
            </w:pPr>
            <w:r>
              <w:rPr>
                <w:rFonts w:ascii="Arial" w:cs="Arial" w:eastAsia="Arial" w:hAnsi="Arial"/>
                <w:sz w:val="18"/>
                <w:szCs w:val="18"/>
                <w:color w:val="auto"/>
              </w:rPr>
              <w:t>Proved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0"/>
        </w:trPr>
        <w:tc>
          <w:tcPr>
            <w:tcW w:w="80" w:type="dxa"/>
            <w:vAlign w:val="bottom"/>
            <w:tcBorders>
              <w:top w:val="single" w:sz="8" w:color="CCEEFF"/>
            </w:tcBorders>
            <w:shd w:val="clear" w:color="auto" w:fill="CCEEFF"/>
          </w:tcPr>
          <w:p>
            <w:pPr>
              <w:spacing w:after="0"/>
              <w:rPr>
                <w:sz w:val="19"/>
                <w:szCs w:val="19"/>
                <w:color w:val="auto"/>
              </w:rPr>
            </w:pPr>
          </w:p>
        </w:tc>
        <w:tc>
          <w:tcPr>
            <w:tcW w:w="5540" w:type="dxa"/>
            <w:vAlign w:val="bottom"/>
            <w:tcBorders>
              <w:top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Total acquisition costs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20"/>
        </w:trPr>
        <w:tc>
          <w:tcPr>
            <w:tcW w:w="5620" w:type="dxa"/>
            <w:vAlign w:val="bottom"/>
            <w:gridSpan w:val="3"/>
          </w:tcPr>
          <w:p>
            <w:pPr>
              <w:ind w:left="20"/>
              <w:spacing w:after="0"/>
              <w:rPr>
                <w:sz w:val="20"/>
                <w:szCs w:val="20"/>
                <w:color w:val="auto"/>
              </w:rPr>
            </w:pPr>
            <w:r>
              <w:rPr>
                <w:rFonts w:ascii="Arial" w:cs="Arial" w:eastAsia="Arial" w:hAnsi="Arial"/>
                <w:sz w:val="18"/>
                <w:szCs w:val="18"/>
                <w:color w:val="auto"/>
              </w:rPr>
              <w:t>Exploration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2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Total costs incurred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07"/>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Charged to expense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40" w:type="dxa"/>
            <w:vAlign w:val="bottom"/>
            <w:gridSpan w:val="2"/>
          </w:tcPr>
          <w:p>
            <w:pPr>
              <w:ind w:left="380"/>
              <w:spacing w:after="0"/>
              <w:rPr>
                <w:sz w:val="20"/>
                <w:szCs w:val="20"/>
                <w:color w:val="auto"/>
              </w:rPr>
            </w:pPr>
            <w:r>
              <w:rPr>
                <w:rFonts w:ascii="Arial" w:cs="Arial" w:eastAsia="Arial" w:hAnsi="Arial"/>
                <w:sz w:val="18"/>
                <w:szCs w:val="18"/>
                <w:color w:val="auto"/>
              </w:rPr>
              <w:t>Dry hole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Geophysical and other costs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0"/>
        </w:trPr>
        <w:tc>
          <w:tcPr>
            <w:tcW w:w="8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Total charged to expense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5"/>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Property additions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1,041.5</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960"/>
        <w:spacing w:after="0" w:line="290" w:lineRule="auto"/>
        <w:rPr>
          <w:sz w:val="20"/>
          <w:szCs w:val="20"/>
          <w:color w:val="auto"/>
        </w:rPr>
      </w:pPr>
      <w:r>
        <w:rPr>
          <w:rFonts w:ascii="Arial" w:cs="Arial" w:eastAsia="Arial" w:hAnsi="Arial"/>
          <w:sz w:val="17"/>
          <w:szCs w:val="17"/>
          <w:b w:val="1"/>
          <w:bCs w:val="1"/>
          <w:color w:val="auto"/>
        </w:rPr>
        <w:t xml:space="preserve">MURPHY OIL CORPORATION AND CONSOLIDATED SUBSIDIARIES SUPPLEMENTAL OIL AND GAS INFORMATION (UNAUDITED) – Continued Schedule 6 – Results of Operations for Oil and Gas Producing Activities </w:t>
      </w:r>
      <w:r>
        <w:rPr>
          <w:rFonts w:ascii="Arial" w:cs="Arial" w:eastAsia="Arial" w:hAnsi="Arial"/>
          <w:sz w:val="22"/>
          <w:szCs w:val="22"/>
          <w:b w:val="1"/>
          <w:bCs w:val="1"/>
          <w:color w:val="auto"/>
          <w:vertAlign w:val="superscript"/>
        </w:rPr>
        <w:t>1</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United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6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Millions of dollars</w:t>
            </w: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States</w:t>
            </w:r>
          </w:p>
        </w:tc>
        <w:tc>
          <w:tcPr>
            <w:tcW w:w="220" w:type="dxa"/>
            <w:vAlign w:val="bottom"/>
          </w:tcPr>
          <w:p>
            <w:pPr>
              <w:spacing w:after="0"/>
              <w:rPr>
                <w:sz w:val="17"/>
                <w:szCs w:val="17"/>
                <w:color w:val="auto"/>
              </w:rPr>
            </w:pPr>
          </w:p>
        </w:tc>
        <w:tc>
          <w:tcPr>
            <w:tcW w:w="12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Canada</w:t>
            </w:r>
          </w:p>
        </w:tc>
        <w:tc>
          <w:tcPr>
            <w:tcW w:w="280" w:type="dxa"/>
            <w:vAlign w:val="bottom"/>
          </w:tcPr>
          <w:p>
            <w:pPr>
              <w:spacing w:after="0"/>
              <w:rPr>
                <w:sz w:val="17"/>
                <w:szCs w:val="17"/>
                <w:color w:val="auto"/>
              </w:rPr>
            </w:pPr>
          </w:p>
        </w:tc>
        <w:tc>
          <w:tcPr>
            <w:tcW w:w="11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104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Total</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Crude oil and natural gas liquids sales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2,714.9</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Natural gas sales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of purchased natural gas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r>
      <w:tr>
        <w:trPr>
          <w:trHeight w:val="220"/>
        </w:trPr>
        <w:tc>
          <w:tcPr>
            <w:tcW w:w="80" w:type="dxa"/>
            <w:vAlign w:val="bottom"/>
          </w:tcPr>
          <w:p>
            <w:pPr>
              <w:spacing w:after="0"/>
              <w:rPr>
                <w:sz w:val="19"/>
                <w:szCs w:val="19"/>
                <w:color w:val="auto"/>
              </w:rPr>
            </w:pPr>
          </w:p>
        </w:tc>
        <w:tc>
          <w:tcPr>
            <w:tcW w:w="5520" w:type="dxa"/>
            <w:vAlign w:val="bottom"/>
            <w:gridSpan w:val="2"/>
          </w:tcPr>
          <w:p>
            <w:pPr>
              <w:ind w:left="580"/>
              <w:spacing w:after="0"/>
              <w:rPr>
                <w:sz w:val="20"/>
                <w:szCs w:val="20"/>
                <w:color w:val="auto"/>
              </w:rPr>
            </w:pPr>
            <w:r>
              <w:rPr>
                <w:rFonts w:ascii="Arial" w:cs="Arial" w:eastAsia="Arial" w:hAnsi="Arial"/>
                <w:sz w:val="18"/>
                <w:szCs w:val="18"/>
                <w:color w:val="auto"/>
              </w:rPr>
              <w:t>Total oil and natural gas revenues</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2,503.8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3,018.6</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revenues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r>
      <w:tr>
        <w:trPr>
          <w:trHeight w:val="220"/>
        </w:trPr>
        <w:tc>
          <w:tcPr>
            <w:tcW w:w="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5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3,024.5</w:t>
            </w:r>
          </w:p>
        </w:tc>
      </w:tr>
      <w:tr>
        <w:trPr>
          <w:trHeight w:val="20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Lease operating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937.0</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Severance and ad valorem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Transportation, gathering and processing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210.8</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Costs of purchased natural gas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Exploration costs charged to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123.9</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Undeveloped lease amortization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856.9</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Impairment of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62.9</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and general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r>
      <w:tr>
        <w:trPr>
          <w:trHeight w:val="227"/>
        </w:trPr>
        <w:tc>
          <w:tcPr>
            <w:tcW w:w="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expenses (benefits)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r>
      <w:tr>
        <w:trPr>
          <w:trHeight w:val="220"/>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2,319.9</w:t>
            </w:r>
          </w:p>
        </w:tc>
      </w:tr>
      <w:tr>
        <w:trPr>
          <w:trHeight w:val="220"/>
        </w:trPr>
        <w:tc>
          <w:tcPr>
            <w:tcW w:w="80" w:type="dxa"/>
            <w:vAlign w:val="bottom"/>
          </w:tcPr>
          <w:p>
            <w:pPr>
              <w:spacing w:after="0"/>
              <w:rPr>
                <w:sz w:val="19"/>
                <w:szCs w:val="19"/>
                <w:color w:val="auto"/>
              </w:rPr>
            </w:pPr>
          </w:p>
        </w:tc>
        <w:tc>
          <w:tcPr>
            <w:tcW w:w="5520" w:type="dxa"/>
            <w:vAlign w:val="bottom"/>
            <w:gridSpan w:val="2"/>
          </w:tcPr>
          <w:p>
            <w:pPr>
              <w:ind w:left="580"/>
              <w:spacing w:after="0"/>
              <w:rPr>
                <w:sz w:val="20"/>
                <w:szCs w:val="20"/>
                <w:color w:val="auto"/>
              </w:rPr>
            </w:pPr>
            <w:r>
              <w:rPr>
                <w:rFonts w:ascii="Arial" w:cs="Arial" w:eastAsia="Arial" w:hAnsi="Arial"/>
                <w:sz w:val="18"/>
                <w:szCs w:val="18"/>
                <w:color w:val="auto"/>
              </w:rPr>
              <w:t>Results of operations before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704.6</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w:t>
            </w:r>
          </w:p>
        </w:tc>
      </w:tr>
      <w:tr>
        <w:trPr>
          <w:trHeight w:val="220"/>
        </w:trPr>
        <w:tc>
          <w:tcPr>
            <w:tcW w:w="80" w:type="dxa"/>
            <w:vAlign w:val="bottom"/>
          </w:tcPr>
          <w:p>
            <w:pPr>
              <w:spacing w:after="0"/>
              <w:rPr>
                <w:sz w:val="19"/>
                <w:szCs w:val="19"/>
                <w:color w:val="auto"/>
              </w:rPr>
            </w:pPr>
          </w:p>
        </w:tc>
        <w:tc>
          <w:tcPr>
            <w:tcW w:w="5520" w:type="dxa"/>
            <w:vAlign w:val="bottom"/>
            <w:gridSpan w:val="2"/>
          </w:tcPr>
          <w:p>
            <w:pPr>
              <w:ind w:left="580"/>
              <w:spacing w:after="0"/>
              <w:rPr>
                <w:sz w:val="20"/>
                <w:szCs w:val="20"/>
                <w:color w:val="auto"/>
              </w:rPr>
            </w:pPr>
            <w:r>
              <w:rPr>
                <w:rFonts w:ascii="Arial" w:cs="Arial" w:eastAsia="Arial" w:hAnsi="Arial"/>
                <w:sz w:val="18"/>
                <w:szCs w:val="18"/>
                <w:color w:val="auto"/>
              </w:rPr>
              <w:t>Results of operations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598.4</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4"/>
        </w:trPr>
        <w:tc>
          <w:tcPr>
            <w:tcW w:w="560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Year ended December 31, 2023</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7"/>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Crude oil and natural gas liquids sales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Natural gas sales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370.9</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of purchased natural gas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20"/>
        </w:trPr>
        <w:tc>
          <w:tcPr>
            <w:tcW w:w="80" w:type="dxa"/>
            <w:vAlign w:val="bottom"/>
          </w:tcPr>
          <w:p>
            <w:pPr>
              <w:spacing w:after="0"/>
              <w:rPr>
                <w:sz w:val="19"/>
                <w:szCs w:val="19"/>
                <w:color w:val="auto"/>
              </w:rPr>
            </w:pPr>
          </w:p>
        </w:tc>
        <w:tc>
          <w:tcPr>
            <w:tcW w:w="5520" w:type="dxa"/>
            <w:vAlign w:val="bottom"/>
            <w:gridSpan w:val="2"/>
          </w:tcPr>
          <w:p>
            <w:pPr>
              <w:ind w:left="580"/>
              <w:spacing w:after="0"/>
              <w:rPr>
                <w:sz w:val="20"/>
                <w:szCs w:val="20"/>
                <w:color w:val="auto"/>
              </w:rPr>
            </w:pPr>
            <w:r>
              <w:rPr>
                <w:rFonts w:ascii="Arial" w:cs="Arial" w:eastAsia="Arial" w:hAnsi="Arial"/>
                <w:sz w:val="18"/>
                <w:szCs w:val="18"/>
                <w:color w:val="auto"/>
              </w:rPr>
              <w:t>Total oil and natural gas revenues</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3,448.9</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revenues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0"/>
        </w:trPr>
        <w:tc>
          <w:tcPr>
            <w:tcW w:w="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5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3,456.8</w:t>
            </w:r>
          </w:p>
        </w:tc>
      </w:tr>
      <w:tr>
        <w:trPr>
          <w:trHeight w:val="20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Lease operating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784.4</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Severance and ad valorem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Transportation, gathering and processing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Costs of purchased natural gas</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Exploration costs charged to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Undeveloped lease amortization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850.5</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Selling and general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0"/>
        </w:trPr>
        <w:tc>
          <w:tcPr>
            <w:tcW w:w="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5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2,337.8</w:t>
            </w:r>
          </w:p>
        </w:tc>
      </w:tr>
      <w:tr>
        <w:trPr>
          <w:trHeight w:val="220"/>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Results of operations before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r>
      <w:tr>
        <w:trPr>
          <w:trHeight w:val="227"/>
        </w:trPr>
        <w:tc>
          <w:tcPr>
            <w:tcW w:w="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55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Results of operations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80" w:hanging="167"/>
        <w:spacing w:after="0"/>
        <w:tabs>
          <w:tab w:leader="none" w:pos="180" w:val="left"/>
        </w:tabs>
        <w:numPr>
          <w:ilvl w:val="0"/>
          <w:numId w:val="62"/>
        </w:numPr>
        <w:rPr>
          <w:rFonts w:ascii="Arial" w:cs="Arial" w:eastAsia="Arial" w:hAnsi="Arial"/>
          <w:sz w:val="21"/>
          <w:szCs w:val="21"/>
          <w:color w:val="auto"/>
          <w:vertAlign w:val="superscript"/>
        </w:rPr>
      </w:pPr>
      <w:r>
        <w:rPr>
          <w:rFonts w:ascii="Arial" w:cs="Arial" w:eastAsia="Arial" w:hAnsi="Arial"/>
          <w:sz w:val="16"/>
          <w:szCs w:val="16"/>
          <w:color w:val="auto"/>
        </w:rPr>
        <w:t>Results exclude corporate overhead, interest and discontinued operations. Results include noncontrolling interest in MP GOM.</w:t>
      </w:r>
    </w:p>
    <w:p>
      <w:pPr>
        <w:sectPr>
          <w:pgSz w:w="11900" w:h="16838" w:orient="portrait"/>
          <w:cols w:equalWidth="0" w:num="1">
            <w:col w:w="11220"/>
          </w:cols>
          <w:pgMar w:left="320" w:top="230" w:right="3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152400</wp:posOffset>
            </wp:positionV>
            <wp:extent cx="71589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GAS INFORMATION (UNAUDITED) – Continued</w:t>
      </w:r>
    </w:p>
    <w:p>
      <w:pPr>
        <w:spacing w:after="0"/>
        <w:rPr>
          <w:sz w:val="20"/>
          <w:szCs w:val="20"/>
          <w:color w:val="auto"/>
        </w:rPr>
      </w:pPr>
      <w:r>
        <w:rPr>
          <w:rFonts w:ascii="Arial" w:cs="Arial" w:eastAsia="Arial" w:hAnsi="Arial"/>
          <w:sz w:val="18"/>
          <w:szCs w:val="18"/>
          <w:b w:val="1"/>
          <w:bCs w:val="1"/>
          <w:color w:val="auto"/>
        </w:rPr>
        <w:t xml:space="preserve">Schedule 6 – Results of Operations for Oil and Gas Producing Activities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United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Millions of dollars</w:t>
            </w: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States</w:t>
            </w:r>
          </w:p>
        </w:tc>
        <w:tc>
          <w:tcPr>
            <w:tcW w:w="220" w:type="dxa"/>
            <w:vAlign w:val="bottom"/>
          </w:tcPr>
          <w:p>
            <w:pPr>
              <w:spacing w:after="0"/>
              <w:rPr>
                <w:sz w:val="17"/>
                <w:szCs w:val="17"/>
                <w:color w:val="auto"/>
              </w:rPr>
            </w:pPr>
          </w:p>
        </w:tc>
        <w:tc>
          <w:tcPr>
            <w:tcW w:w="12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Canada</w:t>
            </w:r>
          </w:p>
        </w:tc>
        <w:tc>
          <w:tcPr>
            <w:tcW w:w="280" w:type="dxa"/>
            <w:vAlign w:val="bottom"/>
          </w:tcPr>
          <w:p>
            <w:pPr>
              <w:spacing w:after="0"/>
              <w:rPr>
                <w:sz w:val="17"/>
                <w:szCs w:val="17"/>
                <w:color w:val="auto"/>
              </w:rPr>
            </w:pPr>
          </w:p>
        </w:tc>
        <w:tc>
          <w:tcPr>
            <w:tcW w:w="11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104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56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Crude oil and natural gas liquids sales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3,210.3</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3,500.6</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gas sales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Sales of purchased natural gas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0"/>
        </w:trPr>
        <w:tc>
          <w:tcPr>
            <w:tcW w:w="80" w:type="dxa"/>
            <w:vAlign w:val="bottom"/>
            <w:tcBorders>
              <w:top w:val="single" w:sz="8" w:color="CCEEFF"/>
            </w:tcBorders>
            <w:shd w:val="clear" w:color="auto" w:fill="CCEEFF"/>
          </w:tcPr>
          <w:p>
            <w:pPr>
              <w:spacing w:after="0"/>
              <w:rPr>
                <w:sz w:val="19"/>
                <w:szCs w:val="19"/>
                <w:color w:val="auto"/>
              </w:rPr>
            </w:pPr>
          </w:p>
        </w:tc>
        <w:tc>
          <w:tcPr>
            <w:tcW w:w="5520" w:type="dxa"/>
            <w:vAlign w:val="bottom"/>
            <w:tcBorders>
              <w:top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Total oil and natural gas revenues</w:t>
            </w: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4,220.2</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Other operating revenues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0"/>
        </w:trPr>
        <w:tc>
          <w:tcPr>
            <w:tcW w:w="80" w:type="dxa"/>
            <w:vAlign w:val="bottom"/>
            <w:tcBorders>
              <w:top w:val="single" w:sz="8" w:color="CCEEFF"/>
            </w:tcBorders>
            <w:shd w:val="clear" w:color="auto" w:fill="CCEEFF"/>
          </w:tcPr>
          <w:p>
            <w:pPr>
              <w:spacing w:after="0"/>
              <w:rPr>
                <w:sz w:val="19"/>
                <w:szCs w:val="19"/>
                <w:color w:val="auto"/>
              </w:rPr>
            </w:pPr>
          </w:p>
        </w:tc>
        <w:tc>
          <w:tcPr>
            <w:tcW w:w="5520" w:type="dxa"/>
            <w:vAlign w:val="bottom"/>
            <w:tcBorders>
              <w:top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4,246.9</w:t>
            </w:r>
          </w:p>
        </w:tc>
        <w:tc>
          <w:tcPr>
            <w:tcW w:w="0" w:type="dxa"/>
            <w:vAlign w:val="bottom"/>
          </w:tcPr>
          <w:p>
            <w:pPr>
              <w:spacing w:after="0"/>
              <w:rPr>
                <w:sz w:val="1"/>
                <w:szCs w:val="1"/>
                <w:color w:val="auto"/>
              </w:rPr>
            </w:pPr>
          </w:p>
        </w:tc>
      </w:tr>
      <w:tr>
        <w:trPr>
          <w:trHeight w:val="207"/>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Severance and ad valorem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Transportation, gathering and processing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Costs of purchased natural gas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Exploration costs charged to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Undeveloped lease amortization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and general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7"/>
        </w:trPr>
        <w:tc>
          <w:tcPr>
            <w:tcW w:w="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2,250.5</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5520" w:type="dxa"/>
            <w:vAlign w:val="bottom"/>
            <w:gridSpan w:val="2"/>
          </w:tcPr>
          <w:p>
            <w:pPr>
              <w:ind w:left="580"/>
              <w:spacing w:after="0"/>
              <w:rPr>
                <w:sz w:val="20"/>
                <w:szCs w:val="20"/>
                <w:color w:val="auto"/>
              </w:rPr>
            </w:pPr>
            <w:r>
              <w:rPr>
                <w:rFonts w:ascii="Arial" w:cs="Arial" w:eastAsia="Arial" w:hAnsi="Arial"/>
                <w:sz w:val="18"/>
                <w:szCs w:val="18"/>
                <w:color w:val="auto"/>
              </w:rPr>
              <w:t>Results of operations before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1,996.4</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5520" w:type="dxa"/>
            <w:vAlign w:val="bottom"/>
            <w:gridSpan w:val="2"/>
          </w:tcPr>
          <w:p>
            <w:pPr>
              <w:ind w:left="580"/>
              <w:spacing w:after="0"/>
              <w:rPr>
                <w:sz w:val="20"/>
                <w:szCs w:val="20"/>
                <w:color w:val="auto"/>
              </w:rPr>
            </w:pPr>
            <w:r>
              <w:rPr>
                <w:rFonts w:ascii="Arial" w:cs="Arial" w:eastAsia="Arial" w:hAnsi="Arial"/>
                <w:sz w:val="18"/>
                <w:szCs w:val="18"/>
                <w:color w:val="auto"/>
              </w:rPr>
              <w:t>Results of operations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80" w:hanging="167"/>
        <w:spacing w:after="0"/>
        <w:tabs>
          <w:tab w:leader="none" w:pos="180"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Results exclude corporate overhead, interest and discontinued operations. Results include noncontrolling interest in MP GOM.</w:t>
      </w:r>
    </w:p>
    <w:p>
      <w:pPr>
        <w:spacing w:after="0" w:line="200" w:lineRule="exact"/>
        <w:rPr>
          <w:rFonts w:ascii="Arial" w:cs="Arial" w:eastAsia="Arial" w:hAnsi="Arial"/>
          <w:sz w:val="21"/>
          <w:szCs w:val="21"/>
          <w:color w:val="auto"/>
          <w:vertAlign w:val="superscript"/>
        </w:rPr>
      </w:pPr>
    </w:p>
    <w:p>
      <w:pPr>
        <w:spacing w:after="0" w:line="294" w:lineRule="exact"/>
        <w:rPr>
          <w:rFonts w:ascii="Arial" w:cs="Arial" w:eastAsia="Arial" w:hAnsi="Arial"/>
          <w:sz w:val="21"/>
          <w:szCs w:val="21"/>
          <w:color w:val="auto"/>
          <w:vertAlign w:val="superscript"/>
        </w:rPr>
      </w:pPr>
    </w:p>
    <w:p>
      <w:pPr>
        <w:ind w:left="5480"/>
        <w:spacing w:after="0"/>
        <w:rPr>
          <w:rFonts w:ascii="Arial" w:cs="Arial" w:eastAsia="Arial" w:hAnsi="Arial"/>
          <w:sz w:val="21"/>
          <w:szCs w:val="21"/>
          <w:color w:val="auto"/>
          <w:vertAlign w:val="superscript"/>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GAS INFORMATION (UNAUDITED) – Continued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7 – Standardized Measure of Discounted Future Net Cash Flows Relating to</w:t>
      </w:r>
    </w:p>
    <w:p>
      <w:pPr>
        <w:spacing w:after="0"/>
        <w:rPr>
          <w:sz w:val="20"/>
          <w:szCs w:val="20"/>
          <w:color w:val="auto"/>
        </w:rPr>
      </w:pPr>
      <w:r>
        <w:rPr>
          <w:rFonts w:ascii="Arial" w:cs="Arial" w:eastAsia="Arial" w:hAnsi="Arial"/>
          <w:sz w:val="18"/>
          <w:szCs w:val="18"/>
          <w:b w:val="1"/>
          <w:bCs w:val="1"/>
          <w:color w:val="auto"/>
        </w:rPr>
        <w:t xml:space="preserve">Proved Oil and Gas Reserves </w:t>
      </w:r>
      <w:r>
        <w:rPr>
          <w:rFonts w:ascii="Arial" w:cs="Arial" w:eastAsia="Arial" w:hAnsi="Arial"/>
          <w:sz w:val="23"/>
          <w:szCs w:val="23"/>
          <w:b w:val="1"/>
          <w:bCs w:val="1"/>
          <w:color w:val="auto"/>
          <w:vertAlign w:val="superscript"/>
        </w:rPr>
        <w:t>1</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United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Millions of dollars</w:t>
            </w: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States</w:t>
            </w:r>
          </w:p>
        </w:tc>
        <w:tc>
          <w:tcPr>
            <w:tcW w:w="220" w:type="dxa"/>
            <w:vAlign w:val="bottom"/>
          </w:tcPr>
          <w:p>
            <w:pPr>
              <w:spacing w:after="0"/>
              <w:rPr>
                <w:sz w:val="17"/>
                <w:szCs w:val="17"/>
                <w:color w:val="auto"/>
              </w:rPr>
            </w:pPr>
          </w:p>
        </w:tc>
        <w:tc>
          <w:tcPr>
            <w:tcW w:w="1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Canada</w:t>
            </w:r>
          </w:p>
        </w:tc>
        <w:tc>
          <w:tcPr>
            <w:tcW w:w="280" w:type="dxa"/>
            <w:vAlign w:val="bottom"/>
          </w:tcPr>
          <w:p>
            <w:pPr>
              <w:spacing w:after="0"/>
              <w:rPr>
                <w:sz w:val="17"/>
                <w:szCs w:val="17"/>
                <w:color w:val="auto"/>
              </w:rPr>
            </w:pPr>
          </w:p>
        </w:tc>
        <w:tc>
          <w:tcPr>
            <w:tcW w:w="11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040" w:type="dxa"/>
            <w:vAlign w:val="bottom"/>
          </w:tcPr>
          <w:p>
            <w:pPr>
              <w:jc w:val="right"/>
              <w:ind w:right="391"/>
              <w:spacing w:after="0" w:line="201"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December 31, 2024</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60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18,118.1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25,435.4</w:t>
            </w:r>
          </w:p>
        </w:tc>
        <w:tc>
          <w:tcPr>
            <w:tcW w:w="0" w:type="dxa"/>
            <w:vAlign w:val="bottom"/>
          </w:tcPr>
          <w:p>
            <w:pPr>
              <w:spacing w:after="0"/>
              <w:rPr>
                <w:sz w:val="1"/>
                <w:szCs w:val="1"/>
                <w:color w:val="auto"/>
              </w:rPr>
            </w:pPr>
          </w:p>
        </w:tc>
      </w:tr>
      <w:tr>
        <w:trPr>
          <w:trHeight w:val="227"/>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Future development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(825.9)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(3,103.3)</w:t>
            </w:r>
          </w:p>
        </w:tc>
        <w:tc>
          <w:tcPr>
            <w:tcW w:w="0" w:type="dxa"/>
            <w:vAlign w:val="bottom"/>
          </w:tcPr>
          <w:p>
            <w:pPr>
              <w:spacing w:after="0"/>
              <w:rPr>
                <w:sz w:val="1"/>
                <w:szCs w:val="1"/>
                <w:color w:val="auto"/>
              </w:rPr>
            </w:pPr>
          </w:p>
        </w:tc>
      </w:tr>
      <w:tr>
        <w:trPr>
          <w:trHeight w:val="22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Future production costs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(12,013.9)</w:t>
            </w:r>
          </w:p>
        </w:tc>
        <w:tc>
          <w:tcPr>
            <w:tcW w:w="0" w:type="dxa"/>
            <w:vAlign w:val="bottom"/>
          </w:tcPr>
          <w:p>
            <w:pPr>
              <w:spacing w:after="0"/>
              <w:rPr>
                <w:sz w:val="1"/>
                <w:szCs w:val="1"/>
                <w:color w:val="auto"/>
              </w:rPr>
            </w:pPr>
          </w:p>
        </w:tc>
      </w:tr>
      <w:tr>
        <w:trPr>
          <w:trHeight w:val="227"/>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Future income taxes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(1,348.1)</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Future net cash flows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8,970.1</w:t>
            </w:r>
          </w:p>
        </w:tc>
        <w:tc>
          <w:tcPr>
            <w:tcW w:w="0" w:type="dxa"/>
            <w:vAlign w:val="bottom"/>
          </w:tcPr>
          <w:p>
            <w:pPr>
              <w:spacing w:after="0"/>
              <w:rPr>
                <w:sz w:val="1"/>
                <w:szCs w:val="1"/>
                <w:color w:val="auto"/>
              </w:rPr>
            </w:pPr>
          </w:p>
        </w:tc>
      </w:tr>
      <w:tr>
        <w:trPr>
          <w:trHeight w:val="227"/>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10% annual discount for estimated timing of cash flows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(3,574.2)</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5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Standardized measure of discounted future net cash flows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December 31, 2023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27,944.5</w:t>
            </w:r>
          </w:p>
        </w:tc>
        <w:tc>
          <w:tcPr>
            <w:tcW w:w="0" w:type="dxa"/>
            <w:vAlign w:val="bottom"/>
          </w:tcPr>
          <w:p>
            <w:pPr>
              <w:spacing w:after="0"/>
              <w:rPr>
                <w:sz w:val="1"/>
                <w:szCs w:val="1"/>
                <w:color w:val="auto"/>
              </w:rPr>
            </w:pPr>
          </w:p>
        </w:tc>
      </w:tr>
      <w:tr>
        <w:trPr>
          <w:trHeight w:val="227"/>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Future development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(2,759.2)</w:t>
            </w:r>
          </w:p>
        </w:tc>
        <w:tc>
          <w:tcPr>
            <w:tcW w:w="0" w:type="dxa"/>
            <w:vAlign w:val="bottom"/>
          </w:tcPr>
          <w:p>
            <w:pPr>
              <w:spacing w:after="0"/>
              <w:rPr>
                <w:sz w:val="1"/>
                <w:szCs w:val="1"/>
                <w:color w:val="auto"/>
              </w:rPr>
            </w:pPr>
          </w:p>
        </w:tc>
      </w:tr>
      <w:tr>
        <w:trPr>
          <w:trHeight w:val="22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Future production costs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(12,368.5)</w:t>
            </w:r>
          </w:p>
        </w:tc>
        <w:tc>
          <w:tcPr>
            <w:tcW w:w="0" w:type="dxa"/>
            <w:vAlign w:val="bottom"/>
          </w:tcPr>
          <w:p>
            <w:pPr>
              <w:spacing w:after="0"/>
              <w:rPr>
                <w:sz w:val="1"/>
                <w:szCs w:val="1"/>
                <w:color w:val="auto"/>
              </w:rPr>
            </w:pPr>
          </w:p>
        </w:tc>
      </w:tr>
      <w:tr>
        <w:trPr>
          <w:trHeight w:val="227"/>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Future income taxes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Future net cash flows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11,003.4</w:t>
            </w:r>
          </w:p>
        </w:tc>
        <w:tc>
          <w:tcPr>
            <w:tcW w:w="0" w:type="dxa"/>
            <w:vAlign w:val="bottom"/>
          </w:tcPr>
          <w:p>
            <w:pPr>
              <w:spacing w:after="0"/>
              <w:rPr>
                <w:sz w:val="1"/>
                <w:szCs w:val="1"/>
                <w:color w:val="auto"/>
              </w:rPr>
            </w:pPr>
          </w:p>
        </w:tc>
      </w:tr>
      <w:tr>
        <w:trPr>
          <w:trHeight w:val="227"/>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10% annual discount for estimated timing of cash flows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5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Standardized measure of discounted future net cash flows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39,697.3</w:t>
            </w:r>
          </w:p>
        </w:tc>
        <w:tc>
          <w:tcPr>
            <w:tcW w:w="0" w:type="dxa"/>
            <w:vAlign w:val="bottom"/>
          </w:tcPr>
          <w:p>
            <w:pPr>
              <w:spacing w:after="0"/>
              <w:rPr>
                <w:sz w:val="1"/>
                <w:szCs w:val="1"/>
                <w:color w:val="auto"/>
              </w:rPr>
            </w:pPr>
          </w:p>
        </w:tc>
      </w:tr>
      <w:tr>
        <w:trPr>
          <w:trHeight w:val="227"/>
        </w:trPr>
        <w:tc>
          <w:tcPr>
            <w:tcW w:w="5600" w:type="dxa"/>
            <w:vAlign w:val="bottom"/>
            <w:gridSpan w:val="3"/>
          </w:tcPr>
          <w:p>
            <w:pPr>
              <w:ind w:left="20"/>
              <w:spacing w:after="0"/>
              <w:rPr>
                <w:sz w:val="20"/>
                <w:szCs w:val="20"/>
                <w:color w:val="auto"/>
              </w:rPr>
            </w:pPr>
            <w:r>
              <w:rPr>
                <w:rFonts w:ascii="Arial" w:cs="Arial" w:eastAsia="Arial" w:hAnsi="Arial"/>
                <w:sz w:val="18"/>
                <w:szCs w:val="18"/>
                <w:color w:val="auto"/>
              </w:rPr>
              <w:t>Future development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(2,238.3)</w:t>
            </w:r>
          </w:p>
        </w:tc>
        <w:tc>
          <w:tcPr>
            <w:tcW w:w="0" w:type="dxa"/>
            <w:vAlign w:val="bottom"/>
          </w:tcPr>
          <w:p>
            <w:pPr>
              <w:spacing w:after="0"/>
              <w:rPr>
                <w:sz w:val="1"/>
                <w:szCs w:val="1"/>
                <w:color w:val="auto"/>
              </w:rPr>
            </w:pPr>
          </w:p>
        </w:tc>
      </w:tr>
      <w:tr>
        <w:trPr>
          <w:trHeight w:val="227"/>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Future production costs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(12,508.5)</w:t>
            </w:r>
          </w:p>
        </w:tc>
        <w:tc>
          <w:tcPr>
            <w:tcW w:w="0" w:type="dxa"/>
            <w:vAlign w:val="bottom"/>
          </w:tcPr>
          <w:p>
            <w:pPr>
              <w:spacing w:after="0"/>
              <w:rPr>
                <w:sz w:val="1"/>
                <w:szCs w:val="1"/>
                <w:color w:val="auto"/>
              </w:rPr>
            </w:pPr>
          </w:p>
        </w:tc>
      </w:tr>
      <w:tr>
        <w:trPr>
          <w:trHeight w:val="227"/>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Future income taxes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(4,400.9)</w:t>
            </w: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Future net cash flows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20,549.6</w:t>
            </w:r>
          </w:p>
        </w:tc>
        <w:tc>
          <w:tcPr>
            <w:tcW w:w="0" w:type="dxa"/>
            <w:vAlign w:val="bottom"/>
          </w:tcPr>
          <w:p>
            <w:pPr>
              <w:spacing w:after="0"/>
              <w:rPr>
                <w:sz w:val="1"/>
                <w:szCs w:val="1"/>
                <w:color w:val="auto"/>
              </w:rPr>
            </w:pPr>
          </w:p>
        </w:tc>
      </w:tr>
      <w:tr>
        <w:trPr>
          <w:trHeight w:val="227"/>
        </w:trPr>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10% annual discount for estimated timing of cash flows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(8,736.4)</w:t>
            </w:r>
          </w:p>
        </w:tc>
        <w:tc>
          <w:tcPr>
            <w:tcW w:w="0" w:type="dxa"/>
            <w:vAlign w:val="bottom"/>
          </w:tcPr>
          <w:p>
            <w:pPr>
              <w:spacing w:after="0"/>
              <w:rPr>
                <w:sz w:val="1"/>
                <w:szCs w:val="1"/>
                <w:color w:val="auto"/>
              </w:rPr>
            </w:pP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55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Standardized measure of discounted future net cash flows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11,813.2</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0" w:hanging="87"/>
        <w:spacing w:after="0"/>
        <w:tabs>
          <w:tab w:leader="none" w:pos="100" w:val="left"/>
        </w:tabs>
        <w:numPr>
          <w:ilvl w:val="0"/>
          <w:numId w:val="64"/>
        </w:numPr>
        <w:rPr>
          <w:rFonts w:ascii="Arial" w:cs="Arial" w:eastAsia="Arial" w:hAnsi="Arial"/>
          <w:sz w:val="21"/>
          <w:szCs w:val="21"/>
          <w:color w:val="auto"/>
          <w:vertAlign w:val="superscript"/>
        </w:rPr>
      </w:pPr>
      <w:r>
        <w:rPr>
          <w:rFonts w:ascii="Arial" w:cs="Arial" w:eastAsia="Arial" w:hAnsi="Arial"/>
          <w:sz w:val="16"/>
          <w:szCs w:val="16"/>
          <w:color w:val="auto"/>
        </w:rPr>
        <w:t>Includes noncontrolling interest in MP GOM.</w:t>
      </w:r>
    </w:p>
    <w:p>
      <w:pPr>
        <w:ind w:left="120" w:hanging="107"/>
        <w:spacing w:after="0" w:line="225" w:lineRule="auto"/>
        <w:tabs>
          <w:tab w:leader="none" w:pos="12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Totals within the table may not add as a result of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MURPHY OIL CORPORATION AND CONSOLIDATED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GAS INFORMATION (UNAUDITED) – Continued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7 – Standardized Measure of Discounted Future Net Cash Flows Relating to</w:t>
      </w:r>
    </w:p>
    <w:p>
      <w:pPr>
        <w:spacing w:after="0"/>
        <w:rPr>
          <w:sz w:val="20"/>
          <w:szCs w:val="20"/>
          <w:color w:val="auto"/>
        </w:rPr>
      </w:pPr>
      <w:r>
        <w:rPr>
          <w:rFonts w:ascii="Arial" w:cs="Arial" w:eastAsia="Arial" w:hAnsi="Arial"/>
          <w:sz w:val="18"/>
          <w:szCs w:val="18"/>
          <w:b w:val="1"/>
          <w:bCs w:val="1"/>
          <w:color w:val="auto"/>
        </w:rPr>
        <w:t xml:space="preserve">Proved Oil and Gas Reserves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principal sources of change in the standardized measure of discounted future net cash flows for the years shown.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ind w:left="20"/>
              <w:spacing w:after="0"/>
              <w:rPr>
                <w:sz w:val="20"/>
                <w:szCs w:val="20"/>
                <w:color w:val="auto"/>
              </w:rPr>
            </w:pPr>
            <w:r>
              <w:rPr>
                <w:rFonts w:ascii="Arial" w:cs="Arial" w:eastAsia="Arial" w:hAnsi="Arial"/>
                <w:sz w:val="18"/>
                <w:szCs w:val="18"/>
                <w:i w:val="1"/>
                <w:iCs w:val="1"/>
                <w:color w:val="auto"/>
              </w:rPr>
              <w:t>(Millions of dollars)</w:t>
            </w:r>
          </w:p>
        </w:tc>
        <w:tc>
          <w:tcPr>
            <w:tcW w:w="300" w:type="dxa"/>
            <w:vAlign w:val="bottom"/>
          </w:tcPr>
          <w:p>
            <w:pPr>
              <w:spacing w:after="0"/>
              <w:rPr>
                <w:sz w:val="17"/>
                <w:szCs w:val="17"/>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91"/>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2022</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6980" w:type="dxa"/>
            <w:vAlign w:val="bottom"/>
            <w:gridSpan w:val="3"/>
            <w:shd w:val="clear" w:color="auto" w:fill="CCEEFF"/>
          </w:tcPr>
          <w:p>
            <w:pPr>
              <w:ind w:left="20"/>
              <w:spacing w:after="0" w:line="221" w:lineRule="exact"/>
              <w:rPr>
                <w:sz w:val="20"/>
                <w:szCs w:val="20"/>
                <w:color w:val="auto"/>
              </w:rPr>
            </w:pPr>
            <w:r>
              <w:rPr>
                <w:rFonts w:ascii="Arial" w:cs="Arial" w:eastAsia="Arial" w:hAnsi="Arial"/>
                <w:sz w:val="18"/>
                <w:szCs w:val="18"/>
                <w:color w:val="auto"/>
              </w:rPr>
              <w:t xml:space="preserve">Net changes in prices and production costs </w:t>
            </w:r>
            <w:r>
              <w:rPr>
                <w:rFonts w:ascii="Arial" w:cs="Arial" w:eastAsia="Arial" w:hAnsi="Arial"/>
                <w:sz w:val="23"/>
                <w:szCs w:val="23"/>
                <w:color w:val="auto"/>
                <w:vertAlign w:val="superscript"/>
              </w:rPr>
              <w:t>2</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4,812.2</w:t>
            </w:r>
          </w:p>
        </w:tc>
      </w:tr>
      <w:tr>
        <w:trPr>
          <w:trHeight w:val="227"/>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Net changes in development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(531.1)</w:t>
            </w:r>
          </w:p>
        </w:tc>
      </w:tr>
      <w:tr>
        <w:trPr>
          <w:trHeight w:val="227"/>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 and transfers of oil and natural gas produced, net of production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r>
      <w:tr>
        <w:trPr>
          <w:trHeight w:val="227"/>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Net change due to extensions and discoveries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1,223.5</w:t>
            </w:r>
          </w:p>
        </w:tc>
      </w:tr>
      <w:tr>
        <w:trPr>
          <w:trHeight w:val="227"/>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change due to purchases and sales of proved reserves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27"/>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Development costs incurred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769.3</w:t>
            </w:r>
          </w:p>
        </w:tc>
      </w:tr>
      <w:tr>
        <w:trPr>
          <w:trHeight w:val="227"/>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Accretion of discount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r>
      <w:tr>
        <w:trPr>
          <w:trHeight w:val="227"/>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Revisions of previous quantity estimates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1,652.9</w:t>
            </w:r>
          </w:p>
        </w:tc>
      </w:tr>
      <w:tr>
        <w:trPr>
          <w:trHeight w:val="227"/>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change in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w:t>
            </w:r>
          </w:p>
        </w:tc>
      </w:tr>
      <w:tr>
        <w:trPr>
          <w:trHeight w:val="220"/>
        </w:trPr>
        <w:tc>
          <w:tcPr>
            <w:tcW w:w="80" w:type="dxa"/>
            <w:vAlign w:val="bottom"/>
          </w:tcPr>
          <w:p>
            <w:pPr>
              <w:spacing w:after="0"/>
              <w:rPr>
                <w:sz w:val="19"/>
                <w:szCs w:val="19"/>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Net (decrease) increase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(1,457.5)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4,514.2</w:t>
            </w:r>
          </w:p>
        </w:tc>
      </w:tr>
      <w:tr>
        <w:trPr>
          <w:trHeight w:val="227"/>
        </w:trPr>
        <w:tc>
          <w:tcPr>
            <w:tcW w:w="6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Standardized measure at January 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7,299.0</w:t>
            </w:r>
          </w:p>
        </w:tc>
      </w:tr>
      <w:tr>
        <w:trPr>
          <w:trHeight w:val="220"/>
        </w:trPr>
        <w:tc>
          <w:tcPr>
            <w:tcW w:w="80" w:type="dxa"/>
            <w:vAlign w:val="bottom"/>
          </w:tcPr>
          <w:p>
            <w:pPr>
              <w:spacing w:after="0"/>
              <w:rPr>
                <w:sz w:val="19"/>
                <w:szCs w:val="19"/>
                <w:color w:val="auto"/>
              </w:rPr>
            </w:pPr>
          </w:p>
        </w:tc>
        <w:tc>
          <w:tcPr>
            <w:tcW w:w="6900" w:type="dxa"/>
            <w:vAlign w:val="bottom"/>
            <w:gridSpan w:val="2"/>
          </w:tcPr>
          <w:p>
            <w:pPr>
              <w:ind w:left="260"/>
              <w:spacing w:after="0"/>
              <w:rPr>
                <w:sz w:val="20"/>
                <w:szCs w:val="20"/>
                <w:color w:val="auto"/>
              </w:rPr>
            </w:pPr>
            <w:r>
              <w:rPr>
                <w:rFonts w:ascii="Arial" w:cs="Arial" w:eastAsia="Arial" w:hAnsi="Arial"/>
                <w:sz w:val="18"/>
                <w:szCs w:val="18"/>
                <w:color w:val="auto"/>
              </w:rPr>
              <w:t>Standardized measure at December 31</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11,813.2</w:t>
            </w:r>
          </w:p>
        </w:tc>
      </w:tr>
      <w:tr>
        <w:trPr>
          <w:trHeight w:val="20"/>
        </w:trPr>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60" w:hanging="147"/>
        <w:spacing w:after="0"/>
        <w:tabs>
          <w:tab w:leader="none" w:pos="160" w:val="left"/>
        </w:tabs>
        <w:numPr>
          <w:ilvl w:val="0"/>
          <w:numId w:val="66"/>
        </w:numPr>
        <w:rPr>
          <w:rFonts w:ascii="Arial" w:cs="Arial" w:eastAsia="Arial" w:hAnsi="Arial"/>
          <w:sz w:val="21"/>
          <w:szCs w:val="21"/>
          <w:color w:val="auto"/>
          <w:vertAlign w:val="superscript"/>
        </w:rPr>
      </w:pPr>
      <w:r>
        <w:rPr>
          <w:rFonts w:ascii="Arial" w:cs="Arial" w:eastAsia="Arial" w:hAnsi="Arial"/>
          <w:sz w:val="16"/>
          <w:szCs w:val="16"/>
          <w:color w:val="auto"/>
        </w:rPr>
        <w:t>Includes noncontrolling interest in MP GOM.</w:t>
      </w:r>
    </w:p>
    <w:p>
      <w:pPr>
        <w:spacing w:after="0" w:line="29" w:lineRule="exact"/>
        <w:rPr>
          <w:sz w:val="20"/>
          <w:szCs w:val="20"/>
          <w:color w:val="auto"/>
        </w:rPr>
      </w:pPr>
    </w:p>
    <w:p>
      <w:pPr>
        <w:ind w:left="160" w:right="320" w:hanging="147"/>
        <w:spacing w:after="0" w:line="225" w:lineRule="auto"/>
        <w:tabs>
          <w:tab w:leader="none" w:pos="93"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The average prices used for 2024 were $75.48 per BBL for NYMEX crude oil (WTI) and $2.13 per MCF for natural gas (Henry Hub). The average prices used for 2023 were $78.22 per BBL for NYMEX crude oil (WTI) and $2.64 per MCF for natural gas (Henry Hub). The average prices used for 2022 were $93.67 per BBL for NYMEX crude oil (WTI) and $6.36 per MCF for natural gas (Henry Hub).</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4840"/>
        <w:spacing w:after="0" w:line="292" w:lineRule="auto"/>
        <w:rPr>
          <w:sz w:val="20"/>
          <w:szCs w:val="20"/>
          <w:color w:val="auto"/>
        </w:rPr>
      </w:pPr>
      <w:r>
        <w:rPr>
          <w:rFonts w:ascii="Arial" w:cs="Arial" w:eastAsia="Arial" w:hAnsi="Arial"/>
          <w:sz w:val="17"/>
          <w:szCs w:val="17"/>
          <w:b w:val="1"/>
          <w:bCs w:val="1"/>
          <w:color w:val="auto"/>
        </w:rPr>
        <w:t>MURPHY OIL CORPORATION AND CONSOLIDATED SUBSIDIARIES SUPPLEMENTAL OIL AND GAS INFORMATION (UNAUDITED) – Continued Schedule 8 – Capitalized Costs Relating to Oil and Gas Producing Activities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United</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0"/>
        </w:trPr>
        <w:tc>
          <w:tcPr>
            <w:tcW w:w="51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Millions of dollars</w:t>
            </w: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States</w:t>
            </w:r>
          </w:p>
        </w:tc>
        <w:tc>
          <w:tcPr>
            <w:tcW w:w="260" w:type="dxa"/>
            <w:vAlign w:val="bottom"/>
          </w:tcPr>
          <w:p>
            <w:pPr>
              <w:spacing w:after="0"/>
              <w:rPr>
                <w:sz w:val="17"/>
                <w:szCs w:val="17"/>
                <w:color w:val="auto"/>
              </w:rPr>
            </w:pPr>
          </w:p>
        </w:tc>
        <w:tc>
          <w:tcPr>
            <w:tcW w:w="128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7"/>
                <w:szCs w:val="17"/>
                <w:color w:val="auto"/>
              </w:rPr>
            </w:pPr>
          </w:p>
        </w:tc>
        <w:tc>
          <w:tcPr>
            <w:tcW w:w="12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Other</w:t>
            </w:r>
          </w:p>
        </w:tc>
        <w:tc>
          <w:tcPr>
            <w:tcW w:w="320" w:type="dxa"/>
            <w:vAlign w:val="bottom"/>
          </w:tcPr>
          <w:p>
            <w:pPr>
              <w:spacing w:after="0"/>
              <w:rPr>
                <w:sz w:val="17"/>
                <w:szCs w:val="17"/>
                <w:color w:val="auto"/>
              </w:rPr>
            </w:pPr>
          </w:p>
        </w:tc>
        <w:tc>
          <w:tcPr>
            <w:tcW w:w="1120" w:type="dxa"/>
            <w:vAlign w:val="bottom"/>
          </w:tcPr>
          <w:p>
            <w:pPr>
              <w:jc w:val="right"/>
              <w:ind w:right="451"/>
              <w:spacing w:after="0" w:line="201" w:lineRule="exact"/>
              <w:rPr>
                <w:sz w:val="20"/>
                <w:szCs w:val="20"/>
                <w:color w:val="auto"/>
              </w:rPr>
            </w:pPr>
            <w:r>
              <w:rPr>
                <w:rFonts w:ascii="Arial" w:cs="Arial" w:eastAsia="Arial" w:hAnsi="Arial"/>
                <w:sz w:val="18"/>
                <w:szCs w:val="18"/>
                <w:color w:val="auto"/>
              </w:rPr>
              <w:t>Total</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7"/>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2024</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7"/>
        </w:trPr>
        <w:tc>
          <w:tcPr>
            <w:tcW w:w="518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 xml:space="preserve">Unproved oil and natural gas properties </w:t>
            </w:r>
            <w:r>
              <w:rPr>
                <w:rFonts w:ascii="Arial" w:cs="Arial" w:eastAsia="Arial" w:hAnsi="Arial"/>
                <w:sz w:val="23"/>
                <w:szCs w:val="23"/>
                <w:color w:val="auto"/>
                <w:vertAlign w:val="superscript"/>
              </w:rPr>
              <w:t>1</w:t>
            </w:r>
          </w:p>
        </w:tc>
        <w:tc>
          <w:tcPr>
            <w:tcW w:w="28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247.3</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283.0</w:t>
            </w:r>
          </w:p>
        </w:tc>
      </w:tr>
      <w:tr>
        <w:trPr>
          <w:trHeight w:val="227"/>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Proved oil and natural gas properties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16,598.8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21,343.6</w:t>
            </w:r>
          </w:p>
        </w:tc>
      </w:tr>
      <w:tr>
        <w:trPr>
          <w:trHeight w:val="220"/>
        </w:trPr>
        <w:tc>
          <w:tcPr>
            <w:tcW w:w="80" w:type="dxa"/>
            <w:vAlign w:val="bottom"/>
          </w:tcPr>
          <w:p>
            <w:pPr>
              <w:spacing w:after="0"/>
              <w:rPr>
                <w:sz w:val="19"/>
                <w:szCs w:val="19"/>
                <w:color w:val="auto"/>
              </w:rPr>
            </w:pPr>
          </w:p>
        </w:tc>
        <w:tc>
          <w:tcPr>
            <w:tcW w:w="5100" w:type="dxa"/>
            <w:vAlign w:val="bottom"/>
            <w:gridSpan w:val="2"/>
          </w:tcPr>
          <w:p>
            <w:pPr>
              <w:ind w:left="460"/>
              <w:spacing w:after="0"/>
              <w:rPr>
                <w:sz w:val="20"/>
                <w:szCs w:val="20"/>
                <w:color w:val="auto"/>
              </w:rPr>
            </w:pPr>
            <w:r>
              <w:rPr>
                <w:rFonts w:ascii="Arial" w:cs="Arial" w:eastAsia="Arial" w:hAnsi="Arial"/>
                <w:sz w:val="18"/>
                <w:szCs w:val="18"/>
                <w:color w:val="auto"/>
              </w:rPr>
              <w:t>Gross capitalized costs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16,846.1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4,504.7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21,626.6</w:t>
            </w: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depreciation, depletion and amortization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260"/>
              <w:spacing w:after="0"/>
              <w:rPr>
                <w:sz w:val="20"/>
                <w:szCs w:val="20"/>
                <w:color w:val="auto"/>
              </w:rPr>
            </w:pPr>
            <w:r>
              <w:rPr>
                <w:rFonts w:ascii="Arial" w:cs="Arial" w:eastAsia="Arial" w:hAnsi="Arial"/>
                <w:sz w:val="18"/>
                <w:szCs w:val="18"/>
                <w:color w:val="auto"/>
              </w:rPr>
              <w:t>Unproved oil and natural gas properties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(131.7)</w:t>
            </w: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Proved oil and natural gas properties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(10,326.2)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(13,486.6)</w:t>
            </w:r>
          </w:p>
        </w:tc>
      </w:tr>
      <w:tr>
        <w:trPr>
          <w:trHeight w:val="220"/>
        </w:trPr>
        <w:tc>
          <w:tcPr>
            <w:tcW w:w="80" w:type="dxa"/>
            <w:vAlign w:val="bottom"/>
          </w:tcPr>
          <w:p>
            <w:pPr>
              <w:spacing w:after="0"/>
              <w:rPr>
                <w:sz w:val="19"/>
                <w:szCs w:val="19"/>
                <w:color w:val="auto"/>
              </w:rPr>
            </w:pPr>
          </w:p>
        </w:tc>
        <w:tc>
          <w:tcPr>
            <w:tcW w:w="5100" w:type="dxa"/>
            <w:vAlign w:val="bottom"/>
            <w:gridSpan w:val="2"/>
          </w:tcPr>
          <w:p>
            <w:pPr>
              <w:ind w:left="460"/>
              <w:spacing w:after="0"/>
              <w:rPr>
                <w:sz w:val="20"/>
                <w:szCs w:val="20"/>
                <w:color w:val="auto"/>
              </w:rPr>
            </w:pPr>
            <w:r>
              <w:rPr>
                <w:rFonts w:ascii="Arial" w:cs="Arial" w:eastAsia="Arial" w:hAnsi="Arial"/>
                <w:sz w:val="18"/>
                <w:szCs w:val="18"/>
                <w:color w:val="auto"/>
              </w:rPr>
              <w:t>Net capitalized costs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8,008.3</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4"/>
        </w:trPr>
        <w:tc>
          <w:tcPr>
            <w:tcW w:w="5180" w:type="dxa"/>
            <w:vAlign w:val="bottom"/>
            <w:gridSpan w:val="3"/>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December 31, 2023</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7"/>
        </w:trPr>
        <w:tc>
          <w:tcPr>
            <w:tcW w:w="5180" w:type="dxa"/>
            <w:vAlign w:val="bottom"/>
            <w:gridSpan w:val="3"/>
          </w:tcPr>
          <w:p>
            <w:pPr>
              <w:ind w:left="20"/>
              <w:spacing w:after="0" w:line="228" w:lineRule="exact"/>
              <w:rPr>
                <w:sz w:val="20"/>
                <w:szCs w:val="20"/>
                <w:color w:val="auto"/>
              </w:rPr>
            </w:pPr>
            <w:r>
              <w:rPr>
                <w:rFonts w:ascii="Arial" w:cs="Arial" w:eastAsia="Arial" w:hAnsi="Arial"/>
                <w:sz w:val="18"/>
                <w:szCs w:val="18"/>
                <w:color w:val="auto"/>
              </w:rPr>
              <w:t xml:space="preserve">Unproved oil and natural gas properties </w:t>
            </w:r>
            <w:r>
              <w:rPr>
                <w:rFonts w:ascii="Arial" w:cs="Arial" w:eastAsia="Arial" w:hAnsi="Arial"/>
                <w:sz w:val="23"/>
                <w:szCs w:val="23"/>
                <w:color w:val="auto"/>
                <w:vertAlign w:val="superscript"/>
              </w:rPr>
              <w:t>1</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400.1</w:t>
            </w:r>
          </w:p>
        </w:tc>
      </w:tr>
      <w:tr>
        <w:trPr>
          <w:trHeight w:val="227"/>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Proved oil and natural gas properties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20,738.1</w:t>
            </w:r>
          </w:p>
        </w:tc>
      </w:tr>
      <w:tr>
        <w:trPr>
          <w:trHeight w:val="220"/>
        </w:trPr>
        <w:tc>
          <w:tcPr>
            <w:tcW w:w="80" w:type="dxa"/>
            <w:vAlign w:val="bottom"/>
          </w:tcPr>
          <w:p>
            <w:pPr>
              <w:spacing w:after="0"/>
              <w:rPr>
                <w:sz w:val="19"/>
                <w:szCs w:val="19"/>
                <w:color w:val="auto"/>
              </w:rPr>
            </w:pPr>
          </w:p>
        </w:tc>
        <w:tc>
          <w:tcPr>
            <w:tcW w:w="5100" w:type="dxa"/>
            <w:vAlign w:val="bottom"/>
            <w:gridSpan w:val="2"/>
          </w:tcPr>
          <w:p>
            <w:pPr>
              <w:ind w:left="460"/>
              <w:spacing w:after="0"/>
              <w:rPr>
                <w:sz w:val="20"/>
                <w:szCs w:val="20"/>
                <w:color w:val="auto"/>
              </w:rPr>
            </w:pPr>
            <w:r>
              <w:rPr>
                <w:rFonts w:ascii="Arial" w:cs="Arial" w:eastAsia="Arial" w:hAnsi="Arial"/>
                <w:sz w:val="18"/>
                <w:szCs w:val="18"/>
                <w:color w:val="auto"/>
              </w:rPr>
              <w:t>Gross capitalized costs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16,205.7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21,138.2</w:t>
            </w: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Accumulated depreciation, depletion and amortization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5100" w:type="dxa"/>
            <w:vAlign w:val="bottom"/>
            <w:gridSpan w:val="2"/>
          </w:tcPr>
          <w:p>
            <w:pPr>
              <w:ind w:left="260"/>
              <w:spacing w:after="0"/>
              <w:rPr>
                <w:sz w:val="20"/>
                <w:szCs w:val="20"/>
                <w:color w:val="auto"/>
              </w:rPr>
            </w:pPr>
            <w:r>
              <w:rPr>
                <w:rFonts w:ascii="Arial" w:cs="Arial" w:eastAsia="Arial" w:hAnsi="Arial"/>
                <w:sz w:val="18"/>
                <w:szCs w:val="18"/>
                <w:color w:val="auto"/>
              </w:rPr>
              <w:t>Unproved oil and natural gas properties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27"/>
        </w:trPr>
        <w:tc>
          <w:tcPr>
            <w:tcW w:w="8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Proved oil and natural gas properties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(12,829.4)</w:t>
            </w:r>
          </w:p>
        </w:tc>
      </w:tr>
      <w:tr>
        <w:trPr>
          <w:trHeight w:val="220"/>
        </w:trPr>
        <w:tc>
          <w:tcPr>
            <w:tcW w:w="80" w:type="dxa"/>
            <w:vAlign w:val="bottom"/>
          </w:tcPr>
          <w:p>
            <w:pPr>
              <w:spacing w:after="0"/>
              <w:rPr>
                <w:sz w:val="19"/>
                <w:szCs w:val="19"/>
                <w:color w:val="auto"/>
              </w:rPr>
            </w:pPr>
          </w:p>
        </w:tc>
        <w:tc>
          <w:tcPr>
            <w:tcW w:w="5100" w:type="dxa"/>
            <w:vAlign w:val="bottom"/>
            <w:gridSpan w:val="2"/>
          </w:tcPr>
          <w:p>
            <w:pPr>
              <w:ind w:left="460"/>
              <w:spacing w:after="0"/>
              <w:rPr>
                <w:sz w:val="20"/>
                <w:szCs w:val="20"/>
                <w:color w:val="auto"/>
              </w:rPr>
            </w:pPr>
            <w:r>
              <w:rPr>
                <w:rFonts w:ascii="Arial" w:cs="Arial" w:eastAsia="Arial" w:hAnsi="Arial"/>
                <w:sz w:val="18"/>
                <w:szCs w:val="18"/>
                <w:color w:val="auto"/>
              </w:rPr>
              <w:t>Net capitalized costs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8,186.1</w:t>
            </w:r>
          </w:p>
        </w:tc>
      </w:tr>
      <w:tr>
        <w:trPr>
          <w:trHeight w:val="20"/>
        </w:trPr>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right="60" w:hanging="147"/>
        <w:spacing w:after="0" w:line="224" w:lineRule="auto"/>
        <w:tabs>
          <w:tab w:leader="none" w:pos="108"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Unproved oil and natural gas properties above include costs and associated accumulated amortization of properties that do not have proved reserves; these costs include mineral interests, uncompleted exploratory wells and exploratory wells capitalized pending further evaluation.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5520"/>
        <w:spacing w:after="0" w:line="323" w:lineRule="auto"/>
        <w:rPr>
          <w:sz w:val="20"/>
          <w:szCs w:val="20"/>
          <w:color w:val="auto"/>
        </w:rPr>
      </w:pPr>
      <w:r>
        <w:rPr>
          <w:rFonts w:ascii="Arial" w:cs="Arial" w:eastAsia="Arial" w:hAnsi="Arial"/>
          <w:sz w:val="17"/>
          <w:szCs w:val="17"/>
          <w:b w:val="1"/>
          <w:bCs w:val="1"/>
          <w:color w:val="auto"/>
        </w:rPr>
        <w:t>MURPHY OIL CORPORATION AND CONSOLIDATED SUBSIDIARIES SUPPLEMENTAL QUARTERLY INFORMATION (UNAUDITED)</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First</w:t>
            </w:r>
          </w:p>
        </w:tc>
        <w:tc>
          <w:tcPr>
            <w:tcW w:w="24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Second</w:t>
            </w:r>
          </w:p>
        </w:tc>
        <w:tc>
          <w:tcPr>
            <w:tcW w:w="2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Third</w:t>
            </w:r>
          </w:p>
        </w:tc>
        <w:tc>
          <w:tcPr>
            <w:tcW w:w="2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Fourth</w:t>
            </w:r>
          </w:p>
        </w:tc>
        <w:tc>
          <w:tcPr>
            <w:tcW w:w="260" w:type="dxa"/>
            <w:vAlign w:val="bottom"/>
          </w:tcPr>
          <w:p>
            <w:pPr>
              <w:spacing w:after="0"/>
              <w:rPr>
                <w:sz w:val="17"/>
                <w:szCs w:val="17"/>
                <w:color w:val="auto"/>
              </w:rPr>
            </w:pPr>
          </w:p>
        </w:tc>
        <w:tc>
          <w:tcPr>
            <w:tcW w:w="1060" w:type="dxa"/>
            <w:vAlign w:val="bottom"/>
            <w:vMerge w:val="restart"/>
          </w:tcPr>
          <w:p>
            <w:pPr>
              <w:jc w:val="right"/>
              <w:ind w:right="331"/>
              <w:spacing w:after="0"/>
              <w:rPr>
                <w:sz w:val="20"/>
                <w:szCs w:val="20"/>
                <w:color w:val="auto"/>
              </w:rPr>
            </w:pPr>
            <w:r>
              <w:rPr>
                <w:rFonts w:ascii="Arial" w:cs="Arial" w:eastAsia="Arial" w:hAnsi="Arial"/>
                <w:sz w:val="18"/>
                <w:szCs w:val="18"/>
                <w:color w:val="auto"/>
              </w:rPr>
              <w:t xml:space="preserve">Year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00"/>
        </w:trPr>
        <w:tc>
          <w:tcPr>
            <w:tcW w:w="42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Millions of dollars except per share amounts</w:t>
            </w: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8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8"/>
              </w:rPr>
              <w:t>Quarter</w:t>
            </w:r>
          </w:p>
        </w:tc>
        <w:tc>
          <w:tcPr>
            <w:tcW w:w="240" w:type="dxa"/>
            <w:vAlign w:val="bottom"/>
          </w:tcPr>
          <w:p>
            <w:pPr>
              <w:spacing w:after="0"/>
              <w:rPr>
                <w:sz w:val="17"/>
                <w:szCs w:val="17"/>
                <w:color w:val="auto"/>
              </w:rPr>
            </w:pPr>
          </w:p>
        </w:tc>
        <w:tc>
          <w:tcPr>
            <w:tcW w:w="11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17"/>
                <w:szCs w:val="17"/>
                <w:color w:val="auto"/>
              </w:rPr>
            </w:pPr>
          </w:p>
        </w:tc>
        <w:tc>
          <w:tcPr>
            <w:tcW w:w="118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8"/>
              </w:rPr>
              <w:t>Quarter</w:t>
            </w:r>
          </w:p>
        </w:tc>
        <w:tc>
          <w:tcPr>
            <w:tcW w:w="240" w:type="dxa"/>
            <w:vAlign w:val="bottom"/>
          </w:tcPr>
          <w:p>
            <w:pPr>
              <w:spacing w:after="0"/>
              <w:rPr>
                <w:sz w:val="17"/>
                <w:szCs w:val="17"/>
                <w:color w:val="auto"/>
              </w:rPr>
            </w:pPr>
          </w:p>
        </w:tc>
        <w:tc>
          <w:tcPr>
            <w:tcW w:w="12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8"/>
              </w:rPr>
              <w:t>Quarter</w:t>
            </w: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348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Year ended December 31, 2024</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794.8</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801.0</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753.2</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669.6</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3,018.6</w:t>
            </w:r>
          </w:p>
        </w:tc>
        <w:tc>
          <w:tcPr>
            <w:tcW w:w="0" w:type="dxa"/>
            <w:vAlign w:val="bottom"/>
          </w:tcPr>
          <w:p>
            <w:pPr>
              <w:spacing w:after="0"/>
              <w:rPr>
                <w:sz w:val="1"/>
                <w:szCs w:val="1"/>
                <w:color w:val="auto"/>
              </w:rPr>
            </w:pPr>
          </w:p>
        </w:tc>
      </w:tr>
      <w:tr>
        <w:trPr>
          <w:trHeight w:val="174"/>
        </w:trPr>
        <w:tc>
          <w:tcPr>
            <w:tcW w:w="8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100"/>
              <w:spacing w:after="0" w:line="174" w:lineRule="exact"/>
              <w:rPr>
                <w:sz w:val="20"/>
                <w:szCs w:val="20"/>
                <w:color w:val="auto"/>
              </w:rPr>
            </w:pPr>
            <w:r>
              <w:rPr>
                <w:rFonts w:ascii="Arial" w:cs="Arial" w:eastAsia="Arial" w:hAnsi="Arial"/>
                <w:sz w:val="18"/>
                <w:szCs w:val="18"/>
                <w:color w:val="auto"/>
              </w:rPr>
              <w:t>Income from continuing operations before income</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189.6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567.6</w:t>
            </w:r>
          </w:p>
        </w:tc>
        <w:tc>
          <w:tcPr>
            <w:tcW w:w="0" w:type="dxa"/>
            <w:vAlign w:val="bottom"/>
          </w:tcPr>
          <w:p>
            <w:pPr>
              <w:spacing w:after="0"/>
              <w:rPr>
                <w:sz w:val="1"/>
                <w:szCs w:val="1"/>
                <w:color w:val="auto"/>
              </w:rPr>
            </w:pPr>
          </w:p>
        </w:tc>
      </w:tr>
      <w:tr>
        <w:trPr>
          <w:trHeight w:val="240"/>
        </w:trPr>
        <w:tc>
          <w:tcPr>
            <w:tcW w:w="8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489.3</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 including noncontrolling interest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486.5</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Net income attributable to Murphy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407.1</w:t>
            </w:r>
          </w:p>
        </w:tc>
        <w:tc>
          <w:tcPr>
            <w:tcW w:w="0" w:type="dxa"/>
            <w:vAlign w:val="bottom"/>
          </w:tcPr>
          <w:p>
            <w:pPr>
              <w:spacing w:after="0"/>
              <w:rPr>
                <w:sz w:val="1"/>
                <w:szCs w:val="1"/>
                <w:color w:val="auto"/>
              </w:rPr>
            </w:pPr>
          </w:p>
        </w:tc>
      </w:tr>
      <w:tr>
        <w:trPr>
          <w:trHeight w:val="174"/>
        </w:trPr>
        <w:tc>
          <w:tcPr>
            <w:tcW w:w="8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100"/>
              <w:spacing w:after="0" w:line="174" w:lineRule="exact"/>
              <w:rPr>
                <w:sz w:val="20"/>
                <w:szCs w:val="20"/>
                <w:color w:val="auto"/>
              </w:rPr>
            </w:pPr>
            <w:r>
              <w:rPr>
                <w:rFonts w:ascii="Arial" w:cs="Arial" w:eastAsia="Arial" w:hAnsi="Arial"/>
                <w:sz w:val="18"/>
                <w:szCs w:val="18"/>
                <w:color w:val="auto"/>
              </w:rPr>
              <w:t>Income from continuing operations per common</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 ²</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Net income per common share ²</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dividend per common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b w:val="1"/>
                <w:bCs w:val="1"/>
                <w:color w:val="auto"/>
              </w:rPr>
              <w:t>Year ended December 31, 2023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Revenue from contracts with customers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3,448.9</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120" w:type="dxa"/>
            <w:vAlign w:val="bottom"/>
            <w:gridSpan w:val="2"/>
          </w:tcPr>
          <w:p>
            <w:pPr>
              <w:ind w:left="100"/>
              <w:spacing w:after="0" w:line="174" w:lineRule="exact"/>
              <w:rPr>
                <w:sz w:val="20"/>
                <w:szCs w:val="20"/>
                <w:color w:val="auto"/>
              </w:rPr>
            </w:pPr>
            <w:r>
              <w:rPr>
                <w:rFonts w:ascii="Arial" w:cs="Arial" w:eastAsia="Arial" w:hAnsi="Arial"/>
                <w:sz w:val="18"/>
                <w:szCs w:val="18"/>
                <w:color w:val="auto"/>
              </w:rPr>
              <w:t>Income from continuing operations before income</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Net income including noncontrolling interest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 attributable to Murphy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120" w:type="dxa"/>
            <w:vAlign w:val="bottom"/>
            <w:gridSpan w:val="2"/>
          </w:tcPr>
          <w:p>
            <w:pPr>
              <w:ind w:left="100"/>
              <w:spacing w:after="0" w:line="174" w:lineRule="exact"/>
              <w:rPr>
                <w:sz w:val="20"/>
                <w:szCs w:val="20"/>
                <w:color w:val="auto"/>
              </w:rPr>
            </w:pPr>
            <w:r>
              <w:rPr>
                <w:rFonts w:ascii="Arial" w:cs="Arial" w:eastAsia="Arial" w:hAnsi="Arial"/>
                <w:sz w:val="18"/>
                <w:szCs w:val="18"/>
                <w:color w:val="auto"/>
              </w:rPr>
              <w:t>Income from continuing operations per common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share ²</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 per common share ²</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41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7"/>
        </w:trPr>
        <w:tc>
          <w:tcPr>
            <w:tcW w:w="8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Cash dividend per common share</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60" w:right="280" w:hanging="147"/>
        <w:spacing w:after="0" w:line="224" w:lineRule="auto"/>
        <w:tabs>
          <w:tab w:leader="none" w:pos="108"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Revenue from contracts with customers, “Income from continuing operations before income taxes”, “Income from continuing operations” and “Net income including noncontrolling interest” include results attributable to the noncontrolling interest in MP GOM.</w:t>
      </w:r>
    </w:p>
    <w:p>
      <w:pPr>
        <w:spacing w:after="0" w:line="17" w:lineRule="exact"/>
        <w:rPr>
          <w:sz w:val="20"/>
          <w:szCs w:val="20"/>
          <w:color w:val="auto"/>
        </w:rPr>
      </w:pPr>
    </w:p>
    <w:p>
      <w:pPr>
        <w:ind w:left="160" w:right="40" w:hanging="147"/>
        <w:spacing w:after="0" w:line="224" w:lineRule="auto"/>
        <w:tabs>
          <w:tab w:leader="none" w:pos="108"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The sum of quarterly income (loss) from continuing operations per share and net income (loss) per share may not agree with total year net income (loss) per share as each quarterly computation is based on the weighted average of common shares outstanding.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ind w:right="5540"/>
        <w:spacing w:after="0" w:line="323" w:lineRule="auto"/>
        <w:rPr>
          <w:sz w:val="20"/>
          <w:szCs w:val="20"/>
          <w:color w:val="auto"/>
        </w:rPr>
      </w:pPr>
      <w:r>
        <w:rPr>
          <w:rFonts w:ascii="Arial" w:cs="Arial" w:eastAsia="Arial" w:hAnsi="Arial"/>
          <w:sz w:val="17"/>
          <w:szCs w:val="17"/>
          <w:b w:val="1"/>
          <w:bCs w:val="1"/>
          <w:color w:val="auto"/>
        </w:rPr>
        <w:t>MURPHY OIL CORPORATION AND CONSOLIDATED SUBSIDIARIES SCHEDULE II - VALUATION ACCOUNTS AND RESERVES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Balance at</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Charged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Balance at</w:t>
            </w:r>
          </w:p>
        </w:tc>
      </w:tr>
      <w:tr>
        <w:trPr>
          <w:trHeight w:val="200"/>
        </w:trPr>
        <w:tc>
          <w:tcPr>
            <w:tcW w:w="20" w:type="dxa"/>
            <w:vAlign w:val="bottom"/>
          </w:tcPr>
          <w:p>
            <w:pPr>
              <w:spacing w:after="0"/>
              <w:rPr>
                <w:sz w:val="17"/>
                <w:szCs w:val="17"/>
                <w:color w:val="auto"/>
              </w:rPr>
            </w:pPr>
          </w:p>
        </w:tc>
        <w:tc>
          <w:tcPr>
            <w:tcW w:w="38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Millions of dollars</w:t>
            </w: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8"/>
              </w:rPr>
              <w:t>January 1</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9"/>
              </w:rPr>
              <w:t>to Expense</w:t>
            </w:r>
          </w:p>
        </w:tc>
        <w:tc>
          <w:tcPr>
            <w:tcW w:w="180" w:type="dxa"/>
            <w:vAlign w:val="bottom"/>
          </w:tcPr>
          <w:p>
            <w:pPr>
              <w:spacing w:after="0"/>
              <w:rPr>
                <w:sz w:val="17"/>
                <w:szCs w:val="17"/>
                <w:color w:val="auto"/>
              </w:rPr>
            </w:pPr>
          </w:p>
        </w:tc>
        <w:tc>
          <w:tcPr>
            <w:tcW w:w="13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Deductions</w:t>
            </w:r>
          </w:p>
        </w:tc>
        <w:tc>
          <w:tcPr>
            <w:tcW w:w="280" w:type="dxa"/>
            <w:vAlign w:val="bottom"/>
          </w:tcPr>
          <w:p>
            <w:pPr>
              <w:spacing w:after="0"/>
              <w:rPr>
                <w:sz w:val="17"/>
                <w:szCs w:val="17"/>
                <w:color w:val="auto"/>
              </w:rPr>
            </w:pPr>
          </w:p>
        </w:tc>
        <w:tc>
          <w:tcPr>
            <w:tcW w:w="11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38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9"/>
              </w:rPr>
              <w:t>December 31</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00" w:type="dxa"/>
            <w:vAlign w:val="bottom"/>
            <w:gridSpan w:val="3"/>
          </w:tcPr>
          <w:p>
            <w:pPr>
              <w:ind w:left="20"/>
              <w:spacing w:after="0"/>
              <w:rPr>
                <w:sz w:val="20"/>
                <w:szCs w:val="20"/>
                <w:color w:val="auto"/>
              </w:rPr>
            </w:pPr>
            <w:r>
              <w:rPr>
                <w:rFonts w:ascii="Arial" w:cs="Arial" w:eastAsia="Arial" w:hAnsi="Arial"/>
                <w:sz w:val="18"/>
                <w:szCs w:val="18"/>
                <w:color w:val="auto"/>
              </w:rPr>
              <w:t>Deducted from asset accounts: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2"/>
          </w:tcPr>
          <w:p>
            <w:pPr>
              <w:ind w:left="26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149.5</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2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00" w:type="dxa"/>
            <w:vAlign w:val="bottom"/>
            <w:gridSpan w:val="3"/>
          </w:tcPr>
          <w:p>
            <w:pPr>
              <w:ind w:left="20"/>
              <w:spacing w:after="0"/>
              <w:rPr>
                <w:sz w:val="20"/>
                <w:szCs w:val="20"/>
                <w:color w:val="auto"/>
              </w:rPr>
            </w:pPr>
            <w:r>
              <w:rPr>
                <w:rFonts w:ascii="Arial" w:cs="Arial" w:eastAsia="Arial" w:hAnsi="Arial"/>
                <w:sz w:val="18"/>
                <w:szCs w:val="18"/>
                <w:color w:val="auto"/>
              </w:rPr>
              <w:t>Deducted from asset accounts: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2"/>
          </w:tcPr>
          <w:p>
            <w:pPr>
              <w:ind w:left="26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2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800" w:type="dxa"/>
            <w:vAlign w:val="bottom"/>
            <w:gridSpan w:val="3"/>
          </w:tcPr>
          <w:p>
            <w:pPr>
              <w:ind w:left="20"/>
              <w:spacing w:after="0"/>
              <w:rPr>
                <w:sz w:val="20"/>
                <w:szCs w:val="20"/>
                <w:color w:val="auto"/>
              </w:rPr>
            </w:pPr>
            <w:r>
              <w:rPr>
                <w:rFonts w:ascii="Arial" w:cs="Arial" w:eastAsia="Arial" w:hAnsi="Arial"/>
                <w:sz w:val="18"/>
                <w:szCs w:val="18"/>
                <w:color w:val="auto"/>
              </w:rPr>
              <w:t>Deducted from asset accounts: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2"/>
          </w:tcPr>
          <w:p>
            <w:pPr>
              <w:ind w:left="26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Pr>
          <w:p>
            <w:pPr>
              <w:spacing w:after="0"/>
              <w:rPr>
                <w:sz w:val="19"/>
                <w:szCs w:val="19"/>
                <w:color w:val="auto"/>
              </w:rPr>
            </w:pPr>
          </w:p>
        </w:tc>
      </w:tr>
      <w:tr>
        <w:trPr>
          <w:trHeight w:val="8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77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DEFINITIONS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Currencies: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CAD or C$ </w:t>
      </w:r>
      <w:r>
        <w:rPr>
          <w:rFonts w:ascii="Arial" w:cs="Arial" w:eastAsia="Arial" w:hAnsi="Arial"/>
          <w:sz w:val="18"/>
          <w:szCs w:val="18"/>
          <w:color w:val="auto"/>
        </w:rPr>
        <w:t>- Canadian dollar</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USD or US$ </w:t>
      </w:r>
      <w:r>
        <w:rPr>
          <w:rFonts w:ascii="Arial" w:cs="Arial" w:eastAsia="Arial" w:hAnsi="Arial"/>
          <w:sz w:val="18"/>
          <w:szCs w:val="18"/>
          <w:color w:val="auto"/>
        </w:rPr>
        <w:t>- United States dollar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Units of Measurement: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BBL - </w:t>
      </w:r>
      <w:r>
        <w:rPr>
          <w:rFonts w:ascii="Arial" w:cs="Arial" w:eastAsia="Arial" w:hAnsi="Arial"/>
          <w:sz w:val="18"/>
          <w:szCs w:val="18"/>
          <w:color w:val="auto"/>
        </w:rPr>
        <w:t>Barrels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BCF </w:t>
      </w:r>
      <w:r>
        <w:rPr>
          <w:rFonts w:ascii="Arial" w:cs="Arial" w:eastAsia="Arial" w:hAnsi="Arial"/>
          <w:sz w:val="18"/>
          <w:szCs w:val="18"/>
          <w:color w:val="auto"/>
        </w:rPr>
        <w:t>- Billion cubic feet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BOE </w:t>
      </w:r>
      <w:r>
        <w:rPr>
          <w:rFonts w:ascii="Arial" w:cs="Arial" w:eastAsia="Arial" w:hAnsi="Arial"/>
          <w:sz w:val="18"/>
          <w:szCs w:val="18"/>
          <w:color w:val="auto"/>
        </w:rPr>
        <w:t>- Barrels of oil equivalent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BOEPD </w:t>
      </w:r>
      <w:r>
        <w:rPr>
          <w:rFonts w:ascii="Arial" w:cs="Arial" w:eastAsia="Arial" w:hAnsi="Arial"/>
          <w:sz w:val="18"/>
          <w:szCs w:val="18"/>
          <w:color w:val="auto"/>
        </w:rPr>
        <w:t>- Barrels of oil equivalent per day</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MCF </w:t>
      </w:r>
      <w:r>
        <w:rPr>
          <w:rFonts w:ascii="Arial" w:cs="Arial" w:eastAsia="Arial" w:hAnsi="Arial"/>
          <w:sz w:val="18"/>
          <w:szCs w:val="18"/>
          <w:color w:val="auto"/>
        </w:rPr>
        <w:t>- Thousand cubic feet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MMBBL </w:t>
      </w:r>
      <w:r>
        <w:rPr>
          <w:rFonts w:ascii="Arial" w:cs="Arial" w:eastAsia="Arial" w:hAnsi="Arial"/>
          <w:sz w:val="18"/>
          <w:szCs w:val="18"/>
          <w:color w:val="auto"/>
        </w:rPr>
        <w:t>- Million barrels of oil</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MMBOE </w:t>
      </w:r>
      <w:r>
        <w:rPr>
          <w:rFonts w:ascii="Arial" w:cs="Arial" w:eastAsia="Arial" w:hAnsi="Arial"/>
          <w:sz w:val="18"/>
          <w:szCs w:val="18"/>
          <w:color w:val="auto"/>
        </w:rPr>
        <w:t>- Million barrels of oil equivalent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MMBTU </w:t>
      </w:r>
      <w:r>
        <w:rPr>
          <w:rFonts w:ascii="Arial" w:cs="Arial" w:eastAsia="Arial" w:hAnsi="Arial"/>
          <w:sz w:val="18"/>
          <w:szCs w:val="18"/>
          <w:color w:val="auto"/>
        </w:rPr>
        <w:t>- Million British thermal units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MMCF </w:t>
      </w:r>
      <w:r>
        <w:rPr>
          <w:rFonts w:ascii="Arial" w:cs="Arial" w:eastAsia="Arial" w:hAnsi="Arial"/>
          <w:sz w:val="18"/>
          <w:szCs w:val="18"/>
          <w:color w:val="auto"/>
        </w:rPr>
        <w:t>- Million cubic feet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Industry:</w:t>
      </w:r>
    </w:p>
    <w:p>
      <w:pPr>
        <w:spacing w:after="0" w:line="20" w:lineRule="exact"/>
        <w:rPr>
          <w:sz w:val="20"/>
          <w:szCs w:val="20"/>
          <w:color w:val="auto"/>
        </w:rPr>
      </w:pPr>
    </w:p>
    <w:p>
      <w:pPr>
        <w:ind w:left="340" w:right="4000"/>
        <w:spacing w:after="0" w:line="286" w:lineRule="auto"/>
        <w:rPr>
          <w:sz w:val="20"/>
          <w:szCs w:val="20"/>
          <w:color w:val="auto"/>
        </w:rPr>
      </w:pPr>
      <w:r>
        <w:rPr>
          <w:rFonts w:ascii="Arial" w:cs="Arial" w:eastAsia="Arial" w:hAnsi="Arial"/>
          <w:sz w:val="18"/>
          <w:szCs w:val="18"/>
          <w:b w:val="1"/>
          <w:bCs w:val="1"/>
          <w:color w:val="auto"/>
        </w:rPr>
        <w:t xml:space="preserve">AECO </w:t>
      </w:r>
      <w:r>
        <w:rPr>
          <w:rFonts w:ascii="Arial" w:cs="Arial" w:eastAsia="Arial" w:hAnsi="Arial"/>
          <w:sz w:val="18"/>
          <w:szCs w:val="18"/>
          <w:color w:val="auto"/>
        </w:rPr>
        <w:t>- Alberta Energy Company and is the Canadian benchmark price for natural gas</w:t>
      </w:r>
      <w:r>
        <w:rPr>
          <w:rFonts w:ascii="Arial" w:cs="Arial" w:eastAsia="Arial" w:hAnsi="Arial"/>
          <w:sz w:val="18"/>
          <w:szCs w:val="18"/>
          <w:b w:val="1"/>
          <w:bCs w:val="1"/>
          <w:color w:val="auto"/>
        </w:rPr>
        <w:t xml:space="preserve"> Crude oil </w:t>
      </w:r>
      <w:r>
        <w:rPr>
          <w:rFonts w:ascii="Arial" w:cs="Arial" w:eastAsia="Arial" w:hAnsi="Arial"/>
          <w:sz w:val="18"/>
          <w:szCs w:val="18"/>
          <w:color w:val="auto"/>
        </w:rPr>
        <w:t>- Collectively, crude oil and condensate hydrocarbons</w:t>
      </w:r>
    </w:p>
    <w:p>
      <w:pPr>
        <w:spacing w:after="0" w:line="23" w:lineRule="exact"/>
        <w:rPr>
          <w:sz w:val="20"/>
          <w:szCs w:val="20"/>
          <w:color w:val="auto"/>
        </w:rPr>
      </w:pPr>
    </w:p>
    <w:p>
      <w:pPr>
        <w:ind w:left="340" w:right="320"/>
        <w:spacing w:after="0" w:line="244" w:lineRule="auto"/>
        <w:rPr>
          <w:sz w:val="20"/>
          <w:szCs w:val="20"/>
          <w:color w:val="auto"/>
        </w:rPr>
      </w:pPr>
      <w:r>
        <w:rPr>
          <w:rFonts w:ascii="Arial" w:cs="Arial" w:eastAsia="Arial" w:hAnsi="Arial"/>
          <w:sz w:val="18"/>
          <w:szCs w:val="18"/>
          <w:b w:val="1"/>
          <w:bCs w:val="1"/>
          <w:color w:val="auto"/>
        </w:rPr>
        <w:t xml:space="preserve">Development well </w:t>
      </w:r>
      <w:r>
        <w:rPr>
          <w:rFonts w:ascii="Arial" w:cs="Arial" w:eastAsia="Arial" w:hAnsi="Arial"/>
          <w:sz w:val="18"/>
          <w:szCs w:val="18"/>
          <w:color w:val="auto"/>
        </w:rPr>
        <w:t>- A well that is drilled within the proved area of an oil or natural gas reservoir to the depth of a stratigraphic horizon</w:t>
      </w:r>
      <w:r>
        <w:rPr>
          <w:rFonts w:ascii="Arial" w:cs="Arial" w:eastAsia="Arial" w:hAnsi="Arial"/>
          <w:sz w:val="18"/>
          <w:szCs w:val="18"/>
          <w:b w:val="1"/>
          <w:bCs w:val="1"/>
          <w:color w:val="auto"/>
        </w:rPr>
        <w:t xml:space="preserve"> </w:t>
      </w:r>
      <w:r>
        <w:rPr>
          <w:rFonts w:ascii="Arial" w:cs="Arial" w:eastAsia="Arial" w:hAnsi="Arial"/>
          <w:sz w:val="18"/>
          <w:szCs w:val="18"/>
          <w:color w:val="auto"/>
        </w:rPr>
        <w:t>known to be productive</w:t>
      </w:r>
    </w:p>
    <w:p>
      <w:pPr>
        <w:spacing w:after="0" w:line="1" w:lineRule="exact"/>
        <w:rPr>
          <w:sz w:val="20"/>
          <w:szCs w:val="20"/>
          <w:color w:val="auto"/>
        </w:rPr>
      </w:pPr>
    </w:p>
    <w:p>
      <w:pPr>
        <w:ind w:left="340" w:right="3740"/>
        <w:spacing w:after="0" w:line="269" w:lineRule="auto"/>
        <w:rPr>
          <w:sz w:val="20"/>
          <w:szCs w:val="20"/>
          <w:color w:val="auto"/>
        </w:rPr>
      </w:pPr>
      <w:r>
        <w:rPr>
          <w:rFonts w:ascii="Arial" w:cs="Arial" w:eastAsia="Arial" w:hAnsi="Arial"/>
          <w:sz w:val="18"/>
          <w:szCs w:val="18"/>
          <w:b w:val="1"/>
          <w:bCs w:val="1"/>
          <w:color w:val="auto"/>
        </w:rPr>
        <w:t xml:space="preserve">Dry hole </w:t>
      </w:r>
      <w:r>
        <w:rPr>
          <w:rFonts w:ascii="Arial" w:cs="Arial" w:eastAsia="Arial" w:hAnsi="Arial"/>
          <w:sz w:val="18"/>
          <w:szCs w:val="18"/>
          <w:color w:val="auto"/>
        </w:rPr>
        <w:t>- An exploratory well that does not find oil or natural gas in commercial quantities</w:t>
      </w:r>
      <w:r>
        <w:rPr>
          <w:rFonts w:ascii="Arial" w:cs="Arial" w:eastAsia="Arial" w:hAnsi="Arial"/>
          <w:sz w:val="18"/>
          <w:szCs w:val="18"/>
          <w:b w:val="1"/>
          <w:bCs w:val="1"/>
          <w:color w:val="auto"/>
        </w:rPr>
        <w:t xml:space="preserve"> E&amp;P </w:t>
      </w:r>
      <w:r>
        <w:rPr>
          <w:rFonts w:ascii="Arial" w:cs="Arial" w:eastAsia="Arial" w:hAnsi="Arial"/>
          <w:sz w:val="18"/>
          <w:szCs w:val="18"/>
          <w:color w:val="auto"/>
        </w:rPr>
        <w:t>- Exploration and production</w:t>
      </w:r>
    </w:p>
    <w:p>
      <w:pPr>
        <w:ind w:left="340" w:right="160"/>
        <w:spacing w:after="0" w:line="226" w:lineRule="auto"/>
        <w:rPr>
          <w:sz w:val="20"/>
          <w:szCs w:val="20"/>
          <w:color w:val="auto"/>
        </w:rPr>
      </w:pPr>
      <w:r>
        <w:rPr>
          <w:rFonts w:ascii="Arial" w:cs="Arial" w:eastAsia="Arial" w:hAnsi="Arial"/>
          <w:sz w:val="18"/>
          <w:szCs w:val="18"/>
          <w:b w:val="1"/>
          <w:bCs w:val="1"/>
          <w:color w:val="auto"/>
        </w:rPr>
        <w:t xml:space="preserve">Exploratory well </w:t>
      </w:r>
      <w:r>
        <w:rPr>
          <w:rFonts w:ascii="Arial" w:cs="Arial" w:eastAsia="Arial" w:hAnsi="Arial"/>
          <w:sz w:val="18"/>
          <w:szCs w:val="18"/>
          <w:color w:val="auto"/>
        </w:rPr>
        <w:t>- A well is drilled to find and produce crude oil or natural gas in an unproved area and includes delineation wells which</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 new reservoir in a field known to be productive or to extend a known reservoir beyond the proved area</w:t>
      </w:r>
    </w:p>
    <w:p>
      <w:pPr>
        <w:spacing w:after="0" w:line="6" w:lineRule="exact"/>
        <w:rPr>
          <w:sz w:val="20"/>
          <w:szCs w:val="20"/>
          <w:color w:val="auto"/>
        </w:rPr>
      </w:pPr>
    </w:p>
    <w:p>
      <w:pPr>
        <w:ind w:left="340" w:right="1160"/>
        <w:spacing w:after="0" w:line="273" w:lineRule="auto"/>
        <w:rPr>
          <w:sz w:val="20"/>
          <w:szCs w:val="20"/>
          <w:color w:val="auto"/>
        </w:rPr>
      </w:pPr>
      <w:r>
        <w:rPr>
          <w:rFonts w:ascii="Arial" w:cs="Arial" w:eastAsia="Arial" w:hAnsi="Arial"/>
          <w:sz w:val="18"/>
          <w:szCs w:val="18"/>
          <w:b w:val="1"/>
          <w:bCs w:val="1"/>
          <w:color w:val="auto"/>
        </w:rPr>
        <w:t xml:space="preserve">Hydrocarbons </w:t>
      </w:r>
      <w:r>
        <w:rPr>
          <w:rFonts w:ascii="Arial" w:cs="Arial" w:eastAsia="Arial" w:hAnsi="Arial"/>
          <w:sz w:val="18"/>
          <w:szCs w:val="18"/>
          <w:color w:val="auto"/>
        </w:rPr>
        <w:t>- Organic chemical compounds of hydrogen and carbon atoms that form the basis of all petroleum products</w:t>
      </w:r>
      <w:r>
        <w:rPr>
          <w:rFonts w:ascii="Arial" w:cs="Arial" w:eastAsia="Arial" w:hAnsi="Arial"/>
          <w:sz w:val="18"/>
          <w:szCs w:val="18"/>
          <w:b w:val="1"/>
          <w:bCs w:val="1"/>
          <w:color w:val="auto"/>
        </w:rPr>
        <w:t xml:space="preserve"> Liquids </w:t>
      </w:r>
      <w:r>
        <w:rPr>
          <w:rFonts w:ascii="Arial" w:cs="Arial" w:eastAsia="Arial" w:hAnsi="Arial"/>
          <w:sz w:val="18"/>
          <w:szCs w:val="18"/>
          <w:color w:val="auto"/>
        </w:rPr>
        <w:t>- Collectively, crude oil, condensate and natural gas liquid hydrocarbons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Net acres or net wells </w:t>
      </w:r>
      <w:r>
        <w:rPr>
          <w:rFonts w:ascii="Arial" w:cs="Arial" w:eastAsia="Arial" w:hAnsi="Arial"/>
          <w:sz w:val="18"/>
          <w:szCs w:val="18"/>
          <w:color w:val="auto"/>
        </w:rPr>
        <w:t>- The portions of gross acres or gross wells owned by the Company</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NGLs </w:t>
      </w:r>
      <w:r>
        <w:rPr>
          <w:rFonts w:ascii="Arial" w:cs="Arial" w:eastAsia="Arial" w:hAnsi="Arial"/>
          <w:sz w:val="18"/>
          <w:szCs w:val="18"/>
          <w:color w:val="auto"/>
        </w:rPr>
        <w:t>- Natural gas liquids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NYMEX </w:t>
      </w:r>
      <w:r>
        <w:rPr>
          <w:rFonts w:ascii="Arial" w:cs="Arial" w:eastAsia="Arial" w:hAnsi="Arial"/>
          <w:sz w:val="18"/>
          <w:szCs w:val="18"/>
          <w:color w:val="auto"/>
        </w:rPr>
        <w:t>- New York Mercantile Exchange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OPEC </w:t>
      </w:r>
      <w:r>
        <w:rPr>
          <w:rFonts w:ascii="Arial" w:cs="Arial" w:eastAsia="Arial" w:hAnsi="Arial"/>
          <w:sz w:val="18"/>
          <w:szCs w:val="18"/>
          <w:color w:val="auto"/>
        </w:rPr>
        <w:t>- Organization of the Petroleum Exporting Countries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 The company serving as the manager and often the decision-maker of a drilling or production project</w:t>
      </w:r>
    </w:p>
    <w:p>
      <w:pPr>
        <w:spacing w:after="0" w:line="20" w:lineRule="exact"/>
        <w:rPr>
          <w:sz w:val="20"/>
          <w:szCs w:val="20"/>
          <w:color w:val="auto"/>
        </w:rPr>
      </w:pPr>
    </w:p>
    <w:p>
      <w:pPr>
        <w:ind w:left="340" w:right="180"/>
        <w:spacing w:after="0" w:line="226" w:lineRule="auto"/>
        <w:rPr>
          <w:sz w:val="20"/>
          <w:szCs w:val="20"/>
          <w:color w:val="auto"/>
        </w:rPr>
      </w:pPr>
      <w:r>
        <w:rPr>
          <w:rFonts w:ascii="Arial" w:cs="Arial" w:eastAsia="Arial" w:hAnsi="Arial"/>
          <w:sz w:val="18"/>
          <w:szCs w:val="18"/>
          <w:b w:val="1"/>
          <w:bCs w:val="1"/>
          <w:color w:val="auto"/>
        </w:rPr>
        <w:t xml:space="preserve">Production Sharing Contract (PSC) </w:t>
      </w:r>
      <w:r>
        <w:rPr>
          <w:rFonts w:ascii="Arial" w:cs="Arial" w:eastAsia="Arial" w:hAnsi="Arial"/>
          <w:sz w:val="18"/>
          <w:szCs w:val="18"/>
          <w:color w:val="auto"/>
        </w:rPr>
        <w:t>- Agreement between extracting company(ies) and a host country regarding each party’s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after stipulated exploratory and development costs are recovered</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QRE </w:t>
      </w:r>
      <w:r>
        <w:rPr>
          <w:rFonts w:ascii="Arial" w:cs="Arial" w:eastAsia="Arial" w:hAnsi="Arial"/>
          <w:sz w:val="18"/>
          <w:szCs w:val="18"/>
          <w:color w:val="auto"/>
        </w:rPr>
        <w:t>- Qualified reserve estimator</w:t>
      </w:r>
    </w:p>
    <w:p>
      <w:pPr>
        <w:spacing w:after="0" w:line="38" w:lineRule="exact"/>
        <w:rPr>
          <w:sz w:val="20"/>
          <w:szCs w:val="20"/>
          <w:color w:val="auto"/>
        </w:rPr>
      </w:pPr>
    </w:p>
    <w:p>
      <w:pPr>
        <w:ind w:left="340"/>
        <w:spacing w:after="0" w:line="226" w:lineRule="auto"/>
        <w:rPr>
          <w:sz w:val="20"/>
          <w:szCs w:val="20"/>
          <w:color w:val="auto"/>
        </w:rPr>
      </w:pPr>
      <w:r>
        <w:rPr>
          <w:rFonts w:ascii="Arial" w:cs="Arial" w:eastAsia="Arial" w:hAnsi="Arial"/>
          <w:sz w:val="18"/>
          <w:szCs w:val="18"/>
          <w:b w:val="1"/>
          <w:bCs w:val="1"/>
          <w:color w:val="auto"/>
        </w:rPr>
        <w:t xml:space="preserve">Seismic </w:t>
      </w:r>
      <w:r>
        <w:rPr>
          <w:rFonts w:ascii="Arial" w:cs="Arial" w:eastAsia="Arial" w:hAnsi="Arial"/>
          <w:sz w:val="18"/>
          <w:szCs w:val="18"/>
          <w:color w:val="auto"/>
        </w:rPr>
        <w:t>- Two-dimensional or three-dimensional images created by bouncing sound waves off underground rock formations that are used</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the best places to drill for hydrocarbons</w:t>
      </w:r>
    </w:p>
    <w:p>
      <w:pPr>
        <w:spacing w:after="0" w:line="6" w:lineRule="exact"/>
        <w:rPr>
          <w:sz w:val="20"/>
          <w:szCs w:val="20"/>
          <w:color w:val="auto"/>
        </w:rPr>
      </w:pPr>
    </w:p>
    <w:p>
      <w:pPr>
        <w:ind w:left="340" w:right="1020"/>
        <w:spacing w:after="0" w:line="273" w:lineRule="auto"/>
        <w:rPr>
          <w:sz w:val="20"/>
          <w:szCs w:val="20"/>
          <w:color w:val="auto"/>
        </w:rPr>
      </w:pPr>
      <w:r>
        <w:rPr>
          <w:rFonts w:ascii="Arial" w:cs="Arial" w:eastAsia="Arial" w:hAnsi="Arial"/>
          <w:sz w:val="18"/>
          <w:szCs w:val="18"/>
          <w:b w:val="1"/>
          <w:bCs w:val="1"/>
          <w:color w:val="auto"/>
        </w:rPr>
        <w:t xml:space="preserve">Working interest </w:t>
      </w:r>
      <w:r>
        <w:rPr>
          <w:rFonts w:ascii="Arial" w:cs="Arial" w:eastAsia="Arial" w:hAnsi="Arial"/>
          <w:sz w:val="18"/>
          <w:szCs w:val="18"/>
          <w:color w:val="auto"/>
        </w:rPr>
        <w:t>- Right to drill and produce oil and natural gas on the leased acreage, as well as the obligation to pay costs</w:t>
      </w:r>
      <w:r>
        <w:rPr>
          <w:rFonts w:ascii="Arial" w:cs="Arial" w:eastAsia="Arial" w:hAnsi="Arial"/>
          <w:sz w:val="18"/>
          <w:szCs w:val="18"/>
          <w:b w:val="1"/>
          <w:bCs w:val="1"/>
          <w:color w:val="auto"/>
        </w:rPr>
        <w:t xml:space="preserve"> WTI </w:t>
      </w:r>
      <w:r>
        <w:rPr>
          <w:rFonts w:ascii="Arial" w:cs="Arial" w:eastAsia="Arial" w:hAnsi="Arial"/>
          <w:sz w:val="18"/>
          <w:szCs w:val="18"/>
          <w:color w:val="auto"/>
        </w:rPr>
        <w:t>- West Texas Intermediate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Accounting:</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ARO </w:t>
      </w:r>
      <w:r>
        <w:rPr>
          <w:rFonts w:ascii="Arial" w:cs="Arial" w:eastAsia="Arial" w:hAnsi="Arial"/>
          <w:sz w:val="18"/>
          <w:szCs w:val="18"/>
          <w:color w:val="auto"/>
        </w:rPr>
        <w:t>- Asset retirement obligation</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ASC </w:t>
      </w:r>
      <w:r>
        <w:rPr>
          <w:rFonts w:ascii="Arial" w:cs="Arial" w:eastAsia="Arial" w:hAnsi="Arial"/>
          <w:sz w:val="18"/>
          <w:szCs w:val="18"/>
          <w:color w:val="auto"/>
        </w:rPr>
        <w:t>- Accounting Standards Codification</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ASU </w:t>
      </w:r>
      <w:r>
        <w:rPr>
          <w:rFonts w:ascii="Arial" w:cs="Arial" w:eastAsia="Arial" w:hAnsi="Arial"/>
          <w:sz w:val="18"/>
          <w:szCs w:val="18"/>
          <w:color w:val="auto"/>
        </w:rPr>
        <w:t>- Accounting Standards Update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89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CODM </w:t>
      </w:r>
      <w:r>
        <w:rPr>
          <w:rFonts w:ascii="Arial" w:cs="Arial" w:eastAsia="Arial" w:hAnsi="Arial"/>
          <w:sz w:val="18"/>
          <w:szCs w:val="18"/>
          <w:color w:val="auto"/>
        </w:rPr>
        <w:t>- Chief Operating Decision Maker</w:t>
      </w:r>
    </w:p>
    <w:p>
      <w:pPr>
        <w:spacing w:after="0" w:line="38" w:lineRule="exact"/>
        <w:rPr>
          <w:sz w:val="20"/>
          <w:szCs w:val="20"/>
          <w:color w:val="auto"/>
        </w:rPr>
      </w:pPr>
    </w:p>
    <w:p>
      <w:pPr>
        <w:ind w:left="340" w:right="4119"/>
        <w:spacing w:after="0" w:line="263" w:lineRule="auto"/>
        <w:rPr>
          <w:sz w:val="20"/>
          <w:szCs w:val="20"/>
          <w:color w:val="auto"/>
        </w:rPr>
      </w:pPr>
      <w:r>
        <w:rPr>
          <w:rFonts w:ascii="Arial" w:cs="Arial" w:eastAsia="Arial" w:hAnsi="Arial"/>
          <w:sz w:val="18"/>
          <w:szCs w:val="18"/>
          <w:b w:val="1"/>
          <w:bCs w:val="1"/>
          <w:color w:val="auto"/>
        </w:rPr>
        <w:t xml:space="preserve">DD&amp;A </w:t>
      </w:r>
      <w:r>
        <w:rPr>
          <w:rFonts w:ascii="Arial" w:cs="Arial" w:eastAsia="Arial" w:hAnsi="Arial"/>
          <w:sz w:val="18"/>
          <w:szCs w:val="18"/>
          <w:color w:val="auto"/>
        </w:rPr>
        <w:t>- Depreciation, depletion and amortization</w:t>
      </w:r>
      <w:r>
        <w:rPr>
          <w:rFonts w:ascii="Arial" w:cs="Arial" w:eastAsia="Arial" w:hAnsi="Arial"/>
          <w:sz w:val="18"/>
          <w:szCs w:val="18"/>
          <w:b w:val="1"/>
          <w:bCs w:val="1"/>
          <w:color w:val="auto"/>
        </w:rPr>
        <w:t xml:space="preserve"> EBITDA </w:t>
      </w:r>
      <w:r>
        <w:rPr>
          <w:rFonts w:ascii="Arial" w:cs="Arial" w:eastAsia="Arial" w:hAnsi="Arial"/>
          <w:sz w:val="18"/>
          <w:szCs w:val="18"/>
          <w:color w:val="auto"/>
        </w:rPr>
        <w:t>- Earnings before interest, taxes, depreciation and amortization</w:t>
      </w:r>
      <w:r>
        <w:rPr>
          <w:rFonts w:ascii="Arial" w:cs="Arial" w:eastAsia="Arial" w:hAnsi="Arial"/>
          <w:sz w:val="18"/>
          <w:szCs w:val="18"/>
          <w:b w:val="1"/>
          <w:bCs w:val="1"/>
          <w:color w:val="auto"/>
        </w:rPr>
        <w:t xml:space="preserve"> FASB </w:t>
      </w:r>
      <w:r>
        <w:rPr>
          <w:rFonts w:ascii="Arial" w:cs="Arial" w:eastAsia="Arial" w:hAnsi="Arial"/>
          <w:sz w:val="18"/>
          <w:szCs w:val="18"/>
          <w:color w:val="auto"/>
        </w:rPr>
        <w:t>- Financial Accounting Standards Board</w:t>
      </w:r>
      <w:r>
        <w:rPr>
          <w:rFonts w:ascii="Arial" w:cs="Arial" w:eastAsia="Arial" w:hAnsi="Arial"/>
          <w:sz w:val="18"/>
          <w:szCs w:val="18"/>
          <w:b w:val="1"/>
          <w:bCs w:val="1"/>
          <w:color w:val="auto"/>
        </w:rPr>
        <w:t xml:space="preserve"> GAAP </w:t>
      </w:r>
      <w:r>
        <w:rPr>
          <w:rFonts w:ascii="Arial" w:cs="Arial" w:eastAsia="Arial" w:hAnsi="Arial"/>
          <w:sz w:val="18"/>
          <w:szCs w:val="18"/>
          <w:color w:val="auto"/>
        </w:rPr>
        <w:t>- U.S. Generally Accepted Accounting Principles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NCI </w:t>
      </w:r>
      <w:r>
        <w:rPr>
          <w:rFonts w:ascii="Arial" w:cs="Arial" w:eastAsia="Arial" w:hAnsi="Arial"/>
          <w:sz w:val="18"/>
          <w:szCs w:val="18"/>
          <w:color w:val="auto"/>
        </w:rPr>
        <w:t>- Noncontrolling interest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PCAOB </w:t>
      </w:r>
      <w:r>
        <w:rPr>
          <w:rFonts w:ascii="Arial" w:cs="Arial" w:eastAsia="Arial" w:hAnsi="Arial"/>
          <w:sz w:val="18"/>
          <w:szCs w:val="18"/>
          <w:color w:val="auto"/>
        </w:rPr>
        <w:t>- Public Company Accounting Oversight Board</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 U.S. Securities and Exchange Commission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AIP </w:t>
      </w:r>
      <w:r>
        <w:rPr>
          <w:rFonts w:ascii="Arial" w:cs="Arial" w:eastAsia="Arial" w:hAnsi="Arial"/>
          <w:sz w:val="18"/>
          <w:szCs w:val="18"/>
          <w:color w:val="auto"/>
        </w:rPr>
        <w:t>- Annual Incentive Plan</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BOEM </w:t>
      </w:r>
      <w:r>
        <w:rPr>
          <w:rFonts w:ascii="Arial" w:cs="Arial" w:eastAsia="Arial" w:hAnsi="Arial"/>
          <w:sz w:val="18"/>
          <w:szCs w:val="18"/>
          <w:color w:val="auto"/>
        </w:rPr>
        <w:t>- U.S. Bureau of Ocean Energy Management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BSEE </w:t>
      </w:r>
      <w:r>
        <w:rPr>
          <w:rFonts w:ascii="Arial" w:cs="Arial" w:eastAsia="Arial" w:hAnsi="Arial"/>
          <w:sz w:val="18"/>
          <w:szCs w:val="18"/>
          <w:color w:val="auto"/>
        </w:rPr>
        <w:t>- U.S. Bureau of Safety and Environmental Enforcement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CRSU </w:t>
      </w:r>
      <w:r>
        <w:rPr>
          <w:rFonts w:ascii="Arial" w:cs="Arial" w:eastAsia="Arial" w:hAnsi="Arial"/>
          <w:sz w:val="18"/>
          <w:szCs w:val="18"/>
          <w:color w:val="auto"/>
        </w:rPr>
        <w:t>- Cash-settled restricted time-based stock unit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EPA </w:t>
      </w:r>
      <w:r>
        <w:rPr>
          <w:rFonts w:ascii="Arial" w:cs="Arial" w:eastAsia="Arial" w:hAnsi="Arial"/>
          <w:sz w:val="18"/>
          <w:szCs w:val="18"/>
          <w:color w:val="auto"/>
        </w:rPr>
        <w:t>- U.S. Environmental Protection Agency</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ESG </w:t>
      </w:r>
      <w:r>
        <w:rPr>
          <w:rFonts w:ascii="Arial" w:cs="Arial" w:eastAsia="Arial" w:hAnsi="Arial"/>
          <w:sz w:val="18"/>
          <w:szCs w:val="18"/>
          <w:color w:val="auto"/>
        </w:rPr>
        <w:t>- Environmental, Social and Governance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GHG </w:t>
      </w:r>
      <w:r>
        <w:rPr>
          <w:rFonts w:ascii="Arial" w:cs="Arial" w:eastAsia="Arial" w:hAnsi="Arial"/>
          <w:sz w:val="18"/>
          <w:szCs w:val="18"/>
          <w:color w:val="auto"/>
        </w:rPr>
        <w:t>- Greenhouse gas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IRA </w:t>
      </w:r>
      <w:r>
        <w:rPr>
          <w:rFonts w:ascii="Arial" w:cs="Arial" w:eastAsia="Arial" w:hAnsi="Arial"/>
          <w:sz w:val="18"/>
          <w:szCs w:val="18"/>
          <w:color w:val="auto"/>
        </w:rPr>
        <w:t>- Inflation Reduction Act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MP GOM </w:t>
      </w:r>
      <w:r>
        <w:rPr>
          <w:rFonts w:ascii="Arial" w:cs="Arial" w:eastAsia="Arial" w:hAnsi="Arial"/>
          <w:sz w:val="18"/>
          <w:szCs w:val="18"/>
          <w:color w:val="auto"/>
        </w:rPr>
        <w:t>- MP Gulf of Mexico, LLC</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PAI </w:t>
      </w:r>
      <w:r>
        <w:rPr>
          <w:rFonts w:ascii="Arial" w:cs="Arial" w:eastAsia="Arial" w:hAnsi="Arial"/>
          <w:sz w:val="18"/>
          <w:szCs w:val="18"/>
          <w:color w:val="auto"/>
        </w:rPr>
        <w:t>- Petrobras America Inc.</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 Performance-based restricted stock unit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RCF </w:t>
      </w:r>
      <w:r>
        <w:rPr>
          <w:rFonts w:ascii="Arial" w:cs="Arial" w:eastAsia="Arial" w:hAnsi="Arial"/>
          <w:sz w:val="18"/>
          <w:szCs w:val="18"/>
          <w:color w:val="auto"/>
        </w:rPr>
        <w:t>- Revolving credit facility</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ROACE </w:t>
      </w:r>
      <w:r>
        <w:rPr>
          <w:rFonts w:ascii="Arial" w:cs="Arial" w:eastAsia="Arial" w:hAnsi="Arial"/>
          <w:sz w:val="18"/>
          <w:szCs w:val="18"/>
          <w:color w:val="auto"/>
        </w:rPr>
        <w:t>- Return on average capital employed</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 Time-based restricted stock unit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 Stock appreciation right</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SOFR </w:t>
      </w:r>
      <w:r>
        <w:rPr>
          <w:rFonts w:ascii="Arial" w:cs="Arial" w:eastAsia="Arial" w:hAnsi="Arial"/>
          <w:sz w:val="18"/>
          <w:szCs w:val="18"/>
          <w:color w:val="auto"/>
        </w:rPr>
        <w:t>- Secured Overnight Financing Rate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TCFD </w:t>
      </w:r>
      <w:r>
        <w:rPr>
          <w:rFonts w:ascii="Arial" w:cs="Arial" w:eastAsia="Arial" w:hAnsi="Arial"/>
          <w:sz w:val="18"/>
          <w:szCs w:val="18"/>
          <w:color w:val="auto"/>
        </w:rPr>
        <w:t>- Task Force on Climate-related Financial Disclosures</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 Total Shareholder Return</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WEC </w:t>
      </w:r>
      <w:r>
        <w:rPr>
          <w:rFonts w:ascii="Arial" w:cs="Arial" w:eastAsia="Arial" w:hAnsi="Arial"/>
          <w:sz w:val="18"/>
          <w:szCs w:val="18"/>
          <w:color w:val="auto"/>
        </w:rPr>
        <w:t>- Waste Emission Charge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139"/>
          </w:cols>
          <w:pgMar w:left="320" w:top="229"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SEVERANCE PROTECTION AGREEMENT</w:t>
      </w:r>
    </w:p>
    <w:p>
      <w:pPr>
        <w:spacing w:after="0" w:line="226" w:lineRule="exact"/>
        <w:rPr>
          <w:sz w:val="20"/>
          <w:szCs w:val="20"/>
          <w:color w:val="auto"/>
        </w:rPr>
      </w:pPr>
    </w:p>
    <w:p>
      <w:pPr>
        <w:ind w:right="160" w:firstLine="641"/>
        <w:spacing w:after="0" w:line="279" w:lineRule="auto"/>
        <w:rPr>
          <w:sz w:val="20"/>
          <w:szCs w:val="20"/>
          <w:color w:val="auto"/>
        </w:rPr>
      </w:pPr>
      <w:r>
        <w:rPr>
          <w:rFonts w:ascii="Times New Roman" w:cs="Times New Roman" w:eastAsia="Times New Roman" w:hAnsi="Times New Roman"/>
          <w:sz w:val="21"/>
          <w:szCs w:val="21"/>
          <w:color w:val="auto"/>
        </w:rPr>
        <w:t>THIS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made as of the [•] day of [•], [•] (the “Effective Date”), by and between Murphy Oil Corporation, a Delaware corporation, and its Successors and Assigns (collectively,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Unless otherwise indicated, capitalized terms used in this Agreement shall have the meanings as set forth in Section 15.</w:t>
      </w:r>
    </w:p>
    <w:p>
      <w:pPr>
        <w:spacing w:after="0" w:line="146" w:lineRule="exact"/>
        <w:rPr>
          <w:sz w:val="20"/>
          <w:szCs w:val="20"/>
          <w:color w:val="auto"/>
        </w:rPr>
      </w:pPr>
    </w:p>
    <w:p>
      <w:pPr>
        <w:jc w:val="both"/>
        <w:ind w:right="380" w:firstLine="641"/>
        <w:spacing w:after="0" w:line="272" w:lineRule="auto"/>
        <w:rPr>
          <w:sz w:val="20"/>
          <w:szCs w:val="20"/>
          <w:color w:val="auto"/>
        </w:rPr>
      </w:pPr>
      <w:r>
        <w:rPr>
          <w:rFonts w:ascii="Times New Roman" w:cs="Times New Roman" w:eastAsia="Times New Roman" w:hAnsi="Times New Roman"/>
          <w:sz w:val="21"/>
          <w:szCs w:val="21"/>
          <w:color w:val="auto"/>
        </w:rPr>
        <w:t>WHEREAS, the Board of Directors of the Company, acting through its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recognizes that the possibility of a Change in Control exists and that the threat or the occurrence of a Change in Control and its inherent uncertainties can result in significant distractions of its key management personnel;</w:t>
      </w:r>
    </w:p>
    <w:p>
      <w:pPr>
        <w:spacing w:after="0" w:line="158" w:lineRule="exact"/>
        <w:rPr>
          <w:sz w:val="20"/>
          <w:szCs w:val="20"/>
          <w:color w:val="auto"/>
        </w:rPr>
      </w:pPr>
    </w:p>
    <w:p>
      <w:pPr>
        <w:ind w:right="140" w:firstLine="641"/>
        <w:spacing w:after="0" w:line="277" w:lineRule="auto"/>
        <w:rPr>
          <w:sz w:val="20"/>
          <w:szCs w:val="20"/>
          <w:color w:val="auto"/>
        </w:rPr>
      </w:pPr>
      <w:r>
        <w:rPr>
          <w:rFonts w:ascii="Times New Roman" w:cs="Times New Roman" w:eastAsia="Times New Roman" w:hAnsi="Times New Roman"/>
          <w:sz w:val="21"/>
          <w:szCs w:val="21"/>
          <w:color w:val="auto"/>
        </w:rPr>
        <w:t>WHEREAS, the Committee has determined that it is essential and in the best interest of the Company and its stockholders to retain the services of Executive in the event of a threat or occurrence of a Change in Control and to ensure Executive’s continued dedication and efforts in such event; and</w:t>
      </w:r>
    </w:p>
    <w:p>
      <w:pPr>
        <w:spacing w:after="0" w:line="152" w:lineRule="exact"/>
        <w:rPr>
          <w:sz w:val="20"/>
          <w:szCs w:val="20"/>
          <w:color w:val="auto"/>
        </w:rPr>
      </w:pPr>
    </w:p>
    <w:p>
      <w:pPr>
        <w:jc w:val="both"/>
        <w:ind w:right="220" w:firstLine="641"/>
        <w:spacing w:after="0" w:line="270" w:lineRule="auto"/>
        <w:rPr>
          <w:sz w:val="20"/>
          <w:szCs w:val="20"/>
          <w:color w:val="auto"/>
        </w:rPr>
      </w:pPr>
      <w:r>
        <w:rPr>
          <w:rFonts w:ascii="Times New Roman" w:cs="Times New Roman" w:eastAsia="Times New Roman" w:hAnsi="Times New Roman"/>
          <w:sz w:val="21"/>
          <w:szCs w:val="21"/>
          <w:color w:val="auto"/>
        </w:rPr>
        <w:t>WHEREAS, in order to induce Executive to remain in the employ of the Company, particularly in the event of a threat or occurrence of a Change in Control, the Company desires to enter into this Agreement with Executive to provide Executive with certain benefits in the event Executive’s employment is terminated as a result of, or in connection with, a Change in Control.</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in consideration of the respective agreements of the parties contained herein, it is agreed as follows:</w:t>
      </w:r>
    </w:p>
    <w:p>
      <w:pPr>
        <w:spacing w:after="0" w:line="235" w:lineRule="exact"/>
        <w:rPr>
          <w:sz w:val="20"/>
          <w:szCs w:val="20"/>
          <w:color w:val="auto"/>
        </w:rPr>
      </w:pPr>
    </w:p>
    <w:p>
      <w:pPr>
        <w:ind w:right="20" w:firstLine="648"/>
        <w:spacing w:after="0" w:line="259" w:lineRule="auto"/>
        <w:tabs>
          <w:tab w:leader="none" w:pos="128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Consent</w:t>
      </w:r>
      <w:r>
        <w:rPr>
          <w:rFonts w:ascii="Times New Roman" w:cs="Times New Roman" w:eastAsia="Times New Roman" w:hAnsi="Times New Roman"/>
          <w:sz w:val="21"/>
          <w:szCs w:val="21"/>
          <w:color w:val="auto"/>
        </w:rPr>
        <w:t>. The term of this Agreement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shall commence as of the Effective Date and shall continue in effect until the third anniversary of the Effective Date; provided, however, that the Term shall automatically be extended for additional successive one year periods unless either the Company or Executive provides written notice to the other at least 90 days prior to the end of the Term as then in effect that the Term shall not be so extended. Notwithstanding the foregoing,</w:t>
      </w:r>
    </w:p>
    <w:p>
      <w:pPr>
        <w:ind w:right="420" w:firstLine="7"/>
        <w:spacing w:after="0" w:line="265" w:lineRule="auto"/>
        <w:tabs>
          <w:tab w:leader="none" w:pos="25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Change in Control occurs during the Term, the Term shall remain in effect until the date that is 24 months after the occurrence of a Change in Control and (ii) this Agreement shall expire and be of no further force and effect in the event of any termination of Executive’s employment that occurs prior to a Change in Control.</w:t>
      </w:r>
    </w:p>
    <w:p>
      <w:pPr>
        <w:spacing w:after="0" w:line="164"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right="180" w:firstLine="1282"/>
        <w:spacing w:after="0" w:line="277"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Amount of Compensation and Benefits</w:t>
      </w:r>
      <w:r>
        <w:rPr>
          <w:rFonts w:ascii="Times New Roman" w:cs="Times New Roman" w:eastAsia="Times New Roman" w:hAnsi="Times New Roman"/>
          <w:sz w:val="21"/>
          <w:szCs w:val="21"/>
          <w:color w:val="auto"/>
        </w:rPr>
        <w:t>. If, during the Term, Executive’s employment with the Company is terminated within 24 months following a Change in Control, Executive shall be entitled to the following compensation and benefits:</w:t>
      </w:r>
    </w:p>
    <w:p>
      <w:pPr>
        <w:sectPr>
          <w:pgSz w:w="11900" w:h="16838" w:orient="portrait"/>
          <w:cols w:equalWidth="0" w:num="1">
            <w:col w:w="11240"/>
          </w:cols>
          <w:pgMar w:left="320" w:top="95" w:right="339" w:bottom="1440" w:gutter="0" w:footer="0" w:header="0"/>
        </w:sectPr>
      </w:pPr>
    </w:p>
    <w:bookmarkStart w:id="128" w:name="page129"/>
    <w:bookmarkEnd w:id="128"/>
    <w:p>
      <w:pPr>
        <w:ind w:right="60" w:firstLine="1930"/>
        <w:spacing w:after="0" w:line="270" w:lineRule="auto"/>
        <w:tabs>
          <w:tab w:leader="none" w:pos="256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of Executive’s employment is (1) by the Company for Cause or Disability, (2) by reason of Executive’s death, or (3) by Executive for other than Good Reason, the Company shall pay Executive the Accrued Compensation.</w:t>
      </w:r>
    </w:p>
    <w:p>
      <w:pPr>
        <w:spacing w:after="0" w:line="173" w:lineRule="exact"/>
        <w:rPr>
          <w:rFonts w:ascii="Times New Roman" w:cs="Times New Roman" w:eastAsia="Times New Roman" w:hAnsi="Times New Roman"/>
          <w:sz w:val="21"/>
          <w:szCs w:val="21"/>
          <w:color w:val="auto"/>
        </w:rPr>
      </w:pPr>
    </w:p>
    <w:p>
      <w:pPr>
        <w:ind w:left="2560" w:hanging="630"/>
        <w:spacing w:after="0"/>
        <w:tabs>
          <w:tab w:leader="none" w:pos="25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of Executive’s employment is for any reason other than as specified in Section</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2.1(a), Executive shall be entitled to the following payments and benefits:</w:t>
      </w:r>
    </w:p>
    <w:p>
      <w:pPr>
        <w:spacing w:after="0" w:line="202" w:lineRule="exact"/>
        <w:rPr>
          <w:rFonts w:ascii="Times New Roman" w:cs="Times New Roman" w:eastAsia="Times New Roman" w:hAnsi="Times New Roman"/>
          <w:sz w:val="21"/>
          <w:szCs w:val="21"/>
          <w:color w:val="auto"/>
        </w:rPr>
      </w:pPr>
    </w:p>
    <w:p>
      <w:pPr>
        <w:ind w:left="3200" w:hanging="628"/>
        <w:spacing w:after="0"/>
        <w:tabs>
          <w:tab w:leader="none" w:pos="320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Executive the Accrued Compensation;</w:t>
      </w:r>
    </w:p>
    <w:p>
      <w:pPr>
        <w:spacing w:after="0" w:line="226" w:lineRule="exact"/>
        <w:rPr>
          <w:rFonts w:ascii="Times New Roman" w:cs="Times New Roman" w:eastAsia="Times New Roman" w:hAnsi="Times New Roman"/>
          <w:sz w:val="21"/>
          <w:szCs w:val="21"/>
          <w:color w:val="auto"/>
        </w:rPr>
      </w:pPr>
    </w:p>
    <w:p>
      <w:pPr>
        <w:ind w:left="1940" w:right="20" w:firstLine="632"/>
        <w:spacing w:after="0" w:line="248" w:lineRule="auto"/>
        <w:tabs>
          <w:tab w:leader="none" w:pos="321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Executive as severance pay an amount in cash equal to [three (3)][two and a half (2.5)]</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times the sum of (A) the Base Salary and (B) the Bonus Amount, paid in a single lump sum cash payment on the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after the date of the termination of the Executive’s employment; and</w:t>
      </w:r>
    </w:p>
    <w:p>
      <w:pPr>
        <w:spacing w:after="0" w:line="97" w:lineRule="exact"/>
        <w:rPr>
          <w:rFonts w:ascii="Times New Roman" w:cs="Times New Roman" w:eastAsia="Times New Roman" w:hAnsi="Times New Roman"/>
          <w:sz w:val="21"/>
          <w:szCs w:val="21"/>
          <w:color w:val="auto"/>
        </w:rPr>
      </w:pPr>
    </w:p>
    <w:p>
      <w:pPr>
        <w:ind w:left="1940" w:firstLine="632"/>
        <w:spacing w:after="0" w:line="257" w:lineRule="auto"/>
        <w:tabs>
          <w:tab w:leader="none" w:pos="3222"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stock options or other equity-based awards including, without limitation, restricted stock unit awards and stock appreciation rights held by Executive that are outstanding on the Termination Date (collectively, “</w:t>
      </w:r>
      <w:r>
        <w:rPr>
          <w:rFonts w:ascii="Times New Roman" w:cs="Times New Roman" w:eastAsia="Times New Roman" w:hAnsi="Times New Roman"/>
          <w:sz w:val="21"/>
          <w:szCs w:val="21"/>
          <w:b w:val="1"/>
          <w:bCs w:val="1"/>
          <w:color w:val="auto"/>
        </w:rPr>
        <w:t>Company Equity Awards</w:t>
      </w:r>
      <w:r>
        <w:rPr>
          <w:rFonts w:ascii="Times New Roman" w:cs="Times New Roman" w:eastAsia="Times New Roman" w:hAnsi="Times New Roman"/>
          <w:sz w:val="21"/>
          <w:szCs w:val="21"/>
          <w:color w:val="auto"/>
        </w:rPr>
        <w:t xml:space="preserve">”) and any stock options or other equity-based awards into which the Company Equity Awards are converted, or stock options or other equity-based awards granted in substitution for the Company Equity Awards, shall on the Termination Date become fully vested, exercisable and payable,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all performance based restricted stock unit or similar awards shall be paid out at target or 100% performance, as the case may be. Notwithstanding the foregoing, no stock option or other equity-based award shall be exercisable after the specified maximum term of the stock option or other equity-based award, as set forth in the applicable Company equity- based compensation plan or award agreement.</w:t>
      </w:r>
    </w:p>
    <w:p>
      <w:pPr>
        <w:spacing w:after="0" w:line="187" w:lineRule="exact"/>
        <w:rPr>
          <w:rFonts w:ascii="Times New Roman" w:cs="Times New Roman" w:eastAsia="Times New Roman" w:hAnsi="Times New Roman"/>
          <w:sz w:val="21"/>
          <w:szCs w:val="21"/>
          <w:color w:val="auto"/>
        </w:rPr>
      </w:pPr>
    </w:p>
    <w:p>
      <w:pPr>
        <w:ind w:left="1940" w:right="200" w:firstLine="632"/>
        <w:spacing w:after="0" w:line="245" w:lineRule="auto"/>
        <w:tabs>
          <w:tab w:leader="none" w:pos="321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[36][30]</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-month period immediately following the Termination Date, the Company shall arrange to provide Executive and Executive’s dependents life, accident, and health insurance benefits substantially similar to those provided to Executive and Executive’s dependents immediately prior to the Termination Date or, if more favorable to Executive, those provided to Executive and Executive’s dependents immediately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6967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1696720" cy="8255"/>
                    </a:xfrm>
                    <a:prstGeom prst="rect">
                      <a:avLst/>
                    </a:prstGeom>
                    <a:noFill/>
                  </pic:spPr>
                </pic:pic>
              </a:graphicData>
            </a:graphic>
          </wp:anchor>
        </w:drawing>
      </w:r>
    </w:p>
    <w:p>
      <w:pPr>
        <w:spacing w:after="0" w:line="236" w:lineRule="exact"/>
        <w:rPr>
          <w:sz w:val="20"/>
          <w:szCs w:val="20"/>
          <w:color w:val="auto"/>
        </w:rPr>
      </w:pPr>
    </w:p>
    <w:p>
      <w:pPr>
        <w:ind w:left="760" w:hanging="112"/>
        <w:spacing w:after="0"/>
        <w:tabs>
          <w:tab w:leader="none" w:pos="760"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as applicable.</w:t>
      </w:r>
    </w:p>
    <w:p>
      <w:pPr>
        <w:spacing w:after="0" w:line="136" w:lineRule="exact"/>
        <w:rPr>
          <w:sz w:val="20"/>
          <w:szCs w:val="20"/>
          <w:color w:val="auto"/>
        </w:rPr>
      </w:pPr>
    </w:p>
    <w:p>
      <w:pPr>
        <w:ind w:left="760" w:hanging="112"/>
        <w:spacing w:after="0"/>
        <w:tabs>
          <w:tab w:leader="none" w:pos="760"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8" w:right="339" w:bottom="1440" w:gutter="0" w:footer="0" w:header="0"/>
        </w:sectPr>
      </w:pPr>
    </w:p>
    <w:bookmarkStart w:id="129" w:name="page130"/>
    <w:bookmarkEnd w:id="129"/>
    <w:p>
      <w:pPr>
        <w:ind w:left="1900" w:right="120"/>
        <w:spacing w:after="0" w:line="260" w:lineRule="auto"/>
        <w:rPr>
          <w:sz w:val="20"/>
          <w:szCs w:val="20"/>
          <w:color w:val="auto"/>
        </w:rPr>
      </w:pPr>
      <w:r>
        <w:rPr>
          <w:rFonts w:ascii="Times New Roman" w:cs="Times New Roman" w:eastAsia="Times New Roman" w:hAnsi="Times New Roman"/>
          <w:sz w:val="21"/>
          <w:szCs w:val="21"/>
          <w:color w:val="auto"/>
        </w:rPr>
        <w:t xml:space="preserve">the first occurrence of an event or circumstance constituting Good Reason, at no greater cost to Executive than the cost to Executive immediately prior to such date or occurrence;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providing such benefits could subject the Company, Executive or any applicable Company plan to any excise tax for failure to comply with any law applicable to group health plans which becomes effective after the Effective Date, the Company and Executive shall in good faith renegotiate this Section 2.1(b)(iv) to achieve a result that preserves as closely as possible the parties’ intended after-tax economic positions under this Section 2.1(b)(iv).</w:t>
      </w:r>
    </w:p>
    <w:p>
      <w:pPr>
        <w:spacing w:after="0" w:line="173" w:lineRule="exact"/>
        <w:rPr>
          <w:sz w:val="20"/>
          <w:szCs w:val="20"/>
          <w:color w:val="auto"/>
        </w:rPr>
      </w:pPr>
    </w:p>
    <w:p>
      <w:pPr>
        <w:ind w:left="-40" w:firstLine="1930"/>
        <w:spacing w:after="0" w:line="260" w:lineRule="auto"/>
        <w:tabs>
          <w:tab w:leader="none" w:pos="252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the time of Executive’s Separation from Service, Executive is a Specified Employee, any and all amounts payable under this Section 2 in connection with such Separation from Service that constitute deferred compensation subject to Section 409A of the Code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as determined by the Company in its sole discretion, and that would (but for this sentence) be payable within six (6) months following such Separation from Service, shall instead be paid on the date that follows the date of such Separation from Service by six months. For purposes of the preceding sentence, “</w:t>
      </w:r>
      <w:r>
        <w:rPr>
          <w:rFonts w:ascii="Times New Roman" w:cs="Times New Roman" w:eastAsia="Times New Roman" w:hAnsi="Times New Roman"/>
          <w:sz w:val="21"/>
          <w:szCs w:val="21"/>
          <w:b w:val="1"/>
          <w:bCs w:val="1"/>
          <w:color w:val="auto"/>
        </w:rPr>
        <w:t>Separation 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Service</w:t>
      </w:r>
      <w:r>
        <w:rPr>
          <w:rFonts w:ascii="Times New Roman" w:cs="Times New Roman" w:eastAsia="Times New Roman" w:hAnsi="Times New Roman"/>
          <w:sz w:val="21"/>
          <w:szCs w:val="21"/>
          <w:color w:val="auto"/>
        </w:rPr>
        <w:t>” shall be determined in a manner consistent with subsection (a)(2)(A)(i) of Section 409A and the term “</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shall mean an individual determined by the Company to be a Specified Employee as defined in subsection (a)(2)(B)(i)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Section 409A. In the event of any delay in payments under this Section 2.1(c), the deferred amount shall bear interest at the 10-year Treasury rate in effect on the Termination Date until paid.</w:t>
      </w:r>
    </w:p>
    <w:p>
      <w:pPr>
        <w:spacing w:after="0" w:line="166" w:lineRule="exact"/>
        <w:rPr>
          <w:rFonts w:ascii="Times New Roman" w:cs="Times New Roman" w:eastAsia="Times New Roman" w:hAnsi="Times New Roman"/>
          <w:sz w:val="21"/>
          <w:szCs w:val="21"/>
          <w:color w:val="auto"/>
        </w:rPr>
      </w:pPr>
    </w:p>
    <w:p>
      <w:pPr>
        <w:ind w:left="-40" w:right="20" w:firstLine="1930"/>
        <w:spacing w:after="0" w:line="259" w:lineRule="auto"/>
        <w:tabs>
          <w:tab w:leader="none" w:pos="252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amounts provided for in Sections (b)(ii), (b)(iii) and 2.1(b)(iv) (the “</w:t>
      </w:r>
      <w:r>
        <w:rPr>
          <w:rFonts w:ascii="Times New Roman" w:cs="Times New Roman" w:eastAsia="Times New Roman" w:hAnsi="Times New Roman"/>
          <w:sz w:val="21"/>
          <w:szCs w:val="21"/>
          <w:b w:val="1"/>
          <w:bCs w:val="1"/>
          <w:color w:val="auto"/>
        </w:rPr>
        <w:t>Severance Amounts</w:t>
      </w:r>
      <w:r>
        <w:rPr>
          <w:rFonts w:ascii="Times New Roman" w:cs="Times New Roman" w:eastAsia="Times New Roman" w:hAnsi="Times New Roman"/>
          <w:sz w:val="21"/>
          <w:szCs w:val="21"/>
          <w:color w:val="auto"/>
        </w:rPr>
        <w:t>”) shall be subject to Executive’s execution and delivery of a timely (but in no event later than 55 days after the date of the termination of Executive’s employment with the Company) and effective release of claims, in a mutually agreeable form (the “</w:t>
      </w:r>
      <w:r>
        <w:rPr>
          <w:rFonts w:ascii="Times New Roman" w:cs="Times New Roman" w:eastAsia="Times New Roman" w:hAnsi="Times New Roman"/>
          <w:sz w:val="21"/>
          <w:szCs w:val="21"/>
          <w:b w:val="1"/>
          <w:bCs w:val="1"/>
          <w:color w:val="auto"/>
        </w:rPr>
        <w:t>Release of Claims</w:t>
      </w:r>
      <w:r>
        <w:rPr>
          <w:rFonts w:ascii="Times New Roman" w:cs="Times New Roman" w:eastAsia="Times New Roman" w:hAnsi="Times New Roman"/>
          <w:sz w:val="21"/>
          <w:szCs w:val="21"/>
          <w:color w:val="auto"/>
        </w:rPr>
        <w:t>”), provided that if the aforementioned 55-day period begins in one taxable year and ends in the following taxable year, payment of the Severance Amounts shall not commence or occur until the following taxable year. Any such Release of Claims shall preserve all of Executive’s (i) vested rights, if any and to the extent applicable, under (x) the Company’s equity-based compensation plans or award agreements and (y) the Company’s other employee benefit plans and (ii) rights, to the extent applicable, under the Company’s director and officer indemnification arrangements. If Executive refuses to execute and deliver the Release of Claims, or if Executive revokes the Release of Claims as provided therein, Executive shall not receive the Severance Amounts or any other payment or benefit to which Executive is not otherwise entitled.</w:t>
      </w:r>
    </w:p>
    <w:p>
      <w:pPr>
        <w:spacing w:after="0" w:line="176" w:lineRule="exact"/>
        <w:rPr>
          <w:rFonts w:ascii="Times New Roman" w:cs="Times New Roman" w:eastAsia="Times New Roman" w:hAnsi="Times New Roman"/>
          <w:sz w:val="21"/>
          <w:szCs w:val="21"/>
          <w:color w:val="auto"/>
        </w:rPr>
      </w:pPr>
    </w:p>
    <w:p>
      <w:pPr>
        <w:ind w:left="-40" w:right="920" w:firstLine="1930"/>
        <w:spacing w:after="0" w:line="288" w:lineRule="auto"/>
        <w:tabs>
          <w:tab w:leader="none" w:pos="252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be required to mitigate the amount of any payment provided for in this Agreement by seeking other employment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80"/>
          </w:cols>
          <w:pgMar w:left="360" w:top="1408" w:right="359" w:bottom="1440" w:gutter="0" w:footer="0" w:header="0"/>
        </w:sectPr>
      </w:pPr>
    </w:p>
    <w:bookmarkStart w:id="130" w:name="page131"/>
    <w:bookmarkEnd w:id="130"/>
    <w:p>
      <w:pPr>
        <w:ind w:right="580"/>
        <w:spacing w:after="0" w:line="288" w:lineRule="auto"/>
        <w:rPr>
          <w:sz w:val="20"/>
          <w:szCs w:val="20"/>
          <w:color w:val="auto"/>
        </w:rPr>
      </w:pPr>
      <w:r>
        <w:rPr>
          <w:rFonts w:ascii="Times New Roman" w:cs="Times New Roman" w:eastAsia="Times New Roman" w:hAnsi="Times New Roman"/>
          <w:sz w:val="21"/>
          <w:szCs w:val="21"/>
          <w:color w:val="auto"/>
        </w:rPr>
        <w:t>and no such payment shall be offset or reduced by the amount of any compensation or benefits provided to Executive in any subsequent employment.</w:t>
      </w:r>
    </w:p>
    <w:p>
      <w:pPr>
        <w:spacing w:after="0" w:line="142" w:lineRule="exact"/>
        <w:rPr>
          <w:sz w:val="20"/>
          <w:szCs w:val="20"/>
          <w:color w:val="auto"/>
        </w:rPr>
      </w:pPr>
    </w:p>
    <w:p>
      <w:pPr>
        <w:ind w:firstLine="1930"/>
        <w:spacing w:after="0" w:line="264" w:lineRule="auto"/>
        <w:tabs>
          <w:tab w:leader="none" w:pos="256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In order to ensure that, following a Change in Control, sufficient assets are available to satisfy the Company’s obligations to Executive and Executive’s beneficiaries under the SERP, the Company may establish a grantor or “Rabbi” trust with an independent reputable financial institution as trustee, to which the Company may, in its discretion, contribute cash or other property to provide for the payment of benefits to Executive and Executive’s beneficiaries under the SERP (the “</w:t>
      </w:r>
      <w:r>
        <w:rPr>
          <w:rFonts w:ascii="Times New Roman" w:cs="Times New Roman" w:eastAsia="Times New Roman" w:hAnsi="Times New Roman"/>
          <w:sz w:val="21"/>
          <w:szCs w:val="21"/>
          <w:b w:val="1"/>
          <w:bCs w:val="1"/>
          <w:color w:val="auto"/>
        </w:rPr>
        <w:t>Trust</w:t>
      </w:r>
      <w:r>
        <w:rPr>
          <w:rFonts w:ascii="Times New Roman" w:cs="Times New Roman" w:eastAsia="Times New Roman" w:hAnsi="Times New Roman"/>
          <w:sz w:val="21"/>
          <w:szCs w:val="21"/>
          <w:color w:val="auto"/>
        </w:rPr>
        <w:t>”). The Trust shall comply in all material respects with the model grantor trust set forth in Rev. Proc. 92-64, 1992-2C.B422.</w:t>
      </w:r>
    </w:p>
    <w:p>
      <w:pPr>
        <w:spacing w:after="0" w:line="167" w:lineRule="exact"/>
        <w:rPr>
          <w:rFonts w:ascii="Times New Roman" w:cs="Times New Roman" w:eastAsia="Times New Roman" w:hAnsi="Times New Roman"/>
          <w:sz w:val="21"/>
          <w:szCs w:val="21"/>
          <w:color w:val="auto"/>
        </w:rPr>
      </w:pPr>
    </w:p>
    <w:p>
      <w:pPr>
        <w:ind w:left="1940" w:right="60" w:firstLine="632"/>
        <w:spacing w:after="0" w:line="260" w:lineRule="auto"/>
        <w:tabs>
          <w:tab w:leader="none" w:pos="289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 later than 60 days prior to a Change in Control, the Company shall (x) establish a Trust if one has not been previously established and (y) transfer to the Trust such assets as the Company determines in good faith are at least equal to, on a present value basis, the Company’s liabilities to Executive and Executive’s beneficiaries under the SERP (the “</w:t>
      </w:r>
      <w:r>
        <w:rPr>
          <w:rFonts w:ascii="Times New Roman" w:cs="Times New Roman" w:eastAsia="Times New Roman" w:hAnsi="Times New Roman"/>
          <w:sz w:val="21"/>
          <w:szCs w:val="21"/>
          <w:b w:val="1"/>
          <w:bCs w:val="1"/>
          <w:color w:val="auto"/>
        </w:rPr>
        <w:t>SERP Liabilities</w:t>
      </w:r>
      <w:r>
        <w:rPr>
          <w:rFonts w:ascii="Times New Roman" w:cs="Times New Roman" w:eastAsia="Times New Roman" w:hAnsi="Times New Roman"/>
          <w:sz w:val="21"/>
          <w:szCs w:val="21"/>
          <w:color w:val="auto"/>
        </w:rPr>
        <w:t>”) determined as of the date 24 months after the date of the Change in Control. The Company shall, from time to time therefore make additional contributions to the Trust such that the assets therein are at all times at least equal to the then SERP Liabilities.</w:t>
      </w:r>
    </w:p>
    <w:p>
      <w:pPr>
        <w:spacing w:after="0" w:line="185" w:lineRule="exact"/>
        <w:rPr>
          <w:rFonts w:ascii="Times New Roman" w:cs="Times New Roman" w:eastAsia="Times New Roman" w:hAnsi="Times New Roman"/>
          <w:sz w:val="21"/>
          <w:szCs w:val="21"/>
          <w:color w:val="auto"/>
        </w:rPr>
      </w:pPr>
    </w:p>
    <w:p>
      <w:pPr>
        <w:ind w:left="2940" w:hanging="368"/>
        <w:spacing w:after="0"/>
        <w:tabs>
          <w:tab w:leader="none" w:pos="294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the SERP shall determine the rights of Executive and Executive’s</w:t>
      </w:r>
    </w:p>
    <w:p>
      <w:pPr>
        <w:spacing w:after="0" w:line="36" w:lineRule="exact"/>
        <w:rPr>
          <w:rFonts w:ascii="Times New Roman" w:cs="Times New Roman" w:eastAsia="Times New Roman" w:hAnsi="Times New Roman"/>
          <w:sz w:val="21"/>
          <w:szCs w:val="21"/>
          <w:color w:val="auto"/>
        </w:rPr>
      </w:pPr>
    </w:p>
    <w:p>
      <w:pPr>
        <w:ind w:left="1940" w:right="2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beneficiaries to receive distributions from the Trust in respect of benefits otherwise payable to Executive or Executive’s beneficiaries under the SERP, and any such distribution shall reduce the Company’s obligations under the SERP. The provisions of the Trust shall govern the rights of the Company, Executive and the creditors of the Company to the assets transferred to the Trust. On and after a Change in Control, the Trust may not be (x) amended in any way adverse to Executive or Executive’s beneficiaries, and (y) terminated or revoked unless and until all SERP Liabilities have been paid or otherwise distributed to Executive and Executive’s beneficiaries, as applicable.</w:t>
      </w:r>
    </w:p>
    <w:p>
      <w:pPr>
        <w:spacing w:after="0" w:line="176" w:lineRule="exact"/>
        <w:rPr>
          <w:rFonts w:ascii="Times New Roman" w:cs="Times New Roman" w:eastAsia="Times New Roman" w:hAnsi="Times New Roman"/>
          <w:sz w:val="21"/>
          <w:szCs w:val="21"/>
          <w:color w:val="auto"/>
        </w:rPr>
      </w:pPr>
    </w:p>
    <w:p>
      <w:pPr>
        <w:ind w:left="2560" w:hanging="630"/>
        <w:spacing w:after="0"/>
        <w:tabs>
          <w:tab w:leader="none" w:pos="25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payments otherwise due hereunder may be limited to the extent</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in Section 4 hereof.</w:t>
      </w:r>
    </w:p>
    <w:p>
      <w:pPr>
        <w:spacing w:after="0" w:line="215"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Coordination with other Compensation and Benefits</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right="20" w:firstLine="1930"/>
        <w:spacing w:after="0" w:line="288" w:lineRule="auto"/>
        <w:tabs>
          <w:tab w:leader="none" w:pos="256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severance pay and benefits provided for in this Section 2 following a Change in Control shall be in lieu of any other severance or termination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00"/>
          </w:cols>
          <w:pgMar w:left="320" w:top="1408" w:right="379" w:bottom="1440" w:gutter="0" w:footer="0" w:header="0"/>
        </w:sectPr>
      </w:pPr>
    </w:p>
    <w:bookmarkStart w:id="131" w:name="page132"/>
    <w:bookmarkEnd w:id="131"/>
    <w:p>
      <w:pPr>
        <w:ind w:right="40"/>
        <w:spacing w:after="0" w:line="288" w:lineRule="auto"/>
        <w:rPr>
          <w:sz w:val="20"/>
          <w:szCs w:val="20"/>
          <w:color w:val="auto"/>
        </w:rPr>
      </w:pPr>
      <w:r>
        <w:rPr>
          <w:rFonts w:ascii="Times New Roman" w:cs="Times New Roman" w:eastAsia="Times New Roman" w:hAnsi="Times New Roman"/>
          <w:sz w:val="21"/>
          <w:szCs w:val="21"/>
          <w:color w:val="auto"/>
        </w:rPr>
        <w:t>to which Executive may be entitled following a Change in Control under any other Company plan, program, practice, arrangement or agreement providing severance benefits.</w:t>
      </w:r>
    </w:p>
    <w:p>
      <w:pPr>
        <w:spacing w:after="0" w:line="142" w:lineRule="exact"/>
        <w:rPr>
          <w:sz w:val="20"/>
          <w:szCs w:val="20"/>
          <w:color w:val="auto"/>
        </w:rPr>
      </w:pPr>
    </w:p>
    <w:p>
      <w:pPr>
        <w:ind w:firstLine="1930"/>
        <w:spacing w:after="0" w:line="264" w:lineRule="auto"/>
        <w:tabs>
          <w:tab w:leader="none" w:pos="25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entitlement to any other compensation or benefits following a Change of Control shall be determined in accordance with the Company’s employee benefit plans and other applicable plans, programs, practices, arrangements or agreements then in effect. In particular, if Executive is eligible to retire on his Termination Date, any termination of Executive’s employment pursuant to this Agreement shall not prevent his termination from being classified as a “retirement” for purposes of the Company’s retirement plan, the SERP or any of its equity compensation plans.</w:t>
      </w:r>
    </w:p>
    <w:p>
      <w:pPr>
        <w:spacing w:after="0" w:line="168" w:lineRule="exact"/>
        <w:rPr>
          <w:sz w:val="20"/>
          <w:szCs w:val="20"/>
          <w:color w:val="auto"/>
        </w:rPr>
      </w:pPr>
    </w:p>
    <w:p>
      <w:pPr>
        <w:ind w:firstLine="1282"/>
        <w:spacing w:after="0" w:line="262"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Relocation Benefits</w:t>
      </w:r>
      <w:r>
        <w:rPr>
          <w:rFonts w:ascii="Times New Roman" w:cs="Times New Roman" w:eastAsia="Times New Roman" w:hAnsi="Times New Roman"/>
          <w:sz w:val="21"/>
          <w:szCs w:val="21"/>
          <w:color w:val="auto"/>
        </w:rPr>
        <w:t>. In the event of termination of Executive’s employment other than as specified in Section 2.1(a), if Executive provides written notice to the Company within 90 days after the date of termination that Executive intends to relocate Executive’s principal residence to another city and such relocation is completed within one year after the date of termination, the Company shall reimburse Executive for reasonable documented home finding and moving expenses in accordance with the Company’s relocation policy as in effect from time to time. Executive shall present appropriate documentation to the Company in support of any reimbursement request hereunder.</w:t>
      </w:r>
    </w:p>
    <w:p>
      <w:pPr>
        <w:spacing w:after="0" w:line="168" w:lineRule="exact"/>
        <w:rPr>
          <w:sz w:val="20"/>
          <w:szCs w:val="20"/>
          <w:color w:val="auto"/>
        </w:rPr>
      </w:pPr>
    </w:p>
    <w:p>
      <w:pPr>
        <w:jc w:val="both"/>
        <w:ind w:right="240" w:firstLine="648"/>
        <w:spacing w:after="0" w:line="277" w:lineRule="auto"/>
        <w:tabs>
          <w:tab w:leader="none" w:pos="128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Following a Change in Control, any purported termination of Executive’s employment by the Company shall be communicated by Notice of Termination to Executive. For purposes of this Agreement, no such purported termination shall be effective without such Notice of Termination.</w:t>
      </w:r>
    </w:p>
    <w:p>
      <w:pPr>
        <w:spacing w:after="0" w:line="152"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Contingent Cutback</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right="20" w:firstLine="1930"/>
        <w:spacing w:after="0" w:line="258" w:lineRule="auto"/>
        <w:tabs>
          <w:tab w:leader="none" w:pos="2562"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in this Agreement to the contrary, to the extent that the payments and benefits provided under this Agreement and benefits provided to, or for the benefit of, Executive under any other Company plan or agreement (such payments or benefits are collectively referred to as the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would be subject to the excise tax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imposed under Section 4999 of the Code, the Payments shall be reduced (but not below zero) so that the value of all Payments equals 2.99 times Executive’s “base amount,” within the meaning of Section 280G(b)(3) of the Code and the applicable Treasury Regulations thereunder (the “</w:t>
      </w:r>
      <w:r>
        <w:rPr>
          <w:rFonts w:ascii="Times New Roman" w:cs="Times New Roman" w:eastAsia="Times New Roman" w:hAnsi="Times New Roman"/>
          <w:sz w:val="21"/>
          <w:szCs w:val="21"/>
          <w:b w:val="1"/>
          <w:bCs w:val="1"/>
          <w:color w:val="auto"/>
        </w:rPr>
        <w:t>Safe Harbor Amount</w:t>
      </w:r>
      <w:r>
        <w:rPr>
          <w:rFonts w:ascii="Times New Roman" w:cs="Times New Roman" w:eastAsia="Times New Roman" w:hAnsi="Times New Roman"/>
          <w:sz w:val="21"/>
          <w:szCs w:val="21"/>
          <w:color w:val="auto"/>
        </w:rPr>
        <w:t>”) minus $1,000.00, but only if, by reason of such reduction (the “</w:t>
      </w:r>
      <w:r>
        <w:rPr>
          <w:rFonts w:ascii="Times New Roman" w:cs="Times New Roman" w:eastAsia="Times New Roman" w:hAnsi="Times New Roman"/>
          <w:sz w:val="21"/>
          <w:szCs w:val="21"/>
          <w:b w:val="1"/>
          <w:bCs w:val="1"/>
          <w:color w:val="auto"/>
        </w:rPr>
        <w:t>Required Reduction</w:t>
      </w:r>
      <w:r>
        <w:rPr>
          <w:rFonts w:ascii="Times New Roman" w:cs="Times New Roman" w:eastAsia="Times New Roman" w:hAnsi="Times New Roman"/>
          <w:sz w:val="21"/>
          <w:szCs w:val="21"/>
          <w:color w:val="auto"/>
        </w:rPr>
        <w:t>”), the Net After-Tax Benefit if such Required Reduction were made exceeds the Net After-Tax Benefit if such Required Reduction were not made. The “</w:t>
      </w:r>
      <w:r>
        <w:rPr>
          <w:rFonts w:ascii="Times New Roman" w:cs="Times New Roman" w:eastAsia="Times New Roman" w:hAnsi="Times New Roman"/>
          <w:sz w:val="21"/>
          <w:szCs w:val="21"/>
          <w:b w:val="1"/>
          <w:bCs w:val="1"/>
          <w:color w:val="auto"/>
        </w:rPr>
        <w:t>Net After-Tax Benefit</w:t>
      </w:r>
      <w:r>
        <w:rPr>
          <w:rFonts w:ascii="Times New Roman" w:cs="Times New Roman" w:eastAsia="Times New Roman" w:hAnsi="Times New Roman"/>
          <w:sz w:val="21"/>
          <w:szCs w:val="21"/>
          <w:color w:val="auto"/>
        </w:rPr>
        <w:t>” is defined as the value of the Payments net of all taxes imposed under Sections 1 and 4999 of the Code and under applicable state and local laws, determined by applying the highest marginal rate under Section 1 of the Code and under applicable state and local laws which applies to Executive’s taxable income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1408"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1"/>
          <w:szCs w:val="21"/>
          <w:color w:val="auto"/>
        </w:rPr>
        <w:t>immediately preceding taxable year, or such rate(s) as Executive certifies as likely to apply in the relevant tax year(s).</w:t>
      </w:r>
    </w:p>
    <w:p>
      <w:pPr>
        <w:spacing w:after="0" w:line="226" w:lineRule="exact"/>
        <w:rPr>
          <w:sz w:val="20"/>
          <w:szCs w:val="20"/>
          <w:color w:val="auto"/>
        </w:rPr>
      </w:pPr>
    </w:p>
    <w:p>
      <w:pPr>
        <w:ind w:right="100" w:firstLine="1930"/>
        <w:spacing w:after="0" w:line="260" w:lineRule="auto"/>
        <w:tabs>
          <w:tab w:leader="none" w:pos="25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reduction is required pursuant to Section 4(a), unless Executive shall have given prior written notice specifying a different order to the Company to effectuate the Required Reduction, the Company shall reduce or eliminate the Payments by first reducing or eliminating those payments or benefits which are not payable in cash and then by reducing or eliminating cash payments, in each case in reverse order beginning with payments or benefits which are to be paid the farthest in time from the date of the Determination. Any notice given by Executive pursuant to the preceding sentence shall take precedence over the provisions of any other plan, program, practice, arrangement or agreement governing Executive’s rights and entitlements to any benefits or compensation.</w:t>
      </w:r>
    </w:p>
    <w:p>
      <w:pPr>
        <w:spacing w:after="0" w:line="185" w:lineRule="exact"/>
        <w:rPr>
          <w:rFonts w:ascii="Times New Roman" w:cs="Times New Roman" w:eastAsia="Times New Roman" w:hAnsi="Times New Roman"/>
          <w:sz w:val="21"/>
          <w:szCs w:val="21"/>
          <w:color w:val="auto"/>
        </w:rPr>
      </w:pPr>
    </w:p>
    <w:p>
      <w:pPr>
        <w:ind w:right="220" w:firstLine="1930"/>
        <w:spacing w:after="0" w:line="257" w:lineRule="auto"/>
        <w:tabs>
          <w:tab w:leader="none" w:pos="256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initial determination as to whether the Required Reduction shall take place pursuant to this Agreement and the calculation of such Required Reduction shall be made at the Company’s expense by an accounting firm selected by the Company which is designated as one of the five largest accounting firms in the United States (the “</w:t>
      </w:r>
      <w:r>
        <w:rPr>
          <w:rFonts w:ascii="Times New Roman" w:cs="Times New Roman" w:eastAsia="Times New Roman" w:hAnsi="Times New Roman"/>
          <w:sz w:val="21"/>
          <w:szCs w:val="21"/>
          <w:b w:val="1"/>
          <w:bCs w:val="1"/>
          <w:color w:val="auto"/>
        </w:rPr>
        <w:t>Accounting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Firm</w:t>
      </w:r>
      <w:r>
        <w:rPr>
          <w:rFonts w:ascii="Times New Roman" w:cs="Times New Roman" w:eastAsia="Times New Roman" w:hAnsi="Times New Roman"/>
          <w:sz w:val="21"/>
          <w:szCs w:val="21"/>
          <w:color w:val="auto"/>
        </w:rPr>
        <w:t>”). The Accounting Firm shall provide its determination (the “</w:t>
      </w:r>
      <w:r>
        <w:rPr>
          <w:rFonts w:ascii="Times New Roman" w:cs="Times New Roman" w:eastAsia="Times New Roman" w:hAnsi="Times New Roman"/>
          <w:sz w:val="21"/>
          <w:szCs w:val="21"/>
          <w:b w:val="1"/>
          <w:bCs w:val="1"/>
          <w:color w:val="auto"/>
        </w:rPr>
        <w:t>Determination</w:t>
      </w:r>
      <w:r>
        <w:rPr>
          <w:rFonts w:ascii="Times New Roman" w:cs="Times New Roman" w:eastAsia="Times New Roman" w:hAnsi="Times New Roman"/>
          <w:sz w:val="21"/>
          <w:szCs w:val="21"/>
          <w:color w:val="auto"/>
        </w:rPr>
        <w:t>”) together with detailed supporting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calculations and documentation to the Company and Executive within 10 days of the Termination Date, or such other time as requested by the Company and, if the Accounting Firm determines that no Excise Tax is payable by Executive with respect to a Payment or Payments, it shall furnish to the Executive an opinion reasonably acceptable to Executive that no Excise Tax will be imposed with respect to any such Payment or Payments. Within ten days of the delivery of the Determination to Executive, Executive shall have the right to dispute the Determination (the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If there is no Dispute, the Determination shall be binding, final and conclusive upon the Company and Executive subject to the application of Section 4(d) below.</w:t>
      </w:r>
    </w:p>
    <w:p>
      <w:pPr>
        <w:spacing w:after="0" w:line="179" w:lineRule="exact"/>
        <w:rPr>
          <w:rFonts w:ascii="Times New Roman" w:cs="Times New Roman" w:eastAsia="Times New Roman" w:hAnsi="Times New Roman"/>
          <w:sz w:val="21"/>
          <w:szCs w:val="21"/>
          <w:color w:val="auto"/>
        </w:rPr>
      </w:pPr>
    </w:p>
    <w:p>
      <w:pPr>
        <w:ind w:firstLine="1930"/>
        <w:spacing w:after="0" w:line="259" w:lineRule="auto"/>
        <w:tabs>
          <w:tab w:leader="none" w:pos="256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uncertainty in the application of Sections 4999 and 280G of the Code, it is possible that the Payments to be made to, or provided for the benefit of, Executive either have been made or will not be made by the Company which, in either case, will be inconsistent with the limitations provided in Section 4(a) (hereinafter referred to as an “</w:t>
      </w:r>
      <w:r>
        <w:rPr>
          <w:rFonts w:ascii="Times New Roman" w:cs="Times New Roman" w:eastAsia="Times New Roman" w:hAnsi="Times New Roman"/>
          <w:sz w:val="21"/>
          <w:szCs w:val="21"/>
          <w:b w:val="1"/>
          <w:bCs w:val="1"/>
          <w:color w:val="auto"/>
        </w:rPr>
        <w:t>Excess Payment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Underpayment</w:t>
      </w:r>
      <w:r>
        <w:rPr>
          <w:rFonts w:ascii="Times New Roman" w:cs="Times New Roman" w:eastAsia="Times New Roman" w:hAnsi="Times New Roman"/>
          <w:sz w:val="21"/>
          <w:szCs w:val="21"/>
          <w:color w:val="auto"/>
        </w:rPr>
        <w:t>”, respectively). If it is established, pursuant to a final determination of a court or an Internal Revenue Service (the “</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proceeding which has been finally and conclusively resolved, that an Excess Payment has been made, such Excess Payment shall be deemed for all purposes to be a loan to Executive made on the date Executive received the Excess Payment and Executive shall repay the Excess Payment to the Company on demand (but not less than ten days after written notice is received by Executive) together with interest on the Excess Payment at the applicable “federal short term rate” prescribed pursuant to Code Section 1274(d)(1)(C)(i) of the Code (hereinafter the “</w:t>
      </w:r>
      <w:r>
        <w:rPr>
          <w:rFonts w:ascii="Times New Roman" w:cs="Times New Roman" w:eastAsia="Times New Roman" w:hAnsi="Times New Roman"/>
          <w:sz w:val="21"/>
          <w:szCs w:val="21"/>
          <w:b w:val="1"/>
          <w:bCs w:val="1"/>
          <w:color w:val="auto"/>
        </w:rPr>
        <w:t>Applicable Federal Rate</w:t>
      </w:r>
      <w:r>
        <w:rPr>
          <w:rFonts w:ascii="Times New Roman" w:cs="Times New Roman" w:eastAsia="Times New Roman" w:hAnsi="Times New Roman"/>
          <w:sz w:val="21"/>
          <w:szCs w:val="21"/>
          <w:color w:val="auto"/>
        </w:rPr>
        <w:t>”) from the date of Executive’s receipt of such Excess Payment until the date of such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180"/>
          </w:cols>
          <w:pgMar w:left="320" w:top="1408" w:right="399" w:bottom="1440" w:gutter="0" w:footer="0" w:header="0"/>
        </w:sectPr>
      </w:pPr>
    </w:p>
    <w:bookmarkStart w:id="133" w:name="page134"/>
    <w:bookmarkEnd w:id="133"/>
    <w:p>
      <w:pPr>
        <w:ind w:right="240"/>
        <w:spacing w:after="0" w:line="262" w:lineRule="auto"/>
        <w:rPr>
          <w:sz w:val="20"/>
          <w:szCs w:val="20"/>
          <w:color w:val="auto"/>
        </w:rPr>
      </w:pPr>
      <w:r>
        <w:rPr>
          <w:rFonts w:ascii="Times New Roman" w:cs="Times New Roman" w:eastAsia="Times New Roman" w:hAnsi="Times New Roman"/>
          <w:sz w:val="21"/>
          <w:szCs w:val="21"/>
          <w:color w:val="auto"/>
        </w:rPr>
        <w:t>In the event that it is determined (i) by the Accounting Firm or the Company (which shall include the position taken by the Company, or together with its consolidated group, on its federal income tax return), (ii) pursuant to a determination by a court or the IRS, or (iii) upon the resolution to Executive’s satisfaction of the Dispute, that an Underpayment has occurred, the Company shall pay an amount equal to the Underpayment to Executive within ten days of such determination or resolution together with interest on such amount at the Applicable Federal Rate from the date such amount would have been paid to Executive until the date of payment.</w:t>
      </w:r>
    </w:p>
    <w:p>
      <w:pPr>
        <w:spacing w:after="0" w:line="168" w:lineRule="exact"/>
        <w:rPr>
          <w:sz w:val="20"/>
          <w:szCs w:val="20"/>
          <w:color w:val="auto"/>
        </w:rPr>
      </w:pPr>
    </w:p>
    <w:p>
      <w:pPr>
        <w:ind w:left="1280" w:hanging="632"/>
        <w:spacing w:after="0"/>
        <w:tabs>
          <w:tab w:leader="none" w:pos="12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Nonalienation</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left="1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ind w:left="2560" w:hanging="630"/>
        <w:spacing w:after="0"/>
        <w:tabs>
          <w:tab w:leader="none" w:pos="256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binding upon and shall inure to the benefit of the Company and its</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Successors and Assigns.</w:t>
      </w:r>
    </w:p>
    <w:p>
      <w:pPr>
        <w:spacing w:after="0" w:line="202" w:lineRule="exact"/>
        <w:rPr>
          <w:rFonts w:ascii="Times New Roman" w:cs="Times New Roman" w:eastAsia="Times New Roman" w:hAnsi="Times New Roman"/>
          <w:sz w:val="21"/>
          <w:szCs w:val="21"/>
          <w:color w:val="auto"/>
        </w:rPr>
      </w:pPr>
    </w:p>
    <w:p>
      <w:pPr>
        <w:ind w:left="2560" w:hanging="630"/>
        <w:spacing w:after="0"/>
        <w:tabs>
          <w:tab w:leader="none" w:pos="256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inure to the benefit of and be enforceable by Executive’s legal personal</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representative.</w:t>
      </w:r>
    </w:p>
    <w:p>
      <w:pPr>
        <w:spacing w:after="0" w:line="202" w:lineRule="exact"/>
        <w:rPr>
          <w:sz w:val="20"/>
          <w:szCs w:val="20"/>
          <w:color w:val="auto"/>
        </w:rPr>
      </w:pPr>
    </w:p>
    <w:p>
      <w:pPr>
        <w:ind w:right="60" w:firstLine="1282"/>
        <w:spacing w:after="0" w:line="288"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Nonalienation</w:t>
      </w:r>
      <w:r>
        <w:rPr>
          <w:rFonts w:ascii="Times New Roman" w:cs="Times New Roman" w:eastAsia="Times New Roman" w:hAnsi="Times New Roman"/>
          <w:sz w:val="21"/>
          <w:szCs w:val="21"/>
          <w:color w:val="auto"/>
        </w:rPr>
        <w:t>. Neither this Agreement nor any right or interest hereunder shall be assignable or transferable by Executive, Executive’s beneficiaries or legal representatives, except by will or by the laws of descent and distribution.</w:t>
      </w:r>
    </w:p>
    <w:p>
      <w:pPr>
        <w:spacing w:after="0" w:line="155" w:lineRule="exact"/>
        <w:rPr>
          <w:sz w:val="20"/>
          <w:szCs w:val="20"/>
          <w:color w:val="auto"/>
        </w:rPr>
      </w:pPr>
    </w:p>
    <w:p>
      <w:pPr>
        <w:ind w:right="180" w:firstLine="648"/>
        <w:spacing w:after="0" w:line="270" w:lineRule="auto"/>
        <w:tabs>
          <w:tab w:leader="none" w:pos="128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Venue</w:t>
      </w:r>
      <w:r>
        <w:rPr>
          <w:rFonts w:ascii="Times New Roman" w:cs="Times New Roman" w:eastAsia="Times New Roman" w:hAnsi="Times New Roman"/>
          <w:sz w:val="21"/>
          <w:szCs w:val="21"/>
          <w:color w:val="auto"/>
        </w:rPr>
        <w:t>. This Agreement shall be governed and construed in accordance with the laws of the State of Delaware, without regard to conflicts of laws principles thereof. Any legal actions concerning the Agreement may be brought only in the United States district court for the Southern District of Texas, Houston Division.</w:t>
      </w:r>
    </w:p>
    <w:p>
      <w:pPr>
        <w:spacing w:after="0" w:line="160" w:lineRule="exact"/>
        <w:rPr>
          <w:rFonts w:ascii="Times New Roman" w:cs="Times New Roman" w:eastAsia="Times New Roman" w:hAnsi="Times New Roman"/>
          <w:sz w:val="21"/>
          <w:szCs w:val="21"/>
          <w:color w:val="auto"/>
        </w:rPr>
      </w:pPr>
    </w:p>
    <w:p>
      <w:pPr>
        <w:ind w:right="200" w:firstLine="648"/>
        <w:spacing w:after="0" w:line="268" w:lineRule="auto"/>
        <w:tabs>
          <w:tab w:leader="none" w:pos="128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Costs of Proceedings</w:t>
      </w:r>
      <w:r>
        <w:rPr>
          <w:rFonts w:ascii="Times New Roman" w:cs="Times New Roman" w:eastAsia="Times New Roman" w:hAnsi="Times New Roman"/>
          <w:sz w:val="21"/>
          <w:szCs w:val="21"/>
          <w:color w:val="auto"/>
        </w:rPr>
        <w:t>. Each Party shall pay its own costs and expenses in connection with any legal proceeding (including arbitration), relating to the interpretation of enforcement of any provision of this Agreement, except that the Company shall pay such costs and expenses, including attorneys’ fees and disbursements, of Executive if Executive prevails in such proceeding.</w:t>
      </w:r>
    </w:p>
    <w:p>
      <w:pPr>
        <w:spacing w:after="0" w:line="163" w:lineRule="exact"/>
        <w:rPr>
          <w:rFonts w:ascii="Times New Roman" w:cs="Times New Roman" w:eastAsia="Times New Roman" w:hAnsi="Times New Roman"/>
          <w:sz w:val="21"/>
          <w:szCs w:val="21"/>
          <w:color w:val="auto"/>
        </w:rPr>
      </w:pPr>
    </w:p>
    <w:p>
      <w:pPr>
        <w:ind w:firstLine="648"/>
        <w:spacing w:after="0" w:line="262" w:lineRule="auto"/>
        <w:tabs>
          <w:tab w:leader="none" w:pos="128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08" w:right="339" w:bottom="1440" w:gutter="0" w:footer="0" w:header="0"/>
        </w:sectPr>
      </w:pPr>
    </w:p>
    <w:bookmarkStart w:id="134" w:name="page135"/>
    <w:bookmarkEnd w:id="134"/>
    <w:p>
      <w:pPr>
        <w:ind w:right="80" w:firstLine="648"/>
        <w:spacing w:after="0" w:line="262" w:lineRule="auto"/>
        <w:tabs>
          <w:tab w:leader="none" w:pos="128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 Subject to Section 2.2(a), nothing in this Agreement shall prevent or limit Executive’s continuing or future participation in any benefit, bonus, incentive or other plan or program provided by the Company and for which Executive may qualify, nor shall anything herein limit or reduce such rights as Executive may have under any other agreements with the Company. Amounts which are vested benefits or which Executive is otherwise entitled to receive under any Company plan, program, practice or arrangement shall be payable in accordance with such plan, program, practice or arrangement except as explicitly modified by this Agreement.</w:t>
      </w:r>
    </w:p>
    <w:p>
      <w:pPr>
        <w:spacing w:after="0" w:line="168"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firstLine="1930"/>
        <w:spacing w:after="0" w:line="259" w:lineRule="auto"/>
        <w:tabs>
          <w:tab w:leader="none" w:pos="256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provision to the Executive of the Severance Benefits, Executive agrees that, subject to Section 10(d) below, Executive will not at any time, except with the prior written consent of the Company, directly or indirectly, reveal to any person, entity or other organization (other than the Company or its employees, officers, directors or agents) or use for Executive’s own benefit any Confidential Information. Notwithstanding anything in this Agreement to the contrary and subject to Section 10(d) below, (x) in the event that Executive becomes legally compelled to disclose any Confidential Information, Executive will provide the Company with prompt written notice so that the Company may seek a protective order or other appropriate remedy and (y) in the event that such protective order or other remedy is not obtained, Executive will furnish only that portion of such Confidential Information or take only such action as is legally required by binding order and Executive will exercise reasonable efforts to obtain reliable assurance that confidential treatment will be accorded for any such Confidential Information.</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ind w:firstLine="1930"/>
        <w:spacing w:after="0" w:line="261" w:lineRule="auto"/>
        <w:tabs>
          <w:tab w:leader="none" w:pos="256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period beginning on any Termination Date which occurs after a Change in Control and ending on the first anniversary of such Termination Date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Executive will not, without the Company’s express written consent, directly or indirectly, solicit, induce or attempt to induce any employees, agents or consultants of the Company or its subsidiaries or affiliates to do anything from which Executive is restricted by reason of this Agreement nor will Executive, directly or indirectly, solicit, induce or aid others to solicit or induce any employees, agents or consultants of the Company or any of its subsidiaries or affiliates to terminate their employment or engagement with the Company or any of its subsidiaries or affiliates and/or to enter into an employment, agency or consultancy relationship with Executive or any other person or entity with whom Executive is affiliated.</w:t>
      </w:r>
    </w:p>
    <w:p>
      <w:pPr>
        <w:spacing w:after="0" w:line="170" w:lineRule="exact"/>
        <w:rPr>
          <w:rFonts w:ascii="Times New Roman" w:cs="Times New Roman" w:eastAsia="Times New Roman" w:hAnsi="Times New Roman"/>
          <w:sz w:val="21"/>
          <w:szCs w:val="21"/>
          <w:color w:val="auto"/>
        </w:rPr>
      </w:pPr>
    </w:p>
    <w:p>
      <w:pPr>
        <w:ind w:right="100" w:firstLine="1930"/>
        <w:spacing w:after="0" w:line="261" w:lineRule="auto"/>
        <w:tabs>
          <w:tab w:leader="none" w:pos="256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Restricted Period, Executive will not, without the Company’s express written consent, directly or indirectly, own, manage, operate, control, render service to, or participate in the ownership, management, operation or control of any Competitor (as defined below) anywhere in the United States or in any non U.S. jurisdiction in which the Company is engaged or plans to engage in business as of the Termination Date; provided, however, that Executive will be entitled to own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08" w:right="339" w:bottom="1440" w:gutter="0" w:footer="0" w:header="0"/>
        </w:sectPr>
      </w:pPr>
    </w:p>
    <w:bookmarkStart w:id="135" w:name="page136"/>
    <w:bookmarkEnd w:id="135"/>
    <w:p>
      <w:pPr>
        <w:ind w:right="60"/>
        <w:spacing w:after="0" w:line="264" w:lineRule="auto"/>
        <w:rPr>
          <w:sz w:val="20"/>
          <w:szCs w:val="20"/>
          <w:color w:val="auto"/>
        </w:rPr>
      </w:pPr>
      <w:r>
        <w:rPr>
          <w:rFonts w:ascii="Times New Roman" w:cs="Times New Roman" w:eastAsia="Times New Roman" w:hAnsi="Times New Roman"/>
          <w:sz w:val="21"/>
          <w:szCs w:val="21"/>
          <w:color w:val="auto"/>
        </w:rPr>
        <w:t>stock of any corporation having a class of equity securities actively traded on a national securities exchange or the Nasdaq Stock Market which represent, in the aggregate, not more than 1% of such corporation’s fully-diluted shares. For purposes of this Agreement, “</w:t>
      </w:r>
      <w:r>
        <w:rPr>
          <w:rFonts w:ascii="Times New Roman" w:cs="Times New Roman" w:eastAsia="Times New Roman" w:hAnsi="Times New Roman"/>
          <w:sz w:val="21"/>
          <w:szCs w:val="21"/>
          <w:b w:val="1"/>
          <w:bCs w:val="1"/>
          <w:color w:val="auto"/>
        </w:rPr>
        <w:t>Competitor</w:t>
      </w:r>
      <w:r>
        <w:rPr>
          <w:rFonts w:ascii="Times New Roman" w:cs="Times New Roman" w:eastAsia="Times New Roman" w:hAnsi="Times New Roman"/>
          <w:sz w:val="21"/>
          <w:szCs w:val="21"/>
          <w:color w:val="auto"/>
        </w:rPr>
        <w:t>” means any company, other entity or association or individual that directly or indirectly is engaged in (i) the business of oil or gas exploration or production or (ii) any other business in which the Company or any of its subsidiaries is engaged as of the Termination Date.</w:t>
      </w:r>
    </w:p>
    <w:p>
      <w:pPr>
        <w:spacing w:after="0" w:line="168" w:lineRule="exact"/>
        <w:rPr>
          <w:sz w:val="20"/>
          <w:szCs w:val="20"/>
          <w:color w:val="auto"/>
        </w:rPr>
      </w:pPr>
    </w:p>
    <w:p>
      <w:pPr>
        <w:ind w:firstLine="1930"/>
        <w:spacing w:after="0" w:line="257" w:lineRule="auto"/>
        <w:tabs>
          <w:tab w:leader="none" w:pos="256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or otherwise limits Executive’s ability to communicate directly with and provide information, including documents, not otherwise protected from disclosure by any applicable law or privilege to the Securities and Exchange Commission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or any other federal, state or local governmental agency or commission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regarding possible legal violations, without disclosure to the Company. The Company may not retaliate against Executive for any of these activities, and nothing in this Agreement or otherwise requires Executive to waive any monetary award or other payment that Executive might become entitled to from the SEC or any other Government Agency. Nothing in this Agreement or otherwise requires Executive to disclose any communications Executive may have had or information Executive may have provided to the SEC or any other Government Agencies regarding possible legal violations. In addition, notwithstanding anything to the contrary in this Agreement or otherwise, as provided for in the Defend Trade Secrets Act of 2016 (18 U.S.C. § 1833(b)), Executive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Without limiting the foregoing, if Executive files a lawsuit for retaliation by Company for reporting a suspected violation of law, Executive may disclose the trade secret to her attorney and use the trade secret information in the court proceeding, if Executive (x) files any document containing the trade secret under seal, and (y) does not disclose the trade secret, except pursuant to court order.</w:t>
      </w:r>
    </w:p>
    <w:p>
      <w:pPr>
        <w:spacing w:after="0" w:line="177" w:lineRule="exact"/>
        <w:rPr>
          <w:rFonts w:ascii="Times New Roman" w:cs="Times New Roman" w:eastAsia="Times New Roman" w:hAnsi="Times New Roman"/>
          <w:sz w:val="21"/>
          <w:szCs w:val="21"/>
          <w:color w:val="auto"/>
        </w:rPr>
      </w:pPr>
    </w:p>
    <w:p>
      <w:pPr>
        <w:ind w:right="80" w:firstLine="648"/>
        <w:spacing w:after="0" w:line="262" w:lineRule="auto"/>
        <w:tabs>
          <w:tab w:leader="none" w:pos="127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 and Waiver</w:t>
      </w:r>
      <w:r>
        <w:rPr>
          <w:rFonts w:ascii="Times New Roman" w:cs="Times New Roman" w:eastAsia="Times New Roman" w:hAnsi="Times New Roman"/>
          <w:sz w:val="21"/>
          <w:szCs w:val="21"/>
          <w:color w:val="auto"/>
        </w:rPr>
        <w:t>. No provision of this Agreement may be modified, waived or discharged unless such waiver, modification or discharge is agreed to in writing and signed by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08" w:right="339" w:bottom="1440" w:gutter="0" w:footer="0" w:header="0"/>
        </w:sectPr>
      </w:pPr>
    </w:p>
    <w:bookmarkStart w:id="136" w:name="page137"/>
    <w:bookmarkEnd w:id="136"/>
    <w:p>
      <w:pPr>
        <w:ind w:right="120" w:firstLine="648"/>
        <w:spacing w:after="0" w:line="288" w:lineRule="auto"/>
        <w:tabs>
          <w:tab w:leader="none" w:pos="128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Notwithstanding any other provision of this Agreement, the Company may, to the extent required by law, withhold federal, state and local income and other taxes from any payments due Executive hereunder.</w:t>
      </w:r>
    </w:p>
    <w:p>
      <w:pPr>
        <w:spacing w:after="0" w:line="141" w:lineRule="exact"/>
        <w:rPr>
          <w:rFonts w:ascii="Times New Roman" w:cs="Times New Roman" w:eastAsia="Times New Roman" w:hAnsi="Times New Roman"/>
          <w:sz w:val="21"/>
          <w:szCs w:val="21"/>
          <w:color w:val="auto"/>
        </w:rPr>
      </w:pPr>
    </w:p>
    <w:p>
      <w:pPr>
        <w:ind w:right="120" w:firstLine="648"/>
        <w:spacing w:after="0" w:line="302" w:lineRule="auto"/>
        <w:tabs>
          <w:tab w:leader="none" w:pos="128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deemed severable and the invalidity or unenforceability of any provision shall not affect the validity or enforceability of the other provisions hereof.</w:t>
      </w:r>
    </w:p>
    <w:p>
      <w:pPr>
        <w:spacing w:after="0" w:line="126" w:lineRule="exact"/>
        <w:rPr>
          <w:rFonts w:ascii="Times New Roman" w:cs="Times New Roman" w:eastAsia="Times New Roman" w:hAnsi="Times New Roman"/>
          <w:sz w:val="21"/>
          <w:szCs w:val="21"/>
          <w:color w:val="auto"/>
        </w:rPr>
      </w:pPr>
    </w:p>
    <w:p>
      <w:pPr>
        <w:ind w:firstLine="648"/>
        <w:spacing w:after="0" w:line="257" w:lineRule="auto"/>
        <w:tabs>
          <w:tab w:leader="none" w:pos="128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Notwithstanding any provision to the contrary, all provisions of this Agreement shall be construed and interpreted to comply with Section 409A and the applicable Treasury Regulations thereunder and if necessary, any provision shall be held null and void to the extent such provision (or part thereof) fails to comply with Section 409A or the Treasury Regulations thereunder. For purposes of the limitations on nonqualified deferred compensation under Section 409A, each payment of compensation under this Agreement shall be treated as a separate payment of compensation for purposes of applying the deferral election rules and the exclusion for certain short-term deferral amounts under Section 409A. Any reimbursements or in-kind benefits provided under this Agreement that are subject to Section 409A shall be made or provided in accordance with the requirements of Section 409A, including, where applicable, the requirement that (i) any reimbursement is for expenses incurred during the period of time specified in the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178"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ind w:left="1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Accounting Firm</w:t>
      </w:r>
      <w:r>
        <w:rPr>
          <w:rFonts w:ascii="Times New Roman" w:cs="Times New Roman" w:eastAsia="Times New Roman" w:hAnsi="Times New Roman"/>
          <w:sz w:val="21"/>
          <w:szCs w:val="21"/>
          <w:color w:val="auto"/>
        </w:rPr>
        <w:t>” shall have the meaning set forth in Section 4(c).</w:t>
      </w:r>
    </w:p>
    <w:p>
      <w:pPr>
        <w:spacing w:after="0" w:line="239" w:lineRule="exact"/>
        <w:rPr>
          <w:sz w:val="20"/>
          <w:szCs w:val="20"/>
          <w:color w:val="auto"/>
        </w:rPr>
      </w:pPr>
    </w:p>
    <w:p>
      <w:pPr>
        <w:ind w:right="80" w:firstLine="1282"/>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Accrued Compensation</w:t>
      </w:r>
      <w:r>
        <w:rPr>
          <w:rFonts w:ascii="Times New Roman" w:cs="Times New Roman" w:eastAsia="Times New Roman" w:hAnsi="Times New Roman"/>
          <w:sz w:val="21"/>
          <w:szCs w:val="21"/>
          <w:color w:val="auto"/>
        </w:rPr>
        <w:t>” means all amounts earned or accrued through the Termination Date in accordance with Company policies but not paid as of the Termination Date, including (i) base salary, (ii) reimbursement for reasonable and necessary expenses incurred by the Executive on behalf of the Company during the period ending on the Termination Date, (iii) accrued and unused vacation pay, and (iv) earned but unpaid bonus amounts.</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Federal Rate</w:t>
      </w:r>
      <w:r>
        <w:rPr>
          <w:rFonts w:ascii="Times New Roman" w:cs="Times New Roman" w:eastAsia="Times New Roman" w:hAnsi="Times New Roman"/>
          <w:sz w:val="21"/>
          <w:szCs w:val="21"/>
          <w:color w:val="auto"/>
        </w:rPr>
        <w:t>” shall have the meaning set forth in Section 4(d).</w:t>
      </w:r>
    </w:p>
    <w:p>
      <w:pPr>
        <w:spacing w:after="0" w:line="239" w:lineRule="exact"/>
        <w:rPr>
          <w:sz w:val="20"/>
          <w:szCs w:val="20"/>
          <w:color w:val="auto"/>
        </w:rPr>
      </w:pPr>
    </w:p>
    <w:p>
      <w:pPr>
        <w:ind w:right="140" w:firstLine="1282"/>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means the greater of Executive’s annual base salary (i) at the rate in effect immediately prior to the Termination Date or (ii) at the highest rate in effect at any time during the 90-day period before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180"/>
          </w:cols>
          <w:pgMar w:left="320" w:top="1408" w:right="399" w:bottom="1440" w:gutter="0" w:footer="0" w:header="0"/>
        </w:sectPr>
      </w:pPr>
    </w:p>
    <w:bookmarkStart w:id="137" w:name="page138"/>
    <w:bookmarkEnd w:id="137"/>
    <w:p>
      <w:pPr>
        <w:ind w:right="40" w:firstLine="1282"/>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Bonus Amount</w:t>
      </w:r>
      <w:r>
        <w:rPr>
          <w:rFonts w:ascii="Times New Roman" w:cs="Times New Roman" w:eastAsia="Times New Roman" w:hAnsi="Times New Roman"/>
          <w:sz w:val="21"/>
          <w:szCs w:val="21"/>
          <w:color w:val="auto"/>
        </w:rPr>
        <w:t>” means the average of the annual cash bonuses paid or payable during the three full fiscal years ended before the Termination Date or, if greater, the three full fiscal years ended before the Change in Control (or, in each case, such lesser period for which annual cash bonuses were paid or payable to Executive); provided that, in the event Executive has not been employed by the Company for a full fiscal year, the Bonus Amount shall equal Executive’s target annual cash bonus during the year in which the Termination Date occurs.</w:t>
      </w:r>
    </w:p>
    <w:p>
      <w:pPr>
        <w:spacing w:after="0" w:line="163" w:lineRule="exact"/>
        <w:rPr>
          <w:sz w:val="20"/>
          <w:szCs w:val="20"/>
          <w:color w:val="auto"/>
        </w:rPr>
      </w:pPr>
    </w:p>
    <w:p>
      <w:pPr>
        <w:ind w:right="20" w:firstLine="1282"/>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(i) Executive’s willful failure or refusal to satisfactorily perform his duties or obligations in connection with his employment, (ii) Executive’s having engaged in willful misconduct, gross negligence or a breach of fiduciary duty, or Executive’s material breach of this Agreement or of any Company policy, (iii) Executive’s conviction of, or a plea of nolo contendere to, (x) a felony or (y) any other criminal offense involving moral turpitude, fraud or dishonesty, (iv) Executive’s unlawful use or possession of illegal drugs on the Company’s premises or while performing his duties and responsibilities hereunder or (v) Executive’s commission of an act of fraud, embezzlement or misappropriation, in each case, against the Company or any of its subsidiaries or affiliates, provided that, in each case (except for circumstances described in clauses (iii), (iv) or (v) above), the Company shall provide Executive with written notice specifying the circumstances alleged to constitute Cause, and, if such circumstances are susceptible to cure, Executive shall have 30 days following receipt of such notice to cure such circumstances.</w:t>
      </w:r>
    </w:p>
    <w:p>
      <w:pPr>
        <w:spacing w:after="0" w:line="200" w:lineRule="exact"/>
        <w:rPr>
          <w:sz w:val="20"/>
          <w:szCs w:val="20"/>
          <w:color w:val="auto"/>
        </w:rPr>
      </w:pPr>
    </w:p>
    <w:p>
      <w:pPr>
        <w:spacing w:after="0" w:line="233" w:lineRule="exact"/>
        <w:rPr>
          <w:sz w:val="20"/>
          <w:szCs w:val="20"/>
          <w:color w:val="auto"/>
        </w:rPr>
      </w:pPr>
    </w:p>
    <w:p>
      <w:pPr>
        <w:ind w:right="60" w:firstLine="1282"/>
        <w:spacing w:after="0" w:line="258"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shall be deemed to have occurred if (i) any “person”, including a “group” (as such terms are used in Sections 13(d) and 14(d)(2) of the Exchange Act, but excluding the Company, any of its subsidiaries or any employee benefit plan of the Company or any of its subsidiaries or the Murphy Family) is or becomes the “beneficial owner” (as defined in Rule 13(d)(3) under the Exchange Act), directly or indirectly, of securities of the Company representing 25% or more of the combined voting power of the Company’s then outstanding securities; (ii) a merger or other business combination, which has been approved by the stockholders of the Company, is consummated with or into another corporation a majority of the directors of which were not directors of the Company immediately prior to the merger and in which the stockholders of the Company immediately prior to the effective date of such merger own less than 50% of the voting power in such corporation; or (iii) a sale or other disposition of all or substantially all of the assets of the Company is consummated other than to an entity more than 50% of the voting power of which is owned, directly or indirectly, by the stockholders of the Company immediately after such sale or other disposition.</w:t>
      </w:r>
    </w:p>
    <w:p>
      <w:pPr>
        <w:spacing w:after="0" w:line="181" w:lineRule="exact"/>
        <w:rPr>
          <w:sz w:val="20"/>
          <w:szCs w:val="20"/>
          <w:color w:val="auto"/>
        </w:rPr>
      </w:pPr>
    </w:p>
    <w:p>
      <w:pPr>
        <w:ind w:firstLine="1282"/>
        <w:spacing w:after="0" w:line="270" w:lineRule="auto"/>
        <w:rPr>
          <w:sz w:val="20"/>
          <w:szCs w:val="20"/>
          <w:color w:val="auto"/>
        </w:rPr>
      </w:pPr>
      <w:r>
        <w:rPr>
          <w:rFonts w:ascii="Times New Roman" w:cs="Times New Roman" w:eastAsia="Times New Roman" w:hAnsi="Times New Roman"/>
          <w:sz w:val="21"/>
          <w:szCs w:val="21"/>
          <w:color w:val="auto"/>
        </w:rPr>
        <w:t>Notwithstanding anything contained in this Agreement to the contrary, if Executive’s employment is terminated before a Change in Control and Executive reasonably demonstrates that such termination (i) was at the request of a third-party who has indicated an intention to take or has taken steps reasonably calculated to effect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1404" w:right="359" w:bottom="1440" w:gutter="0" w:footer="0" w:header="0"/>
        </w:sectPr>
      </w:pPr>
    </w:p>
    <w:bookmarkStart w:id="138" w:name="page139"/>
    <w:bookmarkEnd w:id="138"/>
    <w:p>
      <w:pPr>
        <w:spacing w:after="0" w:line="272" w:lineRule="auto"/>
        <w:rPr>
          <w:sz w:val="20"/>
          <w:szCs w:val="20"/>
          <w:color w:val="auto"/>
        </w:rPr>
      </w:pPr>
      <w:r>
        <w:rPr>
          <w:rFonts w:ascii="Times New Roman" w:cs="Times New Roman" w:eastAsia="Times New Roman" w:hAnsi="Times New Roman"/>
          <w:sz w:val="21"/>
          <w:szCs w:val="21"/>
          <w:color w:val="auto"/>
        </w:rPr>
        <w:t>Change in Control and who effectuates a Change in Control (a “</w:t>
      </w:r>
      <w:r>
        <w:rPr>
          <w:rFonts w:ascii="Times New Roman" w:cs="Times New Roman" w:eastAsia="Times New Roman" w:hAnsi="Times New Roman"/>
          <w:sz w:val="21"/>
          <w:szCs w:val="21"/>
          <w:b w:val="1"/>
          <w:bCs w:val="1"/>
          <w:color w:val="auto"/>
        </w:rPr>
        <w:t>Third-Party</w:t>
      </w:r>
      <w:r>
        <w:rPr>
          <w:rFonts w:ascii="Times New Roman" w:cs="Times New Roman" w:eastAsia="Times New Roman" w:hAnsi="Times New Roman"/>
          <w:sz w:val="21"/>
          <w:szCs w:val="21"/>
          <w:color w:val="auto"/>
        </w:rPr>
        <w:t>”) or (ii) otherwise occurred in connection with, or in anticipation of, a Change in Control which actually occurs, then for all purposes of this Agreement, the date of a Change in Control with respect to Executive shall mean the date immediately before the date of such termination of Executive’s employment.</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amended from time to time.</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Equity Awards</w:t>
      </w:r>
      <w:r>
        <w:rPr>
          <w:rFonts w:ascii="Times New Roman" w:cs="Times New Roman" w:eastAsia="Times New Roman" w:hAnsi="Times New Roman"/>
          <w:sz w:val="21"/>
          <w:szCs w:val="21"/>
          <w:color w:val="auto"/>
        </w:rPr>
        <w:t>” shall have the meaning set forth in Section 2.1(b)(iii).</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Competitor</w:t>
      </w:r>
      <w:r>
        <w:rPr>
          <w:rFonts w:ascii="Times New Roman" w:cs="Times New Roman" w:eastAsia="Times New Roman" w:hAnsi="Times New Roman"/>
          <w:sz w:val="21"/>
          <w:szCs w:val="21"/>
          <w:color w:val="auto"/>
        </w:rPr>
        <w:t>” shall have the meaning set forth in Section 10(c).</w:t>
      </w:r>
    </w:p>
    <w:p>
      <w:pPr>
        <w:spacing w:after="0" w:line="226" w:lineRule="exact"/>
        <w:rPr>
          <w:sz w:val="20"/>
          <w:szCs w:val="20"/>
          <w:color w:val="auto"/>
        </w:rPr>
      </w:pPr>
    </w:p>
    <w:p>
      <w:pPr>
        <w:ind w:firstLine="1282"/>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without limitation and regardless of whether such information or materials are expressly identified as confidential or proprietary, (i) any and all non-public, confidential or proprietary information of the Company or any of its subsidiaries or affiliates, (ii) any information of the Company or any of its subsidiaries or affiliates that gives the Company or any of its subsidiaries or affiliates a competitive business advantage or the opportunity of obtaining such advantage, (iii) any information of the Company or any of its subsidiaries or affiliates the disclosure or improper use of which would reasonably be expected to be detrimental to the interests of the Company or any of its subsidiaries or affiliates and (iv) any trade secrets of the Company or any of its subsidiaries or affiliates. Confidential Information also includes any non-public, confidential or proprietary information about, or belonging to, any third- party that has been entrusted to the Company or any of its subsidiaries or affiliates. The term “Confidential Information” shall not include information that is or becomes generally available to the public other than as a result of an impermissible disclosure by Executive, or at Executive’s direction or is provided to Executive by an independent third-party that is under no obligation of confidentiality to the Company with respect to such information.</w:t>
      </w:r>
    </w:p>
    <w:p>
      <w:pPr>
        <w:spacing w:after="0" w:line="200" w:lineRule="exact"/>
        <w:rPr>
          <w:sz w:val="20"/>
          <w:szCs w:val="20"/>
          <w:color w:val="auto"/>
        </w:rPr>
      </w:pPr>
    </w:p>
    <w:p>
      <w:pPr>
        <w:spacing w:after="0" w:line="2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Determination</w:t>
      </w:r>
      <w:r>
        <w:rPr>
          <w:rFonts w:ascii="Times New Roman" w:cs="Times New Roman" w:eastAsia="Times New Roman" w:hAnsi="Times New Roman"/>
          <w:sz w:val="21"/>
          <w:szCs w:val="21"/>
          <w:color w:val="auto"/>
        </w:rPr>
        <w:t>” shall have the meaning set forth in Section 4(c).</w:t>
      </w: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shall have the meaning set forth in Section 4(c).</w:t>
      </w:r>
    </w:p>
    <w:p>
      <w:pPr>
        <w:spacing w:after="0" w:line="226" w:lineRule="exact"/>
        <w:rPr>
          <w:sz w:val="20"/>
          <w:szCs w:val="20"/>
          <w:color w:val="auto"/>
        </w:rPr>
      </w:pPr>
    </w:p>
    <w:p>
      <w:pPr>
        <w:ind w:right="80" w:firstLine="1282"/>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as determined by the Company in good faith, any medically determinable physical or mental impairment resulting in Executive’s inability to engage in any substantial gainful activity, where such impairment can be expected to result in death or can be expected to last for a continuous period of not less than 12 months.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00"/>
          </w:cols>
          <w:pgMar w:left="320" w:top="1404" w:right="379" w:bottom="1440" w:gutter="0" w:footer="0" w:header="0"/>
        </w:sectPr>
      </w:pPr>
    </w:p>
    <w:bookmarkStart w:id="139" w:name="page140"/>
    <w:bookmarkEnd w:id="139"/>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Excess Payment</w:t>
      </w:r>
      <w:r>
        <w:rPr>
          <w:rFonts w:ascii="Times New Roman" w:cs="Times New Roman" w:eastAsia="Times New Roman" w:hAnsi="Times New Roman"/>
          <w:sz w:val="21"/>
          <w:szCs w:val="21"/>
          <w:color w:val="auto"/>
        </w:rPr>
        <w:t>” shall have the meaning set forth in Section 4(d).</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shall have the meaning set forth in Section 4(a).</w:t>
      </w:r>
    </w:p>
    <w:p>
      <w:pPr>
        <w:spacing w:after="0" w:line="226" w:lineRule="exact"/>
        <w:rPr>
          <w:sz w:val="20"/>
          <w:szCs w:val="20"/>
          <w:color w:val="auto"/>
        </w:rPr>
      </w:pPr>
    </w:p>
    <w:p>
      <w:pPr>
        <w:ind w:right="40" w:firstLine="1282"/>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means the occurrence of any of the following events without Executive’s consent: (i) a material reduction in Executive’s base salary, annual bonus opportunity or long-term incentive award opportunity, (ii) relocation of the geographic location of Executive’s principal place of employment by more than 50 miles from Executive’s principal place of employment, (iii) a material breach by the Company of this Agreement or (iv) a material reduction in Executive’s authority, duties or responsibilities, provided that, in each case, (A) Executive shall provide the Company with written notice specifying the circumstances alleged to constitute Good Reason within 90 days following the first occurrence of such circumstances, (B) the Company shall have 30 days following receipt of such notice to cure such circumstances, and (C) if the Company has not cured such circumstances within such 30-day period Executive shall terminate his employment not later than 60 days after the end of such 30-day period.</w:t>
      </w:r>
    </w:p>
    <w:p>
      <w:pPr>
        <w:spacing w:after="0" w:line="174" w:lineRule="exact"/>
        <w:rPr>
          <w:sz w:val="20"/>
          <w:szCs w:val="20"/>
          <w:color w:val="auto"/>
        </w:rPr>
      </w:pPr>
    </w:p>
    <w:p>
      <w:pPr>
        <w:ind w:right="220" w:firstLine="1282"/>
        <w:spacing w:after="0" w:line="264" w:lineRule="auto"/>
        <w:rPr>
          <w:sz w:val="20"/>
          <w:szCs w:val="20"/>
          <w:color w:val="auto"/>
        </w:rPr>
      </w:pPr>
      <w:r>
        <w:rPr>
          <w:rFonts w:ascii="Times New Roman" w:cs="Times New Roman" w:eastAsia="Times New Roman" w:hAnsi="Times New Roman"/>
          <w:sz w:val="21"/>
          <w:szCs w:val="21"/>
          <w:color w:val="auto"/>
        </w:rPr>
        <w:t>Any event or condition described in clauses (i) to (iv) above which occurs before a Change in Control but which Executive reasonably demonstrates (A) was at the request of a Third-Party, or (B) otherwise occurred in connection with, or in anticipation of, a Change in Control which actually occurs, shall constitute Good Reason for purposes of this Agreement notwithstanding that it occurred before the Change in Control and without regard to the notice and cure provisions hereof which shall not apply with respect to such event or condition.</w:t>
      </w:r>
    </w:p>
    <w:p>
      <w:pPr>
        <w:spacing w:after="0" w:line="164" w:lineRule="exact"/>
        <w:rPr>
          <w:sz w:val="20"/>
          <w:szCs w:val="20"/>
          <w:color w:val="auto"/>
        </w:rPr>
      </w:pPr>
    </w:p>
    <w:p>
      <w:pPr>
        <w:ind w:right="100" w:firstLine="1282"/>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Immediate Family</w:t>
      </w:r>
      <w:r>
        <w:rPr>
          <w:rFonts w:ascii="Times New Roman" w:cs="Times New Roman" w:eastAsia="Times New Roman" w:hAnsi="Times New Roman"/>
          <w:sz w:val="21"/>
          <w:szCs w:val="21"/>
          <w:color w:val="auto"/>
        </w:rPr>
        <w:t>” of a person means such person’s spouse, children, siblings, mother-in-law and father-in-law, sons-in-law, daughters-in-law, brothers-in-law and sisters-in-law.</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shall have the meaning set forth in Section 4(d).</w:t>
      </w: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Murphy Family</w:t>
      </w:r>
      <w:r>
        <w:rPr>
          <w:rFonts w:ascii="Times New Roman" w:cs="Times New Roman" w:eastAsia="Times New Roman" w:hAnsi="Times New Roman"/>
          <w:sz w:val="21"/>
          <w:szCs w:val="21"/>
          <w:color w:val="auto"/>
        </w:rPr>
        <w:t>” means (a) the C.H. Murphy Family Investments Limited Partnership, (b) the estate of C.H.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Murphy, Jr., and (c) siblings of the late C.H. Murphy, Jr. and his and their respective Immediate Family.</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Net-After-Tax Benefit</w:t>
      </w:r>
      <w:r>
        <w:rPr>
          <w:rFonts w:ascii="Times New Roman" w:cs="Times New Roman" w:eastAsia="Times New Roman" w:hAnsi="Times New Roman"/>
          <w:sz w:val="21"/>
          <w:szCs w:val="21"/>
          <w:color w:val="auto"/>
        </w:rPr>
        <w:t>” shall have the meaning set forth in Section 4(a).</w:t>
      </w:r>
    </w:p>
    <w:p>
      <w:pPr>
        <w:spacing w:after="0" w:line="226" w:lineRule="exact"/>
        <w:rPr>
          <w:sz w:val="20"/>
          <w:szCs w:val="20"/>
          <w:color w:val="auto"/>
        </w:rPr>
      </w:pPr>
    </w:p>
    <w:p>
      <w:pPr>
        <w:ind w:firstLine="12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means, following a Change in Control, a written notice of termination from the Company to Executive which indicates the specific termination of termination provision in this Agreement relied upon and which sets forth in reasonable detail the facts and circumstances claimed to provide a basis for termination of Executive’s employment under the provision so indicated.</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shall have the meaning set forth in Section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180"/>
          </w:cols>
          <w:pgMar w:left="320" w:top="1404" w:right="399" w:bottom="1440" w:gutter="0" w:footer="0" w:header="0"/>
        </w:sectPr>
      </w:pPr>
    </w:p>
    <w:bookmarkStart w:id="140" w:name="page141"/>
    <w:bookmarkEnd w:id="140"/>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Release of Claims</w:t>
      </w:r>
      <w:r>
        <w:rPr>
          <w:rFonts w:ascii="Times New Roman" w:cs="Times New Roman" w:eastAsia="Times New Roman" w:hAnsi="Times New Roman"/>
          <w:sz w:val="21"/>
          <w:szCs w:val="21"/>
          <w:color w:val="auto"/>
        </w:rPr>
        <w:t>” shall have the meaning set forth in Section 2(d).</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Reduction</w:t>
      </w:r>
      <w:r>
        <w:rPr>
          <w:rFonts w:ascii="Times New Roman" w:cs="Times New Roman" w:eastAsia="Times New Roman" w:hAnsi="Times New Roman"/>
          <w:sz w:val="21"/>
          <w:szCs w:val="21"/>
          <w:color w:val="auto"/>
        </w:rPr>
        <w:t>” shall have the meaning set forth in Section 4(a).</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shall have the meaning set forth in Section 10(b).</w:t>
      </w: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Safe Harbor Amount</w:t>
      </w:r>
      <w:r>
        <w:rPr>
          <w:rFonts w:ascii="Times New Roman" w:cs="Times New Roman" w:eastAsia="Times New Roman" w:hAnsi="Times New Roman"/>
          <w:sz w:val="21"/>
          <w:szCs w:val="21"/>
          <w:color w:val="auto"/>
        </w:rPr>
        <w:t>” shall have the meaning set forth Section 4(a).</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shall have the meaning set forth in Section 2.1(c).</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shall have the meaning set forth in Section 2.1(c).</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SERP</w:t>
      </w:r>
      <w:r>
        <w:rPr>
          <w:rFonts w:ascii="Times New Roman" w:cs="Times New Roman" w:eastAsia="Times New Roman" w:hAnsi="Times New Roman"/>
          <w:sz w:val="21"/>
          <w:szCs w:val="21"/>
          <w:color w:val="auto"/>
        </w:rPr>
        <w:t>” means the Company’s Supplemental Executive Retirement Plan, as restated effective as of January 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2008.</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SERP Liabilities</w:t>
      </w:r>
      <w:r>
        <w:rPr>
          <w:rFonts w:ascii="Times New Roman" w:cs="Times New Roman" w:eastAsia="Times New Roman" w:hAnsi="Times New Roman"/>
          <w:sz w:val="21"/>
          <w:szCs w:val="21"/>
          <w:color w:val="auto"/>
        </w:rPr>
        <w:t>” shall have the meaning set forth in Section 2.2(f).</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Amounts</w:t>
      </w:r>
      <w:r>
        <w:rPr>
          <w:rFonts w:ascii="Times New Roman" w:cs="Times New Roman" w:eastAsia="Times New Roman" w:hAnsi="Times New Roman"/>
          <w:sz w:val="21"/>
          <w:szCs w:val="21"/>
          <w:color w:val="auto"/>
        </w:rPr>
        <w:t>” shall have the meaning set forth in Section 2.1(d).</w:t>
      </w:r>
    </w:p>
    <w:p>
      <w:pPr>
        <w:spacing w:after="0" w:line="2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Benefits</w:t>
      </w:r>
      <w:r>
        <w:rPr>
          <w:rFonts w:ascii="Times New Roman" w:cs="Times New Roman" w:eastAsia="Times New Roman" w:hAnsi="Times New Roman"/>
          <w:sz w:val="21"/>
          <w:szCs w:val="21"/>
          <w:color w:val="auto"/>
        </w:rPr>
        <w:t>” means the amounts and benefits paid or provided pursuant to Section 2.1(b).</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shall have the meaning set forth in Section 2.1(c).</w:t>
      </w:r>
    </w:p>
    <w:p>
      <w:pPr>
        <w:spacing w:after="0" w:line="226" w:lineRule="exact"/>
        <w:rPr>
          <w:sz w:val="20"/>
          <w:szCs w:val="20"/>
          <w:color w:val="auto"/>
        </w:rPr>
      </w:pPr>
    </w:p>
    <w:p>
      <w:pPr>
        <w:ind w:right="220" w:firstLine="1282"/>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means a corporation or other entity which has acquired or succeeded to all or substantially all or the assets and business of the Company (including this Agreement) whether by operation of law or otherwise.</w:t>
      </w:r>
    </w:p>
    <w:p>
      <w:pPr>
        <w:spacing w:after="0" w:line="147" w:lineRule="exact"/>
        <w:rPr>
          <w:sz w:val="20"/>
          <w:szCs w:val="20"/>
          <w:color w:val="auto"/>
        </w:rPr>
      </w:pPr>
    </w:p>
    <w:p>
      <w:pPr>
        <w:ind w:firstLine="1282"/>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shall mean in the case of Executive’s death, Executive’s date of death, in the case of a resignation by Executive from Executive’s employment with the Company, the last day of Executive’s employment and in all other cases involving a termination of Executive’s employment with the Company, the date specified in the Notice of Termination; provided, however, that if Executive’s employment is terminated by the Company due to Disability, the date specified in the Notice of Termination shall be at least 30 days from the date the Notice of Termination is given to Executive, provided that Executive shall not have returned to the full-time performance of Executive’s duties during such period of at least 30 days.</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Third-Party</w:t>
      </w:r>
      <w:r>
        <w:rPr>
          <w:rFonts w:ascii="Times New Roman" w:cs="Times New Roman" w:eastAsia="Times New Roman" w:hAnsi="Times New Roman"/>
          <w:sz w:val="21"/>
          <w:szCs w:val="21"/>
          <w:color w:val="auto"/>
        </w:rPr>
        <w:t>” shall have the meaning set forth in the definition of Change in Control.</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Trust</w:t>
      </w:r>
      <w:r>
        <w:rPr>
          <w:rFonts w:ascii="Times New Roman" w:cs="Times New Roman" w:eastAsia="Times New Roman" w:hAnsi="Times New Roman"/>
          <w:sz w:val="21"/>
          <w:szCs w:val="21"/>
          <w:color w:val="auto"/>
        </w:rPr>
        <w:t>” shall have the meaning set forth in Section 2.1(f).</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Underpayment</w:t>
      </w:r>
      <w:r>
        <w:rPr>
          <w:rFonts w:ascii="Times New Roman" w:cs="Times New Roman" w:eastAsia="Times New Roman" w:hAnsi="Times New Roman"/>
          <w:sz w:val="21"/>
          <w:szCs w:val="21"/>
          <w:color w:val="auto"/>
        </w:rPr>
        <w:t>” shall have the meaning set forth in Section 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04" w:right="339" w:bottom="1440" w:gutter="0" w:footer="0" w:header="0"/>
        </w:sectPr>
      </w:pPr>
    </w:p>
    <w:bookmarkStart w:id="141" w:name="page142"/>
    <w:bookmarkEnd w:id="141"/>
    <w:p>
      <w:pPr>
        <w:jc w:val="both"/>
        <w:ind w:left="-280" w:firstLine="648"/>
        <w:spacing w:after="0" w:line="270" w:lineRule="auto"/>
        <w:tabs>
          <w:tab w:leader="none" w:pos="100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between the parties hereto and supersedes all prior agreements, if any, understandings and arrangements, oral or written, between the parties hereto with respect to the subject matter hereof.</w:t>
      </w:r>
    </w:p>
    <w:p>
      <w:pPr>
        <w:spacing w:after="0" w:line="17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b w:val="1"/>
          <w:b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700"/>
          </w:cols>
          <w:pgMar w:left="600" w:top="1408" w:right="599" w:bottom="1440" w:gutter="0" w:footer="0" w:header="0"/>
        </w:sectPr>
      </w:pPr>
    </w:p>
    <w:bookmarkStart w:id="142" w:name="page143"/>
    <w:bookmarkEnd w:id="142"/>
    <w:p>
      <w:pPr>
        <w:spacing w:after="0" w:line="209" w:lineRule="exact"/>
        <w:rPr>
          <w:sz w:val="20"/>
          <w:szCs w:val="20"/>
          <w:color w:val="auto"/>
        </w:rPr>
      </w:pPr>
    </w:p>
    <w:p>
      <w:pPr>
        <w:ind w:firstLine="641"/>
        <w:spacing w:after="0" w:line="288" w:lineRule="auto"/>
        <w:rPr>
          <w:sz w:val="20"/>
          <w:szCs w:val="20"/>
          <w:color w:val="auto"/>
        </w:rPr>
      </w:pPr>
      <w:r>
        <w:rPr>
          <w:rFonts w:ascii="Times New Roman" w:cs="Times New Roman" w:eastAsia="Times New Roman" w:hAnsi="Times New Roman"/>
          <w:sz w:val="21"/>
          <w:szCs w:val="21"/>
          <w:color w:val="auto"/>
        </w:rPr>
        <w:t>IN WITNESS WHEREOF, the Company has caused this Agreement to be executed by its duly authorized officer and the Executive has executed this Agreement as of the day and year first above written.</w:t>
      </w:r>
    </w:p>
    <w:p>
      <w:pPr>
        <w:spacing w:after="0" w:line="16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MURPHY OIL CORPORATION</w:t>
      </w:r>
    </w:p>
    <w:p>
      <w:pPr>
        <w:spacing w:after="0" w:line="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-152400</wp:posOffset>
            </wp:positionV>
            <wp:extent cx="21120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Title: [•]</w:t>
      </w:r>
    </w:p>
    <w:p>
      <w:pPr>
        <w:spacing w:after="0" w:line="200" w:lineRule="exact"/>
        <w:rPr>
          <w:sz w:val="20"/>
          <w:szCs w:val="20"/>
          <w:color w:val="auto"/>
        </w:rPr>
      </w:pPr>
    </w:p>
    <w:p>
      <w:pPr>
        <w:spacing w:after="0" w:line="38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-152400</wp:posOffset>
            </wp:positionV>
            <wp:extent cx="21120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000"/>
          </w:cols>
          <w:pgMar w:left="320" w:top="1440" w:right="579" w:bottom="1440" w:gutter="0" w:footer="0" w:header="0"/>
        </w:sectPr>
      </w:pPr>
    </w:p>
    <w:bookmarkStart w:id="143" w:name="page144"/>
    <w:bookmarkEnd w:id="143"/>
    <w:p>
      <w:pPr>
        <w:ind w:left="7060"/>
        <w:spacing w:after="0"/>
        <w:rPr>
          <w:sz w:val="20"/>
          <w:szCs w:val="20"/>
          <w:color w:val="auto"/>
        </w:rPr>
      </w:pPr>
      <w:r>
        <w:rPr>
          <w:rFonts w:ascii="Times New Roman" w:cs="Times New Roman" w:eastAsia="Times New Roman" w:hAnsi="Times New Roman"/>
          <w:sz w:val="20"/>
          <w:szCs w:val="20"/>
          <w:b w:val="1"/>
          <w:bCs w:val="1"/>
          <w:color w:val="auto"/>
        </w:rPr>
        <w:t>Exhibit 10.33</w:t>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FIRST AMENDMENT TO</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7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dated as of </w:t>
      </w:r>
      <w:r>
        <w:rPr>
          <w:rFonts w:ascii="Times New Roman" w:cs="Times New Roman" w:eastAsia="Times New Roman" w:hAnsi="Times New Roman"/>
          <w:sz w:val="21"/>
          <w:szCs w:val="21"/>
          <w:b w:val="1"/>
          <w:bCs w:val="1"/>
          <w:color w:val="auto"/>
        </w:rPr>
        <w:t>February 6, 2025</w:t>
      </w:r>
      <w:r>
        <w:rPr>
          <w:rFonts w:ascii="Times New Roman" w:cs="Times New Roman" w:eastAsia="Times New Roman" w:hAnsi="Times New Roman"/>
          <w:sz w:val="21"/>
          <w:szCs w:val="21"/>
          <w:b w:val="1"/>
          <w:bCs w:val="1"/>
          <w:i w:val="1"/>
          <w:iCs w:val="1"/>
          <w:color w:val="auto"/>
        </w:rPr>
        <w:t xml:space="preserve"> among</w:t>
      </w:r>
    </w:p>
    <w:p>
      <w:pPr>
        <w:spacing w:after="0" w:line="1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MURPHY OIL CORPORATION,</w:t>
      </w:r>
    </w:p>
    <w:p>
      <w:pPr>
        <w:spacing w:after="0" w:line="11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1"/>
          <w:szCs w:val="21"/>
          <w:b w:val="1"/>
          <w:bCs w:val="1"/>
          <w:color w:val="auto"/>
        </w:rPr>
        <w:t>MURPHY EXPLORATION &amp; PRODUCTION COMPANY – INTERNATIONAL,</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MURPHY OIL COMPANY LTD.,</w:t>
      </w:r>
    </w:p>
    <w:p>
      <w:pPr>
        <w:spacing w:after="0" w:line="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as Borrowers</w:t>
      </w:r>
    </w:p>
    <w:p>
      <w:pPr>
        <w:spacing w:after="0" w:line="21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as Administrative Agent, and</w:t>
      </w:r>
    </w:p>
    <w:p>
      <w:pPr>
        <w:spacing w:after="0" w:line="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THE LENDERS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182174051.6</w:t>
      </w:r>
    </w:p>
    <w:p>
      <w:pPr>
        <w:sectPr>
          <w:pgSz w:w="11900" w:h="16838" w:orient="portrait"/>
          <w:cols w:equalWidth="0" w:num="1">
            <w:col w:w="11120"/>
          </w:cols>
          <w:pgMar w:left="320" w:top="821" w:right="459" w:bottom="1440" w:gutter="0" w:footer="0" w:header="0"/>
        </w:sectPr>
      </w:pPr>
    </w:p>
    <w:bookmarkStart w:id="144" w:name="page145"/>
    <w:bookmarkEnd w:id="144"/>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FIRST AMENDMENT TO CREDIT AGREEMENT</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THIS FIRST AMENDMENT TO CREDIT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w:t>
      </w:r>
    </w:p>
    <w:p>
      <w:pPr>
        <w:spacing w:after="0" w:line="40" w:lineRule="exact"/>
        <w:rPr>
          <w:sz w:val="20"/>
          <w:szCs w:val="20"/>
          <w:color w:val="auto"/>
        </w:rPr>
      </w:pPr>
    </w:p>
    <w:p>
      <w:pPr>
        <w:jc w:val="both"/>
        <w:ind w:left="100"/>
        <w:spacing w:after="0" w:line="257" w:lineRule="auto"/>
        <w:rPr>
          <w:sz w:val="20"/>
          <w:szCs w:val="20"/>
          <w:color w:val="auto"/>
        </w:rPr>
      </w:pPr>
      <w:r>
        <w:rPr>
          <w:rFonts w:ascii="Times New Roman" w:cs="Times New Roman" w:eastAsia="Times New Roman" w:hAnsi="Times New Roman"/>
          <w:sz w:val="21"/>
          <w:szCs w:val="21"/>
          <w:color w:val="auto"/>
        </w:rPr>
        <w:t xml:space="preserve">dated as of February 6, 2025 is among </w:t>
      </w:r>
      <w:r>
        <w:rPr>
          <w:rFonts w:ascii="Times New Roman" w:cs="Times New Roman" w:eastAsia="Times New Roman" w:hAnsi="Times New Roman"/>
          <w:sz w:val="21"/>
          <w:szCs w:val="21"/>
          <w:b w:val="1"/>
          <w:bCs w:val="1"/>
          <w:color w:val="auto"/>
        </w:rPr>
        <w:t>MURPHY OIL CORPORATION</w:t>
      </w:r>
      <w:r>
        <w:rPr>
          <w:rFonts w:ascii="Times New Roman" w:cs="Times New Roman" w:eastAsia="Times New Roman" w:hAnsi="Times New Roman"/>
          <w:sz w:val="21"/>
          <w:szCs w:val="21"/>
          <w:color w:val="auto"/>
        </w:rPr>
        <w:t>,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MURPHY EXPLORATION &amp; PRODUCTION COMPANY – INTERNATIONAL</w:t>
      </w:r>
      <w:r>
        <w:rPr>
          <w:rFonts w:ascii="Times New Roman" w:cs="Times New Roman" w:eastAsia="Times New Roman" w:hAnsi="Times New Roman"/>
          <w:sz w:val="21"/>
          <w:szCs w:val="21"/>
          <w:color w:val="auto"/>
        </w:rPr>
        <w:t>, a Delaware corporation (“</w:t>
      </w:r>
      <w:r>
        <w:rPr>
          <w:rFonts w:ascii="Times New Roman" w:cs="Times New Roman" w:eastAsia="Times New Roman" w:hAnsi="Times New Roman"/>
          <w:sz w:val="21"/>
          <w:szCs w:val="21"/>
          <w:u w:val="single" w:color="auto"/>
          <w:color w:val="auto"/>
        </w:rPr>
        <w:t>Expro-Intl.</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MURPHY OIL COMPANY LTD.</w:t>
      </w:r>
      <w:r>
        <w:rPr>
          <w:rFonts w:ascii="Times New Roman" w:cs="Times New Roman" w:eastAsia="Times New Roman" w:hAnsi="Times New Roman"/>
          <w:sz w:val="21"/>
          <w:szCs w:val="21"/>
          <w:color w:val="auto"/>
        </w:rPr>
        <w:t>, a Canadian corporation (“</w:t>
      </w:r>
      <w:r>
        <w:rPr>
          <w:rFonts w:ascii="Times New Roman" w:cs="Times New Roman" w:eastAsia="Times New Roman" w:hAnsi="Times New Roman"/>
          <w:sz w:val="21"/>
          <w:szCs w:val="21"/>
          <w:u w:val="single" w:color="auto"/>
          <w:color w:val="auto"/>
        </w:rPr>
        <w:t>MOCL</w:t>
      </w:r>
      <w:r>
        <w:rPr>
          <w:rFonts w:ascii="Times New Roman" w:cs="Times New Roman" w:eastAsia="Times New Roman" w:hAnsi="Times New Roman"/>
          <w:sz w:val="21"/>
          <w:szCs w:val="21"/>
          <w:color w:val="auto"/>
        </w:rPr>
        <w:t>” and, together with the Company and Expro-Intl.,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 as administrative agent (in such capacity, together with its successors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for the lenders party to the Credit Agreement referred to below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the undersigned Lenders.</w:t>
      </w:r>
    </w:p>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u w:val="single" w:color="auto"/>
          <w:color w:val="auto"/>
        </w:rPr>
        <w:t>R E C I T A L S</w:t>
      </w:r>
    </w:p>
    <w:p>
      <w:pPr>
        <w:spacing w:after="0" w:line="203" w:lineRule="exact"/>
        <w:rPr>
          <w:sz w:val="20"/>
          <w:szCs w:val="20"/>
          <w:color w:val="auto"/>
        </w:rPr>
      </w:pPr>
    </w:p>
    <w:p>
      <w:pPr>
        <w:jc w:val="both"/>
        <w:ind w:left="100" w:right="20" w:firstLine="651"/>
        <w:spacing w:after="0" w:line="277" w:lineRule="auto"/>
        <w:tabs>
          <w:tab w:leader="none" w:pos="126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the Administrative Agent and the Lenders are parties to that certain Credit Agreement dated as of October 7, 2024 (as amended, supplemented or otherwise modified prior to the date hereof,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pursuant to which the Lenders have made certain extensions of credit available to the Borrowers.</w:t>
      </w:r>
    </w:p>
    <w:p>
      <w:pPr>
        <w:spacing w:after="0" w:line="139" w:lineRule="exact"/>
        <w:rPr>
          <w:rFonts w:ascii="Times New Roman" w:cs="Times New Roman" w:eastAsia="Times New Roman" w:hAnsi="Times New Roman"/>
          <w:sz w:val="21"/>
          <w:szCs w:val="21"/>
          <w:color w:val="auto"/>
        </w:rPr>
      </w:pPr>
    </w:p>
    <w:p>
      <w:pPr>
        <w:ind w:left="100" w:right="20" w:firstLine="651"/>
        <w:spacing w:after="0" w:line="288" w:lineRule="auto"/>
        <w:tabs>
          <w:tab w:leader="none" w:pos="127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have requested and the undersigned Administrative Agent and Lenders have agreed, subject to the terms and conditions set forth herein, to amend certain provisions of the Credit Agreement as set forth herein.</w:t>
      </w:r>
    </w:p>
    <w:p>
      <w:pPr>
        <w:spacing w:after="0" w:line="128" w:lineRule="exact"/>
        <w:rPr>
          <w:rFonts w:ascii="Times New Roman" w:cs="Times New Roman" w:eastAsia="Times New Roman" w:hAnsi="Times New Roman"/>
          <w:sz w:val="21"/>
          <w:szCs w:val="21"/>
          <w:color w:val="auto"/>
        </w:rPr>
      </w:pPr>
    </w:p>
    <w:p>
      <w:pPr>
        <w:ind w:left="100" w:right="20" w:firstLine="651"/>
        <w:spacing w:after="0" w:line="288" w:lineRule="auto"/>
        <w:tabs>
          <w:tab w:leader="none" w:pos="127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28" w:lineRule="exact"/>
        <w:rPr>
          <w:sz w:val="20"/>
          <w:szCs w:val="20"/>
          <w:color w:val="auto"/>
        </w:rPr>
      </w:pPr>
    </w:p>
    <w:p>
      <w:pPr>
        <w:jc w:val="both"/>
        <w:ind w:left="100"/>
        <w:spacing w:after="0" w:line="270"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Each capitalized term used herein but not otherwise defined herein has the meaning given such term in the Credit Agreement (as amended hereby). Unless otherwise indicated, all references to Sections and Articles in this First Amendment refer to Sections and Articles of the Credit Agreement.</w:t>
      </w:r>
    </w:p>
    <w:p>
      <w:pPr>
        <w:spacing w:after="0" w:line="147" w:lineRule="exact"/>
        <w:rPr>
          <w:sz w:val="20"/>
          <w:szCs w:val="20"/>
          <w:color w:val="auto"/>
        </w:rPr>
      </w:pPr>
    </w:p>
    <w:p>
      <w:pPr>
        <w:ind w:left="100"/>
        <w:spacing w:after="0"/>
        <w:tabs>
          <w:tab w:leader="none" w:pos="116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1"/>
          <w:szCs w:val="21"/>
          <w:u w:val="single" w:color="auto"/>
          <w:color w:val="auto"/>
        </w:rPr>
        <w:t>Amendments to Credit Agreement</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100" w:right="20" w:firstLine="885"/>
        <w:spacing w:after="0" w:line="288"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Amendment to Cover Page</w:t>
      </w:r>
      <w:r>
        <w:rPr>
          <w:rFonts w:ascii="Times New Roman" w:cs="Times New Roman" w:eastAsia="Times New Roman" w:hAnsi="Times New Roman"/>
          <w:sz w:val="21"/>
          <w:szCs w:val="21"/>
          <w:color w:val="auto"/>
        </w:rPr>
        <w:t xml:space="preserve">. The cover page to the Credit Agreement is hereby amended and restated in its entirety to read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this First Amendment.</w:t>
      </w: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Amendments to Section 1.01</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1920" w:hanging="528"/>
        <w:spacing w:after="0"/>
        <w:tabs>
          <w:tab w:leader="none" w:pos="19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following defined terms is hereby amended and restated in its entirety to read as follows:</w:t>
      </w:r>
    </w:p>
    <w:p>
      <w:pPr>
        <w:spacing w:after="0" w:line="213" w:lineRule="exact"/>
        <w:rPr>
          <w:sz w:val="20"/>
          <w:szCs w:val="20"/>
          <w:color w:val="auto"/>
        </w:rPr>
      </w:pPr>
    </w:p>
    <w:p>
      <w:pPr>
        <w:ind w:left="760" w:right="640" w:firstLine="641"/>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Credit Agreement, as amended by the First Amendment and as the same may from time to time be amended, modified, supplemented or restated.</w:t>
      </w:r>
    </w:p>
    <w:p>
      <w:pPr>
        <w:spacing w:after="0" w:line="128" w:lineRule="exact"/>
        <w:rPr>
          <w:sz w:val="20"/>
          <w:szCs w:val="20"/>
          <w:color w:val="auto"/>
        </w:rPr>
      </w:pPr>
    </w:p>
    <w:p>
      <w:pPr>
        <w:ind w:left="760" w:right="640" w:firstLine="641"/>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Lead Arrangers</w:t>
      </w:r>
      <w:r>
        <w:rPr>
          <w:rFonts w:ascii="Times New Roman" w:cs="Times New Roman" w:eastAsia="Times New Roman" w:hAnsi="Times New Roman"/>
          <w:sz w:val="21"/>
          <w:szCs w:val="21"/>
          <w:color w:val="auto"/>
        </w:rPr>
        <w:t>” means JPMorgan Chase Bank, N.A., BofA Securities, Inc., Capital One, National Association, MUFG Bank, Ltd., Scotiabank, Regions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182174051.6</w:t>
      </w:r>
    </w:p>
    <w:p>
      <w:pPr>
        <w:sectPr>
          <w:pgSz w:w="11900" w:h="16838" w:orient="portrait"/>
          <w:cols w:equalWidth="0" w:num="1">
            <w:col w:w="11120"/>
          </w:cols>
          <w:pgMar w:left="320" w:top="1404" w:right="459" w:bottom="1440" w:gutter="0" w:footer="0" w:header="0"/>
        </w:sectPr>
      </w:pPr>
    </w:p>
    <w:bookmarkStart w:id="145" w:name="page146"/>
    <w:bookmarkEnd w:id="145"/>
    <w:p>
      <w:pPr>
        <w:ind w:left="760" w:right="560"/>
        <w:spacing w:after="0" w:line="288" w:lineRule="auto"/>
        <w:rPr>
          <w:sz w:val="20"/>
          <w:szCs w:val="20"/>
          <w:color w:val="auto"/>
        </w:rPr>
      </w:pPr>
      <w:r>
        <w:rPr>
          <w:rFonts w:ascii="Times New Roman" w:cs="Times New Roman" w:eastAsia="Times New Roman" w:hAnsi="Times New Roman"/>
          <w:sz w:val="21"/>
          <w:szCs w:val="21"/>
          <w:color w:val="auto"/>
        </w:rPr>
        <w:t>Capital Markets, a Division of Regions Bank, and Bank OZK, in their respective capacities as co-lead arrangers and joint bookrunners hereunder.</w:t>
      </w:r>
    </w:p>
    <w:p>
      <w:pPr>
        <w:spacing w:after="0" w:line="128" w:lineRule="exact"/>
        <w:rPr>
          <w:sz w:val="20"/>
          <w:szCs w:val="20"/>
          <w:color w:val="auto"/>
        </w:rPr>
      </w:pPr>
    </w:p>
    <w:p>
      <w:pPr>
        <w:ind w:left="1920" w:hanging="524"/>
        <w:spacing w:after="0"/>
        <w:tabs>
          <w:tab w:leader="none" w:pos="192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defined term is hereby added to Section 1.01 where alphabetically appropriate, to read as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follows:</w:t>
      </w:r>
    </w:p>
    <w:p>
      <w:pPr>
        <w:spacing w:after="0" w:line="189" w:lineRule="exact"/>
        <w:rPr>
          <w:sz w:val="20"/>
          <w:szCs w:val="20"/>
          <w:color w:val="auto"/>
        </w:rPr>
      </w:pPr>
    </w:p>
    <w:p>
      <w:pPr>
        <w:jc w:val="both"/>
        <w:ind w:left="760" w:right="780" w:firstLine="641"/>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means that certain First Amendment to Credit Agreement, dated as of February 6, 2025, by and among the Borrowers, the Administrative Agent and the Lenders party thereto.</w:t>
      </w: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Amendment to Section 6.13</w:t>
      </w:r>
      <w:r>
        <w:rPr>
          <w:rFonts w:ascii="Times New Roman" w:cs="Times New Roman" w:eastAsia="Times New Roman" w:hAnsi="Times New Roman"/>
          <w:sz w:val="21"/>
          <w:szCs w:val="21"/>
          <w:color w:val="auto"/>
        </w:rPr>
        <w:t>. Section 6.13 is hereby amended and restated in its entirety to read as follows:</w:t>
      </w:r>
    </w:p>
    <w:p>
      <w:pPr>
        <w:spacing w:after="0" w:line="169" w:lineRule="exact"/>
        <w:rPr>
          <w:sz w:val="20"/>
          <w:szCs w:val="20"/>
          <w:color w:val="auto"/>
        </w:rPr>
      </w:pPr>
    </w:p>
    <w:p>
      <w:pPr>
        <w:jc w:val="both"/>
        <w:ind w:left="760" w:right="760" w:firstLine="641"/>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Section 6.13 </w:t>
      </w:r>
      <w:r>
        <w:rPr>
          <w:rFonts w:ascii="Times New Roman" w:cs="Times New Roman" w:eastAsia="Times New Roman" w:hAnsi="Times New Roman"/>
          <w:sz w:val="21"/>
          <w:szCs w:val="21"/>
          <w:b w:val="1"/>
          <w:bCs w:val="1"/>
          <w:u w:val="single" w:color="auto"/>
          <w:color w:val="auto"/>
        </w:rPr>
        <w:t>New Accounts Prior to the Investment Grade Rating Date</w:t>
      </w:r>
      <w:r>
        <w:rPr>
          <w:rFonts w:ascii="Times New Roman" w:cs="Times New Roman" w:eastAsia="Times New Roman" w:hAnsi="Times New Roman"/>
          <w:sz w:val="21"/>
          <w:szCs w:val="21"/>
          <w:color w:val="auto"/>
        </w:rPr>
        <w:t>. Prior to the Investment Grade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Rating Date, the Company will not, and will not permit any Subsidiary to, open or otherwise establish or maintain, or deposit, credit or otherwise transfer any Cash Receipts, securities, financial assets or any other property into, any Deposit Account, Securities Account or Commodity Account (other than any Excluded DDA) other than a Deposit Account, Securities Account or Commodity Account listed on Schedule 5.14, which is maintained with the Administrative Agent or a Lender or another financial institution reasonably acceptable to the Administrative Agent. The Company may supplement Schedule 5.14 to include additional Deposit Accounts, Securities Accounts or Commodity Accounts maintained with the Administrative Agent or a Lender or another financial institution reasonably acceptable to the Administrative Agent by delivering to the Administrative Agent a supplement to Schedule 5.14 clearly marked as such (which supplement shall be promptly furnished to the Lenders).</w:t>
      </w:r>
    </w:p>
    <w:p>
      <w:pPr>
        <w:spacing w:after="0" w:line="200" w:lineRule="exact"/>
        <w:rPr>
          <w:sz w:val="20"/>
          <w:szCs w:val="20"/>
          <w:color w:val="auto"/>
        </w:rPr>
      </w:pPr>
    </w:p>
    <w:p>
      <w:pPr>
        <w:spacing w:after="0" w:line="217" w:lineRule="exact"/>
        <w:rPr>
          <w:sz w:val="20"/>
          <w:szCs w:val="20"/>
          <w:color w:val="auto"/>
        </w:rPr>
      </w:pPr>
    </w:p>
    <w:p>
      <w:pPr>
        <w:jc w:val="both"/>
        <w:ind w:left="100" w:right="140" w:firstLine="882"/>
        <w:spacing w:after="0" w:line="288"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Amendment to Schedule 5.14</w:t>
      </w:r>
      <w:r>
        <w:rPr>
          <w:rFonts w:ascii="Times New Roman" w:cs="Times New Roman" w:eastAsia="Times New Roman" w:hAnsi="Times New Roman"/>
          <w:sz w:val="21"/>
          <w:szCs w:val="21"/>
          <w:color w:val="auto"/>
        </w:rPr>
        <w:t>. Schedule 5.14 is hereby amended and restated in its entirety to read as set forth on Schedule 5.14 to this First Amendment.</w:t>
      </w:r>
    </w:p>
    <w:p>
      <w:pPr>
        <w:spacing w:after="0" w:line="128" w:lineRule="exact"/>
        <w:rPr>
          <w:sz w:val="20"/>
          <w:szCs w:val="20"/>
          <w:color w:val="auto"/>
        </w:rPr>
      </w:pPr>
    </w:p>
    <w:p>
      <w:pPr>
        <w:jc w:val="both"/>
        <w:ind w:left="100" w:right="120"/>
        <w:spacing w:after="0" w:line="277"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Conditions Precedent</w:t>
      </w:r>
      <w:r>
        <w:rPr>
          <w:rFonts w:ascii="Times New Roman" w:cs="Times New Roman" w:eastAsia="Times New Roman" w:hAnsi="Times New Roman"/>
          <w:sz w:val="21"/>
          <w:szCs w:val="21"/>
          <w:color w:val="auto"/>
        </w:rPr>
        <w:t>. This First Amendment shall not become effective until the date on which each of the following conditions is satisfied (or waived in accordance with Section 10.02 of the Credit Agreement)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126" w:lineRule="exact"/>
        <w:rPr>
          <w:sz w:val="20"/>
          <w:szCs w:val="20"/>
          <w:color w:val="auto"/>
        </w:rPr>
      </w:pPr>
    </w:p>
    <w:p>
      <w:pPr>
        <w:jc w:val="both"/>
        <w:ind w:left="100" w:right="120" w:firstLine="885"/>
        <w:spacing w:after="0" w:line="264" w:lineRule="auto"/>
        <w:rPr>
          <w:sz w:val="20"/>
          <w:szCs w:val="20"/>
          <w:color w:val="auto"/>
        </w:rPr>
      </w:pPr>
      <w:r>
        <w:rPr>
          <w:rFonts w:ascii="Times New Roman" w:cs="Times New Roman" w:eastAsia="Times New Roman" w:hAnsi="Times New Roman"/>
          <w:sz w:val="21"/>
          <w:szCs w:val="21"/>
          <w:color w:val="auto"/>
        </w:rPr>
        <w:t>3.1 The Administrative Agent, the Lenders and the Lead Arrangers shall have received all fees and other amounts due and payable to each such Person on or prior to the First Amendment Effective Date, including to the extent invoiced, reimbursement or payment of all out-of-pocket expenses required to be reimbursed or paid by the Borrowers pursuant to the Credit Agreement (including, without limitation, the fees and expenses of Paul Hastings LLP, as special counsel to the Administrative Agent).</w:t>
      </w:r>
    </w:p>
    <w:p>
      <w:pPr>
        <w:spacing w:after="0" w:line="155" w:lineRule="exact"/>
        <w:rPr>
          <w:sz w:val="20"/>
          <w:szCs w:val="20"/>
          <w:color w:val="auto"/>
        </w:rPr>
      </w:pPr>
    </w:p>
    <w:p>
      <w:pPr>
        <w:ind w:left="120" w:right="20" w:firstLine="882"/>
        <w:spacing w:after="0" w:line="288" w:lineRule="auto"/>
        <w:rPr>
          <w:sz w:val="20"/>
          <w:szCs w:val="20"/>
          <w:color w:val="auto"/>
        </w:rPr>
      </w:pPr>
      <w:r>
        <w:rPr>
          <w:rFonts w:ascii="Times New Roman" w:cs="Times New Roman" w:eastAsia="Times New Roman" w:hAnsi="Times New Roman"/>
          <w:sz w:val="21"/>
          <w:szCs w:val="21"/>
          <w:color w:val="auto"/>
        </w:rPr>
        <w:t>3.2 The Administrative Agent shall have received from the Required Lenders and the Borrowers, counterparts of this First Amendment signed on behalf of such Persons.</w:t>
      </w:r>
    </w:p>
    <w:p>
      <w:pPr>
        <w:spacing w:after="0" w:line="128" w:lineRule="exact"/>
        <w:rPr>
          <w:sz w:val="20"/>
          <w:szCs w:val="20"/>
          <w:color w:val="auto"/>
        </w:rPr>
      </w:pPr>
    </w:p>
    <w:p>
      <w:pPr>
        <w:ind w:left="120" w:firstLine="882"/>
        <w:spacing w:after="0" w:line="288" w:lineRule="auto"/>
        <w:rPr>
          <w:sz w:val="20"/>
          <w:szCs w:val="20"/>
          <w:color w:val="auto"/>
        </w:rPr>
      </w:pPr>
      <w:r>
        <w:rPr>
          <w:rFonts w:ascii="Times New Roman" w:cs="Times New Roman" w:eastAsia="Times New Roman" w:hAnsi="Times New Roman"/>
          <w:sz w:val="21"/>
          <w:szCs w:val="21"/>
          <w:color w:val="auto"/>
        </w:rPr>
        <w:t>3.3 The Administrative Agent shall have received such other documents as the Administrative Agent or special counsel to the Administrative Agent may reasonably request.</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182174051.6</w:t>
      </w:r>
    </w:p>
    <w:p>
      <w:pPr>
        <w:sectPr>
          <w:pgSz w:w="11900" w:h="16838" w:orient="portrait"/>
          <w:cols w:equalWidth="0" w:num="1">
            <w:col w:w="11240"/>
          </w:cols>
          <w:pgMar w:left="320" w:top="1408" w:right="339" w:bottom="1440" w:gutter="0" w:footer="0" w:header="0"/>
        </w:sectPr>
      </w:pPr>
    </w:p>
    <w:bookmarkStart w:id="146" w:name="page147"/>
    <w:bookmarkEnd w:id="146"/>
    <w:p>
      <w:pPr>
        <w:ind w:left="1000"/>
        <w:spacing w:after="0"/>
        <w:rPr>
          <w:sz w:val="20"/>
          <w:szCs w:val="20"/>
          <w:color w:val="auto"/>
        </w:rPr>
      </w:pPr>
      <w:r>
        <w:rPr>
          <w:rFonts w:ascii="Times New Roman" w:cs="Times New Roman" w:eastAsia="Times New Roman" w:hAnsi="Times New Roman"/>
          <w:sz w:val="21"/>
          <w:szCs w:val="21"/>
          <w:color w:val="auto"/>
        </w:rPr>
        <w:t>3.4 No Default shall have occurred and be continuing.</w:t>
      </w:r>
    </w:p>
    <w:p>
      <w:pPr>
        <w:spacing w:after="0" w:line="226" w:lineRule="exact"/>
        <w:rPr>
          <w:sz w:val="20"/>
          <w:szCs w:val="20"/>
          <w:color w:val="auto"/>
        </w:rPr>
      </w:pPr>
    </w:p>
    <w:p>
      <w:pPr>
        <w:jc w:val="both"/>
        <w:ind w:left="120" w:right="120" w:firstLine="882"/>
        <w:spacing w:after="0" w:line="261" w:lineRule="auto"/>
        <w:rPr>
          <w:sz w:val="20"/>
          <w:szCs w:val="20"/>
          <w:color w:val="auto"/>
        </w:rPr>
      </w:pPr>
      <w:r>
        <w:rPr>
          <w:rFonts w:ascii="Times New Roman" w:cs="Times New Roman" w:eastAsia="Times New Roman" w:hAnsi="Times New Roman"/>
          <w:sz w:val="21"/>
          <w:szCs w:val="21"/>
          <w:color w:val="auto"/>
        </w:rPr>
        <w:t>The Administrative Agent is hereby authorized and directed to declare the occurrence of the First Amendment Effective Date when it has received documents confirming compliance with the conditions set forth in this Section 3 or the waiver of such conditions as agreed to by the Lenders pursuant to Section 10.02(b) of the Credit Agreement. Such declaration shall be final, conclusive and binding upon all parties to this First Amendment for all purposes. For purposes of determining compliance with the conditions specified in this Section 3, each Lender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First Amendment Effective Date specifying its objection thereto.</w:t>
      </w:r>
    </w:p>
    <w:p>
      <w:pPr>
        <w:spacing w:after="0" w:line="170"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99" w:lineRule="exact"/>
        <w:rPr>
          <w:sz w:val="20"/>
          <w:szCs w:val="20"/>
          <w:color w:val="auto"/>
        </w:rPr>
      </w:pPr>
    </w:p>
    <w:p>
      <w:pPr>
        <w:jc w:val="both"/>
        <w:ind w:left="120" w:firstLine="882"/>
        <w:spacing w:after="0" w:line="249"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Confirmation</w:t>
      </w:r>
      <w:r>
        <w:rPr>
          <w:rFonts w:ascii="Times New Roman" w:cs="Times New Roman" w:eastAsia="Times New Roman" w:hAnsi="Times New Roman"/>
          <w:sz w:val="21"/>
          <w:szCs w:val="21"/>
          <w:color w:val="auto"/>
        </w:rPr>
        <w:t>. The provisions of the Credit Agreement, as amended by this First Amendment, shall remain in full force and effect following the effectiveness of this First Amendment.</w:t>
      </w:r>
    </w:p>
    <w:p>
      <w:pPr>
        <w:spacing w:after="0" w:line="167" w:lineRule="exact"/>
        <w:rPr>
          <w:sz w:val="20"/>
          <w:szCs w:val="20"/>
          <w:color w:val="auto"/>
        </w:rPr>
      </w:pPr>
    </w:p>
    <w:p>
      <w:pPr>
        <w:jc w:val="both"/>
        <w:ind w:left="120" w:firstLine="882"/>
        <w:spacing w:after="0" w:line="25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Ratification and Affirmation; Representations and Warranties</w:t>
      </w:r>
      <w:r>
        <w:rPr>
          <w:rFonts w:ascii="Times New Roman" w:cs="Times New Roman" w:eastAsia="Times New Roman" w:hAnsi="Times New Roman"/>
          <w:sz w:val="21"/>
          <w:szCs w:val="21"/>
          <w:color w:val="auto"/>
        </w:rPr>
        <w:t>. Each Borrower hereby: (a) acknowledges the terms of this First Amendment; (b) acknowledges, ratifies and affirms its obligations and continued liability under, the Credit Agreement and the other Loan Documents to which it is party and agrees that the Credit Agreement remains in full force and effect, except as expressly amended hereby, after giving effect to the amendments and waivers contained herein; (c) agrees that the terms “Agreement”, “this Agreement”, “herein”, “hereinafter”, “hereto”, “hereof” and words of similar import, as used in the Credit Agreement, shall, unless the context otherwise requires, refer to the Credit Agreement, as amended hereby, and the term “Credit Agreement” as used in the other Loan Documents shall mean the Credit Agreement, as amended hereby; and (d) represents and warrants to the Lenders that as of the date hereof, after giving effect to the terms of this First Amendment: (i) all of the representations and warranties contained in the Credit Agreement are true and correct, unless such representations and warranties are stated to relate to a specific earlier date, in which case, such representations and warranties shall continue to be true and correct as of such earlier date and (ii) no Default has occurred and is continuing.</w:t>
      </w:r>
    </w:p>
    <w:p>
      <w:pPr>
        <w:spacing w:after="0" w:line="177" w:lineRule="exact"/>
        <w:rPr>
          <w:sz w:val="20"/>
          <w:szCs w:val="20"/>
          <w:color w:val="auto"/>
        </w:rPr>
      </w:pPr>
    </w:p>
    <w:p>
      <w:pPr>
        <w:jc w:val="both"/>
        <w:ind w:left="120" w:firstLine="882"/>
        <w:spacing w:after="0" w:line="264"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First Amendment may be executed by one or more of the parties hereto in any number of separate counterparts, and all of such counterparts taken together shall be deemed to constitute one and the same instrument. Delivery of an executed counterpart of a signature page of this First Amendment by telecopy, emailed pdf or any other electronic means that reproduces an image of the actual executed signature page shall be effective as delivery of a manually executed counterpart of this First Amendment.</w:t>
      </w:r>
    </w:p>
    <w:p>
      <w:pPr>
        <w:spacing w:after="0" w:line="141" w:lineRule="exact"/>
        <w:rPr>
          <w:sz w:val="20"/>
          <w:szCs w:val="20"/>
          <w:color w:val="auto"/>
        </w:rPr>
      </w:pPr>
    </w:p>
    <w:p>
      <w:pPr>
        <w:jc w:val="both"/>
        <w:ind w:left="120" w:firstLine="882"/>
        <w:spacing w:after="0" w:line="233"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NO ORAL AGREEMENT</w:t>
      </w:r>
      <w:r>
        <w:rPr>
          <w:rFonts w:ascii="Times New Roman" w:cs="Times New Roman" w:eastAsia="Times New Roman" w:hAnsi="Times New Roman"/>
          <w:sz w:val="21"/>
          <w:szCs w:val="21"/>
          <w:color w:val="auto"/>
        </w:rPr>
        <w:t>. THIS FIRST AMENDMENT, THE CREDIT AGREEMENT AND THE OTHER LOAN DOCUMENTS EXECUTED IN CONNECTION HEREWITH AND THEREWITH REPRESENT THE FINAL AGREEMENT AMONG THE PARTIES AND MAY NOT BE CONTRADICTED BY EVIDENCE OF PRIOR,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182174051.6</w:t>
      </w:r>
    </w:p>
    <w:p>
      <w:pPr>
        <w:sectPr>
          <w:pgSz w:w="11900" w:h="16838" w:orient="portrait"/>
          <w:cols w:equalWidth="0" w:num="1">
            <w:col w:w="11240"/>
          </w:cols>
          <w:pgMar w:left="320" w:top="1408" w:right="339" w:bottom="1440" w:gutter="0" w:footer="0" w:header="0"/>
        </w:sectPr>
      </w:pPr>
    </w:p>
    <w:bookmarkStart w:id="147" w:name="page148"/>
    <w:bookmarkEnd w:id="147"/>
    <w:p>
      <w:pPr>
        <w:ind w:left="120" w:right="1140"/>
        <w:spacing w:after="0" w:line="288" w:lineRule="auto"/>
        <w:rPr>
          <w:sz w:val="20"/>
          <w:szCs w:val="20"/>
          <w:color w:val="auto"/>
        </w:rPr>
      </w:pPr>
      <w:r>
        <w:rPr>
          <w:rFonts w:ascii="Times New Roman" w:cs="Times New Roman" w:eastAsia="Times New Roman" w:hAnsi="Times New Roman"/>
          <w:sz w:val="21"/>
          <w:szCs w:val="21"/>
          <w:color w:val="auto"/>
        </w:rPr>
        <w:t>CONTEMPORANEOUS, OR UNWRITTEN ORAL AGREEMENTS OF THE PARTIES. THERE ARE NO ORAL AGREEMENTS BETWEEN THE PARTIES.</w:t>
      </w:r>
    </w:p>
    <w:p>
      <w:pPr>
        <w:spacing w:after="0" w:line="128" w:lineRule="exact"/>
        <w:rPr>
          <w:sz w:val="20"/>
          <w:szCs w:val="20"/>
          <w:color w:val="auto"/>
        </w:rPr>
      </w:pPr>
    </w:p>
    <w:p>
      <w:pPr>
        <w:jc w:val="both"/>
        <w:ind w:left="120" w:firstLine="882"/>
        <w:spacing w:after="0" w:line="216"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FIRST AMENDMENT (INCLUDING, BUT NOT LIMITED TO, THE VALIDITY AND ENFORCEABILITY HEREOF) SHALL BE CONSTRUED IN ACCORDANCE WITH AND GOVERNED BY THE LAWS OF THE STATE OF NEW YORK AND EACH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THE CREDIT AGREEMENT OR THIS FIRST AMENDMENT, OR FOR THE RECOGNITION OR ENFORCEMENT OF ANY JUDGMENT, AND EACH OF THE PARTIES HERETO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PROCEEDING SHALL BE CONCLUSIVE AND MAY BE ENFORCED IN OTHER JURISDICTIONS BY SUIT ON THE JUDGMENT OR IN ANY OTHER MANNER PROVIDED BY LAW. NOTHING IN THE CREDIT AGREEMENT OR THIS FIRST AMENDMENT SHALL AFFECT ANY RIGHT THAT THE ADMINISTRATIVE AGENT OR ANY LENDER MAY OTHERWISE HAVE TO BRING ANY ACTION OR PROCEEDING RELATING TO THE CREDIT AGREEMENT OR THIS FIRST AMENDMENT AGAINST ANY BORROWER OR ITS PROPERTIES IN THE COURTS OF ANY JURISDICTION.</w:t>
      </w:r>
    </w:p>
    <w:p>
      <w:pPr>
        <w:spacing w:after="0" w:line="153" w:lineRule="exact"/>
        <w:rPr>
          <w:sz w:val="20"/>
          <w:szCs w:val="20"/>
          <w:color w:val="auto"/>
        </w:rPr>
      </w:pPr>
    </w:p>
    <w:p>
      <w:pPr>
        <w:jc w:val="both"/>
        <w:ind w:left="120" w:firstLine="882"/>
        <w:spacing w:after="0" w:line="249"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First Amendment shall be binding upon and inure to the benefit of the parties hereto and their respective successors and assigns.</w:t>
      </w:r>
    </w:p>
    <w:p>
      <w:pPr>
        <w:spacing w:after="0" w:line="167" w:lineRule="exact"/>
        <w:rPr>
          <w:sz w:val="20"/>
          <w:szCs w:val="20"/>
          <w:color w:val="auto"/>
        </w:rPr>
      </w:pPr>
    </w:p>
    <w:p>
      <w:pPr>
        <w:jc w:val="both"/>
        <w:ind w:right="120" w:firstLine="1202"/>
        <w:spacing w:after="0" w:line="288"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Loan Document</w:t>
      </w:r>
      <w:r>
        <w:rPr>
          <w:rFonts w:ascii="Times New Roman" w:cs="Times New Roman" w:eastAsia="Times New Roman" w:hAnsi="Times New Roman"/>
          <w:sz w:val="21"/>
          <w:szCs w:val="21"/>
          <w:color w:val="auto"/>
        </w:rPr>
        <w:t>. This First Amendment is a “Loan Document” as defined and described in the Credit Agreement, and all of the terms and provisions of the Credit Agreement relating to Loan Documents shall apply hereto.</w:t>
      </w:r>
    </w:p>
    <w:p>
      <w:pPr>
        <w:spacing w:after="0" w:line="142" w:lineRule="exact"/>
        <w:rPr>
          <w:sz w:val="20"/>
          <w:szCs w:val="20"/>
          <w:color w:val="auto"/>
        </w:rPr>
      </w:pPr>
    </w:p>
    <w:p>
      <w:pPr>
        <w:jc w:val="both"/>
        <w:ind w:right="120" w:firstLine="1202"/>
        <w:spacing w:after="0" w:line="268"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Any provision of this First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 BEGIN NEXT PAGE]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182174051.6</w:t>
      </w:r>
    </w:p>
    <w:p>
      <w:pPr>
        <w:sectPr>
          <w:pgSz w:w="11900" w:h="16838" w:orient="portrait"/>
          <w:cols w:equalWidth="0" w:num="1">
            <w:col w:w="11240"/>
          </w:cols>
          <w:pgMar w:left="320" w:top="1408" w:right="339" w:bottom="1440" w:gutter="0" w:footer="0" w:header="0"/>
        </w:sectPr>
      </w:pPr>
    </w:p>
    <w:bookmarkStart w:id="148" w:name="page149"/>
    <w:bookmarkEnd w:id="148"/>
    <w:p>
      <w:pPr>
        <w:spacing w:after="0" w:line="48" w:lineRule="exact"/>
        <w:rPr>
          <w:sz w:val="20"/>
          <w:szCs w:val="20"/>
          <w:color w:val="auto"/>
        </w:rPr>
      </w:pPr>
    </w:p>
    <w:p>
      <w:pPr>
        <w:ind w:firstLine="638"/>
        <w:spacing w:after="0" w:line="288" w:lineRule="auto"/>
        <w:rPr>
          <w:sz w:val="20"/>
          <w:szCs w:val="20"/>
          <w:color w:val="auto"/>
        </w:rPr>
      </w:pPr>
      <w:r>
        <w:rPr>
          <w:rFonts w:ascii="Times New Roman" w:cs="Times New Roman" w:eastAsia="Times New Roman" w:hAnsi="Times New Roman"/>
          <w:sz w:val="21"/>
          <w:szCs w:val="21"/>
          <w:color w:val="1D1F1D"/>
        </w:rPr>
        <w:t>IN WITNESS WHEREOF, the parties hereto have caused this First Amendment to be duly executed as of the date first written above</w:t>
      </w:r>
      <w:r>
        <w:rPr>
          <w:rFonts w:ascii="Times New Roman" w:cs="Times New Roman" w:eastAsia="Times New Roman" w:hAnsi="Times New Roman"/>
          <w:sz w:val="21"/>
          <w:szCs w:val="21"/>
          <w:color w:val="464646"/>
        </w:rPr>
        <w:t>.</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1D1F1D"/>
        </w:rPr>
        <w:t>MURPHY OIL CORPORATION</w:t>
      </w:r>
    </w:p>
    <w:p>
      <w:pPr>
        <w:spacing w:after="0" w:line="200" w:lineRule="exact"/>
        <w:rPr>
          <w:sz w:val="20"/>
          <w:szCs w:val="20"/>
          <w:color w:val="auto"/>
        </w:rPr>
      </w:pPr>
    </w:p>
    <w:p>
      <w:pPr>
        <w:spacing w:after="0" w:line="2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1D1F1D"/>
        </w:rPr>
        <w:t>Name: Leyster Jumawan</w:t>
      </w:r>
    </w:p>
    <w:p>
      <w:pPr>
        <w:ind w:left="3840"/>
        <w:spacing w:after="0"/>
        <w:tabs>
          <w:tab w:leader="none" w:pos="4480" w:val="left"/>
        </w:tabs>
        <w:rPr>
          <w:sz w:val="20"/>
          <w:szCs w:val="20"/>
          <w:color w:val="auto"/>
        </w:rPr>
      </w:pPr>
      <w:r>
        <w:rPr>
          <w:rFonts w:ascii="Times New Roman" w:cs="Times New Roman" w:eastAsia="Times New Roman" w:hAnsi="Times New Roman"/>
          <w:sz w:val="21"/>
          <w:szCs w:val="21"/>
          <w:color w:val="1D1F1D"/>
        </w:rPr>
        <w:t>Title:</w:t>
        <w:tab/>
        <w:t>Vice President and Treasurer</w:t>
      </w:r>
    </w:p>
    <w:p>
      <w:pPr>
        <w:spacing w:after="0" w:line="200" w:lineRule="exact"/>
        <w:rPr>
          <w:sz w:val="20"/>
          <w:szCs w:val="20"/>
          <w:color w:val="auto"/>
        </w:rPr>
      </w:pPr>
    </w:p>
    <w:p>
      <w:pPr>
        <w:spacing w:after="0" w:line="265" w:lineRule="exact"/>
        <w:rPr>
          <w:sz w:val="20"/>
          <w:szCs w:val="20"/>
          <w:color w:val="auto"/>
        </w:rPr>
      </w:pPr>
    </w:p>
    <w:p>
      <w:pPr>
        <w:ind w:left="3840" w:right="1340"/>
        <w:spacing w:after="0" w:line="292" w:lineRule="auto"/>
        <w:rPr>
          <w:sz w:val="20"/>
          <w:szCs w:val="20"/>
          <w:color w:val="auto"/>
        </w:rPr>
      </w:pPr>
      <w:r>
        <w:rPr>
          <w:rFonts w:ascii="Times New Roman" w:cs="Times New Roman" w:eastAsia="Times New Roman" w:hAnsi="Times New Roman"/>
          <w:sz w:val="21"/>
          <w:szCs w:val="21"/>
          <w:b w:val="1"/>
          <w:bCs w:val="1"/>
          <w:color w:val="1D1F1D"/>
        </w:rPr>
        <w:t>MURPHY EXPLORATION &amp; PRODUCTION COMPANY - INTERNATIONAL</w:t>
      </w:r>
    </w:p>
    <w:p>
      <w:pPr>
        <w:spacing w:after="0" w:line="200" w:lineRule="exact"/>
        <w:rPr>
          <w:sz w:val="20"/>
          <w:szCs w:val="20"/>
          <w:color w:val="auto"/>
        </w:rPr>
      </w:pPr>
    </w:p>
    <w:p>
      <w:pPr>
        <w:spacing w:after="0" w:line="2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1D1F1D"/>
        </w:rPr>
        <w:t>Name: Leys</w:t>
      </w:r>
      <w:r>
        <w:rPr>
          <w:rFonts w:ascii="Times New Roman" w:cs="Times New Roman" w:eastAsia="Times New Roman" w:hAnsi="Times New Roman"/>
          <w:sz w:val="21"/>
          <w:szCs w:val="21"/>
          <w:color w:val="1D283D"/>
        </w:rPr>
        <w:t>ter</w:t>
      </w:r>
      <w:r>
        <w:rPr>
          <w:rFonts w:ascii="Times New Roman" w:cs="Times New Roman" w:eastAsia="Times New Roman" w:hAnsi="Times New Roman"/>
          <w:sz w:val="21"/>
          <w:szCs w:val="21"/>
          <w:color w:val="1D1F1D"/>
        </w:rPr>
        <w:t xml:space="preserve"> Jumawan</w:t>
      </w:r>
    </w:p>
    <w:p>
      <w:pPr>
        <w:ind w:left="3840"/>
        <w:spacing w:after="0"/>
        <w:rPr>
          <w:sz w:val="20"/>
          <w:szCs w:val="20"/>
          <w:color w:val="auto"/>
        </w:rPr>
      </w:pPr>
      <w:r>
        <w:rPr>
          <w:rFonts w:ascii="Times New Roman" w:cs="Times New Roman" w:eastAsia="Times New Roman" w:hAnsi="Times New Roman"/>
          <w:sz w:val="21"/>
          <w:szCs w:val="21"/>
          <w:color w:val="1D1F1D"/>
        </w:rPr>
        <w:t>Title</w:t>
      </w:r>
      <w:r>
        <w:rPr>
          <w:rFonts w:ascii="Times New Roman" w:cs="Times New Roman" w:eastAsia="Times New Roman" w:hAnsi="Times New Roman"/>
          <w:sz w:val="21"/>
          <w:szCs w:val="21"/>
          <w:color w:val="464646"/>
        </w:rPr>
        <w:t>:</w:t>
      </w:r>
      <w:r>
        <w:rPr>
          <w:rFonts w:ascii="Times New Roman" w:cs="Times New Roman" w:eastAsia="Times New Roman" w:hAnsi="Times New Roman"/>
          <w:sz w:val="21"/>
          <w:szCs w:val="21"/>
          <w:color w:val="1D1F1D"/>
        </w:rPr>
        <w:t xml:space="preserve"> Vice President and Treasurer</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1D1F1D"/>
        </w:rPr>
        <w:t>MURPHY OIL COMPANY LTD.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1D1F1D"/>
        </w:rPr>
        <w:t>Name: Leyster Jumawan</w:t>
      </w:r>
    </w:p>
    <w:p>
      <w:pPr>
        <w:ind w:left="3840"/>
        <w:spacing w:after="0"/>
        <w:tabs>
          <w:tab w:leader="none" w:pos="4480" w:val="left"/>
        </w:tabs>
        <w:rPr>
          <w:sz w:val="20"/>
          <w:szCs w:val="20"/>
          <w:color w:val="auto"/>
        </w:rPr>
      </w:pPr>
      <w:r>
        <w:rPr>
          <w:rFonts w:ascii="Times New Roman" w:cs="Times New Roman" w:eastAsia="Times New Roman" w:hAnsi="Times New Roman"/>
          <w:sz w:val="21"/>
          <w:szCs w:val="21"/>
          <w:color w:val="1D1F1D"/>
        </w:rPr>
        <w:t>Title:</w:t>
        <w:tab/>
        <w:t>Vice President and Treasurer</w:t>
      </w:r>
    </w:p>
    <w:p>
      <w:pPr>
        <w:sectPr>
          <w:pgSz w:w="11900" w:h="16838" w:orient="portrait"/>
          <w:cols w:equalWidth="0" w:num="1">
            <w:col w:w="10800"/>
          </w:cols>
          <w:pgMar w:left="460" w:top="14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10800"/>
          </w:cols>
          <w:pgMar w:left="460" w:top="1440" w:right="639" w:bottom="1440" w:gutter="0" w:footer="0" w:header="0"/>
          <w:type w:val="continuous"/>
        </w:sectPr>
      </w:pPr>
    </w:p>
    <w:bookmarkStart w:id="149" w:name="page150"/>
    <w:bookmarkEnd w:id="149"/>
    <w:p>
      <w:pPr>
        <w:spacing w:after="0" w:line="27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 as</w:t>
      </w:r>
    </w:p>
    <w:p>
      <w:pPr>
        <w:spacing w:after="0" w:line="4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Administrative Agent and a Lender</w:t>
      </w: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Name: Sofia Barrera Jaime</w:t>
      </w:r>
    </w:p>
    <w:p>
      <w:pPr>
        <w:ind w:left="28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9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Name: Tommy Nguyen</w:t>
      </w:r>
    </w:p>
    <w:p>
      <w:pPr>
        <w:ind w:left="28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200" w:lineRule="exact"/>
        <w:rPr>
          <w:sz w:val="20"/>
          <w:szCs w:val="20"/>
          <w:color w:val="auto"/>
        </w:rPr>
      </w:pPr>
    </w:p>
    <w:p>
      <w:pPr>
        <w:spacing w:after="0" w:line="36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THE BANK OF NOVA SCOTIA,</w:t>
      </w:r>
    </w:p>
    <w:p>
      <w:pPr>
        <w:spacing w:after="0" w:line="4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HOUSTON BRANCH</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-8255</wp:posOffset>
            </wp:positionV>
            <wp:extent cx="135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Name: Sam Cutler</w:t>
      </w:r>
    </w:p>
    <w:p>
      <w:pPr>
        <w:ind w:left="28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17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CAPITAL ONE, NATIONAL</w:t>
      </w:r>
    </w:p>
    <w:p>
      <w:pPr>
        <w:ind w:left="2860"/>
        <w:spacing w:after="0"/>
        <w:rPr>
          <w:sz w:val="20"/>
          <w:szCs w:val="20"/>
          <w:color w:val="auto"/>
        </w:rPr>
      </w:pPr>
      <w:r>
        <w:rPr>
          <w:rFonts w:ascii="Times New Roman" w:cs="Times New Roman" w:eastAsia="Times New Roman" w:hAnsi="Times New Roman"/>
          <w:sz w:val="21"/>
          <w:szCs w:val="21"/>
          <w:b w:val="1"/>
          <w:bCs w:val="1"/>
          <w:color w:val="auto"/>
        </w:rPr>
        <w:t>ASSOCIATION</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5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Name: Lyle Levy</w:t>
      </w:r>
    </w:p>
    <w:p>
      <w:pPr>
        <w:ind w:left="28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2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b w:val="1"/>
          <w:bCs w:val="1"/>
          <w:color w:val="auto"/>
        </w:rPr>
        <w:t>MUFG BANK, LTD.</w:t>
      </w:r>
      <w:r>
        <w:rPr>
          <w:rFonts w:ascii="Times New Roman" w:cs="Times New Roman" w:eastAsia="Times New Roman" w:hAnsi="Times New Roman"/>
          <w:sz w:val="21"/>
          <w:szCs w:val="21"/>
          <w:color w:val="auto"/>
        </w:rPr>
        <w:t>, as a Lender</w:t>
      </w:r>
    </w:p>
    <w:p>
      <w:pPr>
        <w:spacing w:after="0" w:line="364" w:lineRule="exact"/>
        <w:rPr>
          <w:sz w:val="20"/>
          <w:szCs w:val="20"/>
          <w:color w:val="auto"/>
        </w:rPr>
      </w:pPr>
    </w:p>
    <w:p>
      <w:pPr>
        <w:ind w:left="2860"/>
        <w:spacing w:after="0"/>
        <w:tabs>
          <w:tab w:leader="none" w:pos="3480" w:val="left"/>
        </w:tabs>
        <w:rPr>
          <w:sz w:val="20"/>
          <w:szCs w:val="20"/>
          <w:color w:val="auto"/>
        </w:rPr>
      </w:pPr>
      <w:r>
        <w:rPr>
          <w:rFonts w:ascii="Times New Roman" w:cs="Times New Roman" w:eastAsia="Times New Roman" w:hAnsi="Times New Roman"/>
          <w:sz w:val="21"/>
          <w:szCs w:val="21"/>
          <w:color w:val="auto"/>
        </w:rPr>
        <w:t>By:</w:t>
        <w:tab/>
        <w:t>Name: Todd Vaubel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-8255</wp:posOffset>
            </wp:positionV>
            <wp:extent cx="135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4" w:name="page155"/>
    <w:bookmarkEnd w:id="154"/>
    <w:p>
      <w:pPr>
        <w:spacing w:after="0" w:line="200" w:lineRule="exact"/>
        <w:rPr>
          <w:sz w:val="20"/>
          <w:szCs w:val="20"/>
          <w:color w:val="auto"/>
        </w:rPr>
      </w:pPr>
    </w:p>
    <w:p>
      <w:pPr>
        <w:spacing w:after="0" w:line="2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SUMITOMO MITSUI BANKING</w:t>
      </w:r>
    </w:p>
    <w:p>
      <w:pPr>
        <w:spacing w:after="0" w:line="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By:_____________________</w:t>
      </w:r>
    </w:p>
    <w:p>
      <w:pPr>
        <w:spacing w:after="0" w:line="7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Name: Alkesh Nanavaty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-8255</wp:posOffset>
            </wp:positionV>
            <wp:extent cx="10737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7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-8255</wp:posOffset>
            </wp:positionV>
            <wp:extent cx="11645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200" w:lineRule="exact"/>
        <w:rPr>
          <w:sz w:val="20"/>
          <w:szCs w:val="20"/>
          <w:color w:val="auto"/>
        </w:rPr>
      </w:pPr>
    </w:p>
    <w:p>
      <w:pPr>
        <w:spacing w:after="0" w:line="27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STANDARD CHARTERED BANK</w:t>
      </w:r>
      <w:r>
        <w:rPr>
          <w:rFonts w:ascii="Times New Roman" w:cs="Times New Roman" w:eastAsia="Times New Roman" w:hAnsi="Times New Roman"/>
          <w:sz w:val="21"/>
          <w:szCs w:val="21"/>
          <w:color w:val="auto"/>
        </w:rPr>
        <w:t>, as a</w:t>
      </w:r>
    </w:p>
    <w:p>
      <w:pPr>
        <w:spacing w:after="0" w:line="8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Name: Kristopher Tracy</w:t>
      </w:r>
    </w:p>
    <w:p>
      <w:pPr>
        <w:ind w:left="2860"/>
        <w:spacing w:after="0"/>
        <w:rPr>
          <w:sz w:val="20"/>
          <w:szCs w:val="20"/>
          <w:color w:val="auto"/>
        </w:rPr>
      </w:pPr>
      <w:r>
        <w:rPr>
          <w:rFonts w:ascii="Times New Roman" w:cs="Times New Roman" w:eastAsia="Times New Roman" w:hAnsi="Times New Roman"/>
          <w:sz w:val="21"/>
          <w:szCs w:val="21"/>
          <w:color w:val="auto"/>
        </w:rPr>
        <w:t>Title: Director, Financing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464646"/>
        </w:rPr>
        <w:t xml:space="preserve">TEXAS CAPITAL BANK, </w:t>
      </w:r>
      <w:r>
        <w:rPr>
          <w:rFonts w:ascii="Times New Roman" w:cs="Times New Roman" w:eastAsia="Times New Roman" w:hAnsi="Times New Roman"/>
          <w:sz w:val="20"/>
          <w:szCs w:val="20"/>
          <w:color w:val="464646"/>
        </w:rPr>
        <w:t>as a Lender</w:t>
      </w:r>
    </w:p>
    <w:p>
      <w:pPr>
        <w:spacing w:after="0" w:line="39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464646"/>
        </w:rPr>
        <w:t>Name: Gabriel X. Garcia</w:t>
      </w:r>
    </w:p>
    <w:p>
      <w:pPr>
        <w:spacing w:after="0" w:line="1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464646"/>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131313"/>
        </w:rPr>
        <w:t xml:space="preserve">MORGAN STANLEY BANK, N.A., </w:t>
      </w:r>
      <w:r>
        <w:rPr>
          <w:rFonts w:ascii="Times New Roman" w:cs="Times New Roman" w:eastAsia="Times New Roman" w:hAnsi="Times New Roman"/>
          <w:sz w:val="22"/>
          <w:szCs w:val="22"/>
          <w:color w:val="131313"/>
        </w:rPr>
        <w:t>as a</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Lender</w:t>
      </w:r>
    </w:p>
    <w:p>
      <w:pPr>
        <w:spacing w:after="0" w:line="26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1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131313"/>
        </w:rPr>
        <w:t>Name: Aaron McLean</w:t>
      </w:r>
    </w:p>
    <w:p>
      <w:pPr>
        <w:spacing w:after="0" w:line="1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131313"/>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9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 xml:space="preserve">BANK OZK,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1D1F1D"/>
        </w:rPr>
        <w:t>By: ________________________</w:t>
      </w:r>
    </w:p>
    <w:p>
      <w:pPr>
        <w:spacing w:after="0" w:line="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Name: Charlie Davis</w:t>
      </w:r>
    </w:p>
    <w:p>
      <w:pPr>
        <w:ind w:left="286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D1F1D"/>
        </w:rPr>
        <w:t xml:space="preserve">SIGNATURE PAGE </w:t>
      </w:r>
      <w:r>
        <w:rPr>
          <w:rFonts w:ascii="Times New Roman" w:cs="Times New Roman" w:eastAsia="Times New Roman" w:hAnsi="Times New Roman"/>
          <w:sz w:val="14"/>
          <w:szCs w:val="14"/>
          <w:color w:val="363636"/>
        </w:rPr>
        <w:t>-</w:t>
      </w:r>
      <w:r>
        <w:rPr>
          <w:rFonts w:ascii="Times New Roman" w:cs="Times New Roman" w:eastAsia="Times New Roman" w:hAnsi="Times New Roman"/>
          <w:sz w:val="14"/>
          <w:szCs w:val="14"/>
          <w:color w:val="1D1F1D"/>
        </w:rPr>
        <w:t xml:space="preserve"> FIRST AMENDMENT TO CREDIT AGREEMENT</w:t>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_______________________________________________________________________________</w:t>
      </w:r>
    </w:p>
    <w:p>
      <w:pPr>
        <w:spacing w:after="0" w:line="3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color w:val="auto"/>
        </w:rPr>
        <w:t>CREDIT AGREEMENT</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color w:val="auto"/>
        </w:rPr>
        <w:t>dated as of October 7, 2024</w:t>
      </w:r>
    </w:p>
    <w:p>
      <w:pPr>
        <w:spacing w:after="0" w:line="27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color w:val="auto"/>
        </w:rPr>
        <w:t>among</w:t>
      </w:r>
    </w:p>
    <w:p>
      <w:pPr>
        <w:spacing w:after="0" w:line="2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color w:val="auto"/>
        </w:rPr>
        <w:t>MURPHY OIL CORPORATION,</w:t>
      </w:r>
    </w:p>
    <w:p>
      <w:pPr>
        <w:spacing w:after="0" w:line="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color w:val="auto"/>
        </w:rPr>
        <w:t>MURPHY EXPLORATION &amp; PRODUCTION COMPANY – INTERNATIONAL,</w:t>
      </w:r>
    </w:p>
    <w:p>
      <w:pPr>
        <w:spacing w:after="0" w:line="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color w:val="auto"/>
        </w:rPr>
        <w:t>and</w:t>
      </w:r>
    </w:p>
    <w:p>
      <w:pPr>
        <w:spacing w:after="0" w:line="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color w:val="auto"/>
        </w:rPr>
        <w:t>MURPHY OIL COMPANY LTD.,</w:t>
      </w:r>
    </w:p>
    <w:p>
      <w:pPr>
        <w:spacing w:after="0" w:line="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i w:val="1"/>
          <w:iCs w:val="1"/>
          <w:color w:val="auto"/>
        </w:rPr>
        <w:t>as Borrowers</w:t>
      </w:r>
    </w:p>
    <w:p>
      <w:pPr>
        <w:spacing w:after="0" w:line="23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color w:val="auto"/>
        </w:rPr>
        <w:t>JPMORGAN CHASE BANK, N.A.,</w:t>
      </w:r>
    </w:p>
    <w:p>
      <w:pPr>
        <w:spacing w:after="0" w:line="4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i w:val="1"/>
          <w:iCs w:val="1"/>
          <w:color w:val="auto"/>
        </w:rPr>
        <w:t>as Administrative Agent</w:t>
      </w:r>
    </w:p>
    <w:p>
      <w:pPr>
        <w:spacing w:after="0" w:line="22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color w:val="auto"/>
        </w:rPr>
        <w:t>and</w:t>
      </w:r>
    </w:p>
    <w:p>
      <w:pPr>
        <w:spacing w:after="0" w:line="24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color w:val="auto"/>
        </w:rPr>
        <w:t>THE LENDERS PARTY HERETO</w:t>
      </w:r>
    </w:p>
    <w:p>
      <w:pPr>
        <w:spacing w:after="0" w:line="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0" w:lineRule="exact"/>
        <w:rPr>
          <w:sz w:val="20"/>
          <w:szCs w:val="20"/>
          <w:color w:val="auto"/>
        </w:rPr>
      </w:pPr>
    </w:p>
    <w:p>
      <w:pPr>
        <w:spacing w:after="0" w:line="326" w:lineRule="exact"/>
        <w:rPr>
          <w:sz w:val="20"/>
          <w:szCs w:val="20"/>
          <w:color w:val="auto"/>
        </w:rPr>
      </w:pPr>
    </w:p>
    <w:p>
      <w:pPr>
        <w:ind w:left="160" w:firstLine="605"/>
        <w:spacing w:after="0" w:line="266" w:lineRule="auto"/>
        <w:rPr>
          <w:sz w:val="20"/>
          <w:szCs w:val="20"/>
          <w:color w:val="auto"/>
        </w:rPr>
      </w:pPr>
      <w:r>
        <w:rPr>
          <w:rFonts w:ascii="Times New Roman" w:cs="Times New Roman" w:eastAsia="Times New Roman" w:hAnsi="Times New Roman"/>
          <w:sz w:val="21"/>
          <w:szCs w:val="21"/>
          <w:b w:val="1"/>
          <w:bCs w:val="1"/>
          <w:color w:val="auto"/>
        </w:rPr>
        <w:t>BANK OF AMERICA, N.A., CAPITAL ONE, NATIONAL ASSOCIATION, MUFG BANK, LTD. AND THE BANK OF NOVA SCOTIA, HOUSTON BRANCH, AND</w:t>
      </w:r>
    </w:p>
    <w:p>
      <w:pPr>
        <w:ind w:left="3460"/>
        <w:spacing w:after="0"/>
        <w:rPr>
          <w:sz w:val="20"/>
          <w:szCs w:val="20"/>
          <w:color w:val="auto"/>
        </w:rPr>
      </w:pPr>
      <w:r>
        <w:rPr>
          <w:rFonts w:ascii="Times New Roman" w:cs="Times New Roman" w:eastAsia="Times New Roman" w:hAnsi="Times New Roman"/>
          <w:sz w:val="21"/>
          <w:szCs w:val="21"/>
          <w:b w:val="1"/>
          <w:bCs w:val="1"/>
          <w:color w:val="auto"/>
        </w:rPr>
        <w:t>REGIONS BANK</w:t>
      </w:r>
    </w:p>
    <w:p>
      <w:pPr>
        <w:spacing w:after="0" w:line="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i w:val="1"/>
          <w:iCs w:val="1"/>
          <w:color w:val="auto"/>
        </w:rPr>
        <w:t>as Co-Syndication Agents</w:t>
      </w:r>
    </w:p>
    <w:p>
      <w:pPr>
        <w:spacing w:after="0" w:line="22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color w:val="auto"/>
        </w:rPr>
        <w:t>and</w:t>
      </w:r>
    </w:p>
    <w:p>
      <w:pPr>
        <w:spacing w:after="0" w:line="26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color w:val="auto"/>
        </w:rPr>
        <w:t>SUMITOMO MITSUI BANKING CORPORATION,</w:t>
      </w:r>
    </w:p>
    <w:p>
      <w:pPr>
        <w:spacing w:after="0" w:line="4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i w:val="1"/>
          <w:iCs w:val="1"/>
          <w:color w:val="auto"/>
        </w:rPr>
        <w:t>as Documentation Agent</w:t>
      </w:r>
    </w:p>
    <w:p>
      <w:pPr>
        <w:spacing w:after="0" w:line="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0" w:lineRule="exact"/>
        <w:rPr>
          <w:sz w:val="20"/>
          <w:szCs w:val="20"/>
          <w:color w:val="auto"/>
        </w:rPr>
      </w:pPr>
    </w:p>
    <w:p>
      <w:pPr>
        <w:spacing w:after="0" w:line="321" w:lineRule="exact"/>
        <w:rPr>
          <w:sz w:val="20"/>
          <w:szCs w:val="20"/>
          <w:color w:val="auto"/>
        </w:rPr>
      </w:pPr>
    </w:p>
    <w:p>
      <w:pPr>
        <w:jc w:val="center"/>
        <w:ind w:left="840" w:right="700"/>
        <w:spacing w:after="0" w:line="261" w:lineRule="auto"/>
        <w:rPr>
          <w:sz w:val="20"/>
          <w:szCs w:val="20"/>
          <w:color w:val="auto"/>
        </w:rPr>
      </w:pPr>
      <w:r>
        <w:rPr>
          <w:rFonts w:ascii="Times New Roman" w:cs="Times New Roman" w:eastAsia="Times New Roman" w:hAnsi="Times New Roman"/>
          <w:sz w:val="21"/>
          <w:szCs w:val="21"/>
          <w:b w:val="1"/>
          <w:bCs w:val="1"/>
          <w:color w:val="auto"/>
        </w:rPr>
        <w:t>JPMORGAN CHASE BANK, N.A., BOFA SECURITIES, INC., CAPITAL ONE, NATIONAL ASSOCIATION, MUFG BANK, LTD., THE BANK OF NOVA SCOTIA, HOUSTON BRANCH, REGIONS CAPITAL MARKETS, A DIVISION OF REGIONS BANK, AND BANK OZK</w:t>
      </w:r>
    </w:p>
    <w:p>
      <w:pPr>
        <w:spacing w:after="0" w:line="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1"/>
          <w:szCs w:val="21"/>
          <w:b w:val="1"/>
          <w:bCs w:val="1"/>
          <w:i w:val="1"/>
          <w:iCs w:val="1"/>
          <w:color w:val="auto"/>
        </w:rPr>
        <w:t>as Co-Lead Arrangers and Joint Bookrunners</w:t>
      </w:r>
    </w:p>
    <w:p>
      <w:pPr>
        <w:spacing w:after="0" w:line="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w:t>
      </w:r>
    </w:p>
    <w:p>
      <w:pPr>
        <w:sectPr>
          <w:pgSz w:w="11900" w:h="16838" w:orient="portrait"/>
          <w:cols w:equalWidth="0" w:num="1">
            <w:col w:w="10720"/>
          </w:cols>
          <w:pgMar w:left="32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Exhibit A</w:t>
      </w:r>
    </w:p>
    <w:p>
      <w:pPr>
        <w:sectPr>
          <w:pgSz w:w="11900" w:h="16838" w:orient="portrait"/>
          <w:cols w:equalWidth="0" w:num="1">
            <w:col w:w="10720"/>
          </w:cols>
          <w:pgMar w:left="320" w:top="1440" w:right="859" w:bottom="1440" w:gutter="0" w:footer="0" w:header="0"/>
          <w:type w:val="continuous"/>
        </w:sectPr>
      </w:pPr>
    </w:p>
    <w:bookmarkStart w:id="160" w:name="page161"/>
    <w:bookmarkEnd w:id="160"/>
    <w:p>
      <w:pPr>
        <w:spacing w:after="0" w:line="14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7"/>
          <w:szCs w:val="17"/>
          <w:b w:val="1"/>
          <w:bCs w:val="1"/>
          <w:u w:val="single" w:color="auto"/>
          <w:color w:val="auto"/>
        </w:rPr>
        <w:t>Schedule 5.14</w:t>
      </w:r>
    </w:p>
    <w:p>
      <w:pPr>
        <w:spacing w:after="0" w:line="41"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7"/>
          <w:szCs w:val="17"/>
          <w:b w:val="1"/>
          <w:bCs w:val="1"/>
          <w:u w:val="single" w:color="auto"/>
          <w:color w:val="auto"/>
        </w:rPr>
        <w:t>to Credit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ACCOUNTS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140" w:type="dxa"/>
            <w:vAlign w:val="bottom"/>
            <w:tcBorders>
              <w:right w:val="single" w:sz="8" w:color="auto"/>
            </w:tcBorders>
          </w:tcPr>
          <w:p>
            <w:pPr>
              <w:spacing w:after="0"/>
              <w:rPr>
                <w:sz w:val="24"/>
                <w:szCs w:val="24"/>
                <w:color w:val="auto"/>
              </w:rPr>
            </w:pPr>
          </w:p>
        </w:tc>
        <w:tc>
          <w:tcPr>
            <w:tcW w:w="2840" w:type="dxa"/>
            <w:vAlign w:val="bottom"/>
            <w:tcBorders>
              <w:top w:val="single" w:sz="8" w:color="auto"/>
              <w:right w:val="single" w:sz="8" w:color="auto"/>
            </w:tcBorders>
            <w:shd w:val="clear" w:color="auto" w:fill="D9D9D9"/>
          </w:tcPr>
          <w:p>
            <w:pPr>
              <w:spacing w:after="0"/>
              <w:rPr>
                <w:sz w:val="24"/>
                <w:szCs w:val="24"/>
                <w:color w:val="auto"/>
              </w:rPr>
            </w:pPr>
          </w:p>
        </w:tc>
        <w:tc>
          <w:tcPr>
            <w:tcW w:w="3000" w:type="dxa"/>
            <w:vAlign w:val="bottom"/>
            <w:tcBorders>
              <w:top w:val="single" w:sz="8" w:color="auto"/>
              <w:right w:val="single" w:sz="8" w:color="auto"/>
            </w:tcBorders>
            <w:vMerge w:val="restart"/>
            <w:shd w:val="clear" w:color="auto" w:fill="D9D9D9"/>
          </w:tcPr>
          <w:p>
            <w:pPr>
              <w:ind w:left="8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2660" w:type="dxa"/>
            <w:vAlign w:val="bottom"/>
            <w:tcBorders>
              <w:top w:val="single" w:sz="8" w:color="auto"/>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740" w:type="dxa"/>
            <w:vAlign w:val="bottom"/>
            <w:tcBorders>
              <w:top w:val="single" w:sz="8" w:color="auto"/>
              <w:right w:val="single" w:sz="8" w:color="auto"/>
            </w:tcBorders>
            <w:shd w:val="clear" w:color="auto" w:fill="D9D9D9"/>
          </w:tcPr>
          <w:p>
            <w:pPr>
              <w:spacing w:after="0"/>
              <w:rPr>
                <w:sz w:val="24"/>
                <w:szCs w:val="24"/>
                <w:color w:val="auto"/>
              </w:rPr>
            </w:pPr>
          </w:p>
        </w:tc>
        <w:tc>
          <w:tcPr>
            <w:tcW w:w="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Excluded</w:t>
            </w:r>
          </w:p>
        </w:tc>
        <w:tc>
          <w:tcPr>
            <w:tcW w:w="0" w:type="dxa"/>
            <w:vAlign w:val="bottom"/>
          </w:tcPr>
          <w:p>
            <w:pPr>
              <w:spacing w:after="0"/>
              <w:rPr>
                <w:sz w:val="1"/>
                <w:szCs w:val="1"/>
                <w:color w:val="auto"/>
              </w:rPr>
            </w:pPr>
          </w:p>
        </w:tc>
      </w:tr>
      <w:tr>
        <w:trPr>
          <w:trHeight w:val="134"/>
        </w:trPr>
        <w:tc>
          <w:tcPr>
            <w:tcW w:w="14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restart"/>
            <w:shd w:val="clear" w:color="auto" w:fill="D9D9D9"/>
          </w:tcPr>
          <w:p>
            <w:pPr>
              <w:ind w:left="108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3000" w:type="dxa"/>
            <w:vAlign w:val="bottom"/>
            <w:tcBorders>
              <w:right w:val="single" w:sz="8" w:color="auto"/>
            </w:tcBorders>
            <w:vMerge w:val="continue"/>
            <w:shd w:val="clear" w:color="auto" w:fill="D9D9D9"/>
          </w:tcPr>
          <w:p>
            <w:pPr>
              <w:spacing w:after="0"/>
              <w:rPr>
                <w:sz w:val="11"/>
                <w:szCs w:val="11"/>
                <w:color w:val="auto"/>
              </w:rPr>
            </w:pPr>
          </w:p>
        </w:tc>
        <w:tc>
          <w:tcPr>
            <w:tcW w:w="2660" w:type="dxa"/>
            <w:vAlign w:val="bottom"/>
            <w:tcBorders>
              <w:right w:val="single" w:sz="8" w:color="auto"/>
            </w:tcBorders>
            <w:vMerge w:val="continue"/>
            <w:shd w:val="clear" w:color="auto" w:fill="D9D9D9"/>
          </w:tcPr>
          <w:p>
            <w:pPr>
              <w:spacing w:after="0"/>
              <w:rPr>
                <w:sz w:val="11"/>
                <w:szCs w:val="11"/>
                <w:color w:val="auto"/>
              </w:rPr>
            </w:pPr>
          </w:p>
        </w:tc>
        <w:tc>
          <w:tcPr>
            <w:tcW w:w="1740" w:type="dxa"/>
            <w:vAlign w:val="bottom"/>
            <w:tcBorders>
              <w:right w:val="single" w:sz="8" w:color="auto"/>
            </w:tcBorders>
            <w:vMerge w:val="restart"/>
            <w:shd w:val="clear" w:color="auto" w:fill="D9D9D9"/>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Account Type</w:t>
            </w:r>
          </w:p>
        </w:tc>
        <w:tc>
          <w:tcPr>
            <w:tcW w:w="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DDA</w:t>
            </w:r>
          </w:p>
        </w:tc>
        <w:tc>
          <w:tcPr>
            <w:tcW w:w="0" w:type="dxa"/>
            <w:vAlign w:val="bottom"/>
          </w:tcPr>
          <w:p>
            <w:pPr>
              <w:spacing w:after="0"/>
              <w:rPr>
                <w:sz w:val="1"/>
                <w:szCs w:val="1"/>
                <w:color w:val="auto"/>
              </w:rPr>
            </w:pPr>
          </w:p>
        </w:tc>
      </w:tr>
      <w:tr>
        <w:trPr>
          <w:trHeight w:val="80"/>
        </w:trPr>
        <w:tc>
          <w:tcPr>
            <w:tcW w:w="140" w:type="dxa"/>
            <w:vAlign w:val="bottom"/>
            <w:tcBorders>
              <w:right w:val="single" w:sz="8" w:color="auto"/>
            </w:tcBorders>
          </w:tcPr>
          <w:p>
            <w:pPr>
              <w:spacing w:after="0"/>
              <w:rPr>
                <w:sz w:val="6"/>
                <w:szCs w:val="6"/>
                <w:color w:val="auto"/>
              </w:rPr>
            </w:pPr>
          </w:p>
        </w:tc>
        <w:tc>
          <w:tcPr>
            <w:tcW w:w="2840" w:type="dxa"/>
            <w:vAlign w:val="bottom"/>
            <w:tcBorders>
              <w:right w:val="single" w:sz="8" w:color="auto"/>
            </w:tcBorders>
            <w:vMerge w:val="continue"/>
            <w:shd w:val="clear" w:color="auto" w:fill="D9D9D9"/>
          </w:tcPr>
          <w:p>
            <w:pPr>
              <w:spacing w:after="0"/>
              <w:rPr>
                <w:sz w:val="6"/>
                <w:szCs w:val="6"/>
                <w:color w:val="auto"/>
              </w:rPr>
            </w:pPr>
          </w:p>
        </w:tc>
        <w:tc>
          <w:tcPr>
            <w:tcW w:w="3000" w:type="dxa"/>
            <w:vAlign w:val="bottom"/>
            <w:tcBorders>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Institution or</w:t>
            </w:r>
          </w:p>
        </w:tc>
        <w:tc>
          <w:tcPr>
            <w:tcW w:w="2660" w:type="dxa"/>
            <w:vAlign w:val="bottom"/>
            <w:tcBorders>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740" w:type="dxa"/>
            <w:vAlign w:val="bottom"/>
            <w:tcBorders>
              <w:right w:val="single" w:sz="8" w:color="auto"/>
            </w:tcBorders>
            <w:vMerge w:val="continue"/>
            <w:shd w:val="clear" w:color="auto" w:fill="D9D9D9"/>
          </w:tcPr>
          <w:p>
            <w:pPr>
              <w:spacing w:after="0"/>
              <w:rPr>
                <w:sz w:val="6"/>
                <w:szCs w:val="6"/>
                <w:color w:val="auto"/>
              </w:rPr>
            </w:pPr>
          </w:p>
        </w:tc>
        <w:tc>
          <w:tcPr>
            <w:tcW w:w="760" w:type="dxa"/>
            <w:vAlign w:val="bottom"/>
            <w:tcBorders>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shd w:val="clear" w:color="auto" w:fill="D9D9D9"/>
          </w:tcPr>
          <w:p>
            <w:pPr>
              <w:spacing w:after="0"/>
              <w:rPr>
                <w:sz w:val="11"/>
                <w:szCs w:val="11"/>
                <w:color w:val="auto"/>
              </w:rPr>
            </w:pPr>
          </w:p>
        </w:tc>
        <w:tc>
          <w:tcPr>
            <w:tcW w:w="3000" w:type="dxa"/>
            <w:vAlign w:val="bottom"/>
            <w:tcBorders>
              <w:right w:val="single" w:sz="8" w:color="auto"/>
            </w:tcBorders>
            <w:vMerge w:val="continue"/>
            <w:shd w:val="clear" w:color="auto" w:fill="D9D9D9"/>
          </w:tcPr>
          <w:p>
            <w:pPr>
              <w:spacing w:after="0"/>
              <w:rPr>
                <w:sz w:val="11"/>
                <w:szCs w:val="11"/>
                <w:color w:val="auto"/>
              </w:rPr>
            </w:pPr>
          </w:p>
        </w:tc>
        <w:tc>
          <w:tcPr>
            <w:tcW w:w="2660" w:type="dxa"/>
            <w:vAlign w:val="bottom"/>
            <w:tcBorders>
              <w:right w:val="single" w:sz="8" w:color="auto"/>
            </w:tcBorders>
            <w:vMerge w:val="continue"/>
            <w:shd w:val="clear" w:color="auto" w:fill="D9D9D9"/>
          </w:tcPr>
          <w:p>
            <w:pPr>
              <w:spacing w:after="0"/>
              <w:rPr>
                <w:sz w:val="11"/>
                <w:szCs w:val="11"/>
                <w:color w:val="auto"/>
              </w:rPr>
            </w:pPr>
          </w:p>
        </w:tc>
        <w:tc>
          <w:tcPr>
            <w:tcW w:w="1740" w:type="dxa"/>
            <w:vAlign w:val="bottom"/>
            <w:tcBorders>
              <w:right w:val="single" w:sz="8" w:color="auto"/>
            </w:tcBorders>
            <w:shd w:val="clear" w:color="auto" w:fill="D9D9D9"/>
          </w:tcPr>
          <w:p>
            <w:pPr>
              <w:spacing w:after="0"/>
              <w:rPr>
                <w:sz w:val="11"/>
                <w:szCs w:val="11"/>
                <w:color w:val="auto"/>
              </w:rPr>
            </w:pPr>
          </w:p>
        </w:tc>
        <w:tc>
          <w:tcPr>
            <w:tcW w:w="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(Y/N)</w:t>
            </w:r>
          </w:p>
        </w:tc>
        <w:tc>
          <w:tcPr>
            <w:tcW w:w="0" w:type="dxa"/>
            <w:vAlign w:val="bottom"/>
          </w:tcPr>
          <w:p>
            <w:pPr>
              <w:spacing w:after="0"/>
              <w:rPr>
                <w:sz w:val="1"/>
                <w:szCs w:val="1"/>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2840" w:type="dxa"/>
            <w:vAlign w:val="bottom"/>
            <w:tcBorders>
              <w:right w:val="single" w:sz="8" w:color="auto"/>
            </w:tcBorders>
            <w:shd w:val="clear" w:color="auto" w:fill="D9D9D9"/>
          </w:tcPr>
          <w:p>
            <w:pPr>
              <w:spacing w:after="0"/>
              <w:rPr>
                <w:sz w:val="8"/>
                <w:szCs w:val="8"/>
                <w:color w:val="auto"/>
              </w:rPr>
            </w:pPr>
          </w:p>
        </w:tc>
        <w:tc>
          <w:tcPr>
            <w:tcW w:w="3000" w:type="dxa"/>
            <w:vAlign w:val="bottom"/>
            <w:tcBorders>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Intermediary</w:t>
            </w:r>
          </w:p>
        </w:tc>
        <w:tc>
          <w:tcPr>
            <w:tcW w:w="2660" w:type="dxa"/>
            <w:vAlign w:val="bottom"/>
            <w:tcBorders>
              <w:right w:val="single" w:sz="8" w:color="auto"/>
            </w:tcBorders>
            <w:shd w:val="clear" w:color="auto" w:fill="D9D9D9"/>
          </w:tcPr>
          <w:p>
            <w:pPr>
              <w:spacing w:after="0"/>
              <w:rPr>
                <w:sz w:val="8"/>
                <w:szCs w:val="8"/>
                <w:color w:val="auto"/>
              </w:rPr>
            </w:pPr>
          </w:p>
        </w:tc>
        <w:tc>
          <w:tcPr>
            <w:tcW w:w="1740" w:type="dxa"/>
            <w:vAlign w:val="bottom"/>
            <w:tcBorders>
              <w:right w:val="single" w:sz="8" w:color="auto"/>
            </w:tcBorders>
            <w:shd w:val="clear" w:color="auto" w:fill="D9D9D9"/>
          </w:tcPr>
          <w:p>
            <w:pPr>
              <w:spacing w:after="0"/>
              <w:rPr>
                <w:sz w:val="8"/>
                <w:szCs w:val="8"/>
                <w:color w:val="auto"/>
              </w:rPr>
            </w:pPr>
          </w:p>
        </w:tc>
        <w:tc>
          <w:tcPr>
            <w:tcW w:w="7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40" w:type="dxa"/>
            <w:vAlign w:val="bottom"/>
            <w:tcBorders>
              <w:right w:val="single" w:sz="8" w:color="auto"/>
            </w:tcBorders>
          </w:tcPr>
          <w:p>
            <w:pPr>
              <w:spacing w:after="0"/>
              <w:rPr>
                <w:sz w:val="13"/>
                <w:szCs w:val="13"/>
                <w:color w:val="auto"/>
              </w:rPr>
            </w:pPr>
          </w:p>
        </w:tc>
        <w:tc>
          <w:tcPr>
            <w:tcW w:w="2840" w:type="dxa"/>
            <w:vAlign w:val="bottom"/>
            <w:tcBorders>
              <w:bottom w:val="single" w:sz="8" w:color="D9D9D9"/>
              <w:right w:val="single" w:sz="8" w:color="auto"/>
            </w:tcBorders>
            <w:shd w:val="clear" w:color="auto" w:fill="D9D9D9"/>
          </w:tcPr>
          <w:p>
            <w:pPr>
              <w:spacing w:after="0"/>
              <w:rPr>
                <w:sz w:val="13"/>
                <w:szCs w:val="13"/>
                <w:color w:val="auto"/>
              </w:rPr>
            </w:pPr>
          </w:p>
        </w:tc>
        <w:tc>
          <w:tcPr>
            <w:tcW w:w="300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2660" w:type="dxa"/>
            <w:vAlign w:val="bottom"/>
            <w:tcBorders>
              <w:bottom w:val="single" w:sz="8" w:color="D9D9D9"/>
              <w:right w:val="single" w:sz="8" w:color="auto"/>
            </w:tcBorders>
            <w:shd w:val="clear" w:color="auto" w:fill="D9D9D9"/>
          </w:tcPr>
          <w:p>
            <w:pPr>
              <w:spacing w:after="0"/>
              <w:rPr>
                <w:sz w:val="13"/>
                <w:szCs w:val="13"/>
                <w:color w:val="auto"/>
              </w:rPr>
            </w:pPr>
          </w:p>
        </w:tc>
        <w:tc>
          <w:tcPr>
            <w:tcW w:w="1740" w:type="dxa"/>
            <w:vAlign w:val="bottom"/>
            <w:tcBorders>
              <w:bottom w:val="single" w:sz="8" w:color="D9D9D9"/>
              <w:right w:val="single" w:sz="8" w:color="auto"/>
            </w:tcBorders>
            <w:shd w:val="clear" w:color="auto" w:fill="D9D9D9"/>
          </w:tcPr>
          <w:p>
            <w:pPr>
              <w:spacing w:after="0"/>
              <w:rPr>
                <w:sz w:val="13"/>
                <w:szCs w:val="13"/>
                <w:color w:val="auto"/>
              </w:rPr>
            </w:pPr>
          </w:p>
        </w:tc>
        <w:tc>
          <w:tcPr>
            <w:tcW w:w="760" w:type="dxa"/>
            <w:vAlign w:val="bottom"/>
            <w:tcBorders>
              <w:bottom w:val="single" w:sz="8" w:color="D9D9D9"/>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416"/>
        </w:trPr>
        <w:tc>
          <w:tcPr>
            <w:tcW w:w="140" w:type="dxa"/>
            <w:vAlign w:val="bottom"/>
            <w:tcBorders>
              <w:right w:val="single" w:sz="8" w:color="auto"/>
            </w:tcBorders>
          </w:tcPr>
          <w:p>
            <w:pPr>
              <w:spacing w:after="0"/>
              <w:rPr>
                <w:sz w:val="24"/>
                <w:szCs w:val="24"/>
                <w:color w:val="auto"/>
              </w:rPr>
            </w:pP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Oil Corporation - General</w:t>
            </w:r>
          </w:p>
        </w:tc>
        <w:tc>
          <w:tcPr>
            <w:tcW w:w="30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004451259985</w:t>
            </w:r>
          </w:p>
        </w:tc>
        <w:tc>
          <w:tcPr>
            <w:tcW w:w="1740" w:type="dxa"/>
            <w:vAlign w:val="bottom"/>
            <w:tcBorders>
              <w:top w:val="single" w:sz="8" w:color="auto"/>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(Wires)</w:t>
            </w:r>
          </w:p>
        </w:tc>
        <w:tc>
          <w:tcPr>
            <w:tcW w:w="30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1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Oil Corporation - CDA</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003359985473</w:t>
            </w:r>
          </w:p>
        </w:tc>
        <w:tc>
          <w:tcPr>
            <w:tcW w:w="174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(ACH/Check)</w:t>
            </w:r>
          </w:p>
        </w:tc>
        <w:tc>
          <w:tcPr>
            <w:tcW w:w="300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4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300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Oil Corporation - Lease</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003359985481</w:t>
            </w: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Rental</w:t>
            </w:r>
          </w:p>
        </w:tc>
        <w:tc>
          <w:tcPr>
            <w:tcW w:w="30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Exploration &amp; Production</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004451259862</w:t>
            </w: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c>
          <w:tcPr>
            <w:tcW w:w="30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Canam Offshore Limited</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004451259859</w:t>
            </w: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1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BancorpSouth, El Dorado, AR</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6400074412/</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Marine Land Co/</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26"/>
        </w:trPr>
        <w:tc>
          <w:tcPr>
            <w:tcW w:w="14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3000" w:type="dxa"/>
            <w:vAlign w:val="bottom"/>
            <w:tcBorders>
              <w:right w:val="single" w:sz="8" w:color="auto"/>
            </w:tcBorders>
            <w:vMerge w:val="continue"/>
          </w:tcPr>
          <w:p>
            <w:pPr>
              <w:spacing w:after="0"/>
              <w:rPr>
                <w:sz w:val="10"/>
                <w:szCs w:val="10"/>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6400074404</w:t>
            </w: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Caledonia Land Co</w:t>
            </w:r>
          </w:p>
        </w:tc>
        <w:tc>
          <w:tcPr>
            <w:tcW w:w="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14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Brasil Exploracao E.</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Bank of America, Sao Paulo, Brazil</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BRL A/C #11057015</w:t>
            </w:r>
          </w:p>
        </w:tc>
        <w:tc>
          <w:tcPr>
            <w:tcW w:w="174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Producao De Petroleo E Gas Ltda.</w:t>
            </w:r>
          </w:p>
        </w:tc>
        <w:tc>
          <w:tcPr>
            <w:tcW w:w="300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4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vMerge w:val="continue"/>
          </w:tcPr>
          <w:p>
            <w:pPr>
              <w:spacing w:after="0"/>
              <w:rPr>
                <w:sz w:val="10"/>
                <w:szCs w:val="10"/>
                <w:color w:val="auto"/>
              </w:rPr>
            </w:pPr>
          </w:p>
        </w:tc>
        <w:tc>
          <w:tcPr>
            <w:tcW w:w="300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40" w:type="dxa"/>
            <w:vAlign w:val="bottom"/>
            <w:tcBorders>
              <w:right w:val="single" w:sz="8" w:color="auto"/>
            </w:tcBorders>
          </w:tcPr>
          <w:p>
            <w:pPr>
              <w:spacing w:after="0"/>
              <w:rPr>
                <w:sz w:val="21"/>
                <w:szCs w:val="21"/>
                <w:color w:val="auto"/>
              </w:rPr>
            </w:pPr>
          </w:p>
        </w:tc>
        <w:tc>
          <w:tcPr>
            <w:tcW w:w="2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Canam Brunei Oil Ltd.</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P. Morgan Chase Bank</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0076953752</w:t>
            </w:r>
          </w:p>
        </w:tc>
        <w:tc>
          <w:tcPr>
            <w:tcW w:w="174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vMerge w:val="continue"/>
          </w:tcPr>
          <w:p>
            <w:pPr>
              <w:spacing w:after="0"/>
              <w:rPr>
                <w:sz w:val="9"/>
                <w:szCs w:val="9"/>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Berhad Kuala Lumpur,</w:t>
            </w:r>
          </w:p>
        </w:tc>
        <w:tc>
          <w:tcPr>
            <w:tcW w:w="266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4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66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tcPr>
          <w:p>
            <w:pPr>
              <w:spacing w:after="0"/>
              <w:rPr>
                <w:sz w:val="9"/>
                <w:szCs w:val="9"/>
                <w:color w:val="auto"/>
              </w:rPr>
            </w:pPr>
          </w:p>
        </w:tc>
        <w:tc>
          <w:tcPr>
            <w:tcW w:w="300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4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One Bank N. A.</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4670140461</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Money Market Cash</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94"/>
        </w:trPr>
        <w:tc>
          <w:tcPr>
            <w:tcW w:w="140" w:type="dxa"/>
            <w:vAlign w:val="bottom"/>
            <w:tcBorders>
              <w:right w:val="single" w:sz="8" w:color="auto"/>
            </w:tcBorders>
          </w:tcPr>
          <w:p>
            <w:pPr>
              <w:spacing w:after="0"/>
              <w:rPr>
                <w:sz w:val="8"/>
                <w:szCs w:val="8"/>
                <w:color w:val="auto"/>
              </w:rPr>
            </w:pPr>
          </w:p>
        </w:tc>
        <w:tc>
          <w:tcPr>
            <w:tcW w:w="2840" w:type="dxa"/>
            <w:vAlign w:val="bottom"/>
            <w:tcBorders>
              <w:right w:val="single" w:sz="8" w:color="auto"/>
            </w:tcBorders>
            <w:vMerge w:val="continue"/>
          </w:tcPr>
          <w:p>
            <w:pPr>
              <w:spacing w:after="0"/>
              <w:rPr>
                <w:sz w:val="8"/>
                <w:szCs w:val="8"/>
                <w:color w:val="auto"/>
              </w:rPr>
            </w:pPr>
          </w:p>
        </w:tc>
        <w:tc>
          <w:tcPr>
            <w:tcW w:w="3000" w:type="dxa"/>
            <w:vAlign w:val="bottom"/>
            <w:tcBorders>
              <w:right w:val="single" w:sz="8" w:color="auto"/>
            </w:tcBorders>
            <w:vMerge w:val="continue"/>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4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4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266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14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P. Morgan Chase Bank, New</w:t>
            </w: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325-008361</w:t>
            </w:r>
          </w:p>
        </w:tc>
        <w:tc>
          <w:tcPr>
            <w:tcW w:w="174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75"/>
        </w:trPr>
        <w:tc>
          <w:tcPr>
            <w:tcW w:w="140" w:type="dxa"/>
            <w:vAlign w:val="bottom"/>
            <w:tcBorders>
              <w:right w:val="single" w:sz="8" w:color="auto"/>
            </w:tcBorders>
          </w:tcPr>
          <w:p>
            <w:pPr>
              <w:spacing w:after="0"/>
              <w:rPr>
                <w:sz w:val="6"/>
                <w:szCs w:val="6"/>
                <w:color w:val="auto"/>
              </w:rPr>
            </w:pPr>
          </w:p>
        </w:tc>
        <w:tc>
          <w:tcPr>
            <w:tcW w:w="2840" w:type="dxa"/>
            <w:vAlign w:val="bottom"/>
            <w:tcBorders>
              <w:right w:val="single" w:sz="8" w:color="auto"/>
            </w:tcBorders>
            <w:vMerge w:val="continue"/>
          </w:tcPr>
          <w:p>
            <w:pPr>
              <w:spacing w:after="0"/>
              <w:rPr>
                <w:sz w:val="6"/>
                <w:szCs w:val="6"/>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York, New York</w:t>
            </w:r>
          </w:p>
        </w:tc>
        <w:tc>
          <w:tcPr>
            <w:tcW w:w="2660" w:type="dxa"/>
            <w:vAlign w:val="bottom"/>
            <w:tcBorders>
              <w:right w:val="single" w:sz="8" w:color="auto"/>
            </w:tcBorders>
            <w:vMerge w:val="continue"/>
          </w:tcPr>
          <w:p>
            <w:pPr>
              <w:spacing w:after="0"/>
              <w:rPr>
                <w:sz w:val="6"/>
                <w:szCs w:val="6"/>
                <w:color w:val="auto"/>
              </w:rPr>
            </w:pPr>
          </w:p>
        </w:tc>
        <w:tc>
          <w:tcPr>
            <w:tcW w:w="17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0" w:type="dxa"/>
            <w:vAlign w:val="bottom"/>
            <w:tcBorders>
              <w:right w:val="single" w:sz="8" w:color="auto"/>
            </w:tcBorders>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3000" w:type="dxa"/>
            <w:vAlign w:val="bottom"/>
            <w:tcBorders>
              <w:right w:val="single" w:sz="8" w:color="auto"/>
            </w:tcBorders>
            <w:vMerge w:val="continue"/>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40" w:type="dxa"/>
            <w:vAlign w:val="bottom"/>
            <w:tcBorders>
              <w:right w:val="single" w:sz="8" w:color="auto"/>
            </w:tcBorders>
          </w:tcPr>
          <w:p>
            <w:pPr>
              <w:spacing w:after="0"/>
              <w:rPr>
                <w:sz w:val="5"/>
                <w:szCs w:val="5"/>
                <w:color w:val="auto"/>
              </w:rPr>
            </w:pPr>
          </w:p>
        </w:tc>
        <w:tc>
          <w:tcPr>
            <w:tcW w:w="2840" w:type="dxa"/>
            <w:vAlign w:val="bottom"/>
            <w:tcBorders>
              <w:right w:val="single" w:sz="8" w:color="auto"/>
            </w:tcBorders>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Murphy Oil (UK) Corporation</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004451259901</w:t>
            </w: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MP Gulf of Mexico, LLC</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4451312783</w:t>
            </w: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40" w:type="dxa"/>
            <w:vAlign w:val="bottom"/>
            <w:tcBorders>
              <w:right w:val="single" w:sz="8" w:color="auto"/>
            </w:tcBorders>
          </w:tcPr>
          <w:p>
            <w:pPr>
              <w:spacing w:after="0"/>
              <w:rPr>
                <w:sz w:val="21"/>
                <w:szCs w:val="21"/>
                <w:color w:val="auto"/>
              </w:rPr>
            </w:pPr>
          </w:p>
        </w:tc>
        <w:tc>
          <w:tcPr>
            <w:tcW w:w="28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MP Gulf of Mexico, LLC</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Controlled Disbursement</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Controlled</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79"/>
        </w:trPr>
        <w:tc>
          <w:tcPr>
            <w:tcW w:w="140" w:type="dxa"/>
            <w:vAlign w:val="bottom"/>
            <w:tcBorders>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vMerge w:val="continue"/>
          </w:tcPr>
          <w:p>
            <w:pPr>
              <w:spacing w:after="0"/>
              <w:rPr>
                <w:sz w:val="24"/>
                <w:szCs w:val="24"/>
                <w:color w:val="auto"/>
              </w:rPr>
            </w:pPr>
          </w:p>
        </w:tc>
        <w:tc>
          <w:tcPr>
            <w:tcW w:w="3000" w:type="dxa"/>
            <w:vAlign w:val="bottom"/>
            <w:tcBorders>
              <w:bottom w:val="single" w:sz="8" w:color="auto"/>
              <w:right w:val="single" w:sz="8" w:color="auto"/>
            </w:tcBorders>
            <w:vMerge w:val="continue"/>
          </w:tcPr>
          <w:p>
            <w:pPr>
              <w:spacing w:after="0"/>
              <w:rPr>
                <w:sz w:val="24"/>
                <w:szCs w:val="24"/>
                <w:color w:val="auto"/>
              </w:rPr>
            </w:pPr>
          </w:p>
        </w:tc>
        <w:tc>
          <w:tcPr>
            <w:tcW w:w="2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 3359992560</w:t>
            </w:r>
          </w:p>
        </w:tc>
        <w:tc>
          <w:tcPr>
            <w:tcW w:w="1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Disbursement Account</w:t>
            </w:r>
          </w:p>
        </w:tc>
        <w:tc>
          <w:tcPr>
            <w:tcW w:w="76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40" w:type="dxa"/>
            <w:vAlign w:val="bottom"/>
            <w:tcBorders>
              <w:right w:val="single" w:sz="8" w:color="auto"/>
            </w:tcBorders>
          </w:tcPr>
          <w:p>
            <w:pPr>
              <w:spacing w:after="0"/>
              <w:rPr>
                <w:sz w:val="23"/>
                <w:szCs w:val="23"/>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Sur S de RL de CV</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Mexico, S. A., Mexico</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14633028</w:t>
            </w: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7"/>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LEGAL_US_W # 182174051.6</w:t>
            </w:r>
          </w:p>
        </w:tc>
        <w:tc>
          <w:tcPr>
            <w:tcW w:w="3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61" w:name="page162"/>
    <w:bookmarkEnd w:id="161"/>
    <w:p>
      <w:pPr>
        <w:spacing w:after="0" w:line="176" w:lineRule="exact"/>
        <w:rPr>
          <w:sz w:val="20"/>
          <w:szCs w:val="20"/>
          <w:color w:val="auto"/>
        </w:rPr>
      </w:pPr>
    </w:p>
    <w:tbl>
      <w:tblPr>
        <w:tblLayout w:type="fixed"/>
        <w:tblInd w:w="130" w:type="dxa"/>
        <w:tblCellMar>
          <w:top w:w="0" w:type="dxa"/>
          <w:left w:w="0" w:type="dxa"/>
          <w:bottom w:w="0" w:type="dxa"/>
          <w:right w:w="0" w:type="dxa"/>
        </w:tblCellMar>
      </w:tblPr>
      <w:tr>
        <w:trPr>
          <w:trHeight w:val="352"/>
        </w:trPr>
        <w:tc>
          <w:tcPr>
            <w:tcW w:w="28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3000" w:type="dxa"/>
            <w:vAlign w:val="bottom"/>
            <w:tcBorders>
              <w:top w:val="single" w:sz="8" w:color="auto"/>
              <w:right w:val="single" w:sz="8" w:color="auto"/>
            </w:tcBorders>
            <w:vMerge w:val="restart"/>
            <w:shd w:val="clear" w:color="auto" w:fill="D9D9D9"/>
          </w:tcPr>
          <w:p>
            <w:pPr>
              <w:ind w:left="8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660" w:type="dxa"/>
            <w:vAlign w:val="bottom"/>
            <w:tcBorders>
              <w:top w:val="single" w:sz="8" w:color="auto"/>
            </w:tcBorders>
            <w:shd w:val="clear" w:color="auto" w:fill="D9D9D9"/>
          </w:tcPr>
          <w:p>
            <w:pPr>
              <w:spacing w:after="0"/>
              <w:rPr>
                <w:sz w:val="24"/>
                <w:szCs w:val="24"/>
                <w:color w:val="auto"/>
              </w:rPr>
            </w:pPr>
          </w:p>
        </w:tc>
        <w:tc>
          <w:tcPr>
            <w:tcW w:w="1000" w:type="dxa"/>
            <w:vAlign w:val="bottom"/>
            <w:tcBorders>
              <w:top w:val="single" w:sz="8" w:color="auto"/>
            </w:tcBorders>
            <w:vMerge w:val="restart"/>
            <w:shd w:val="clear" w:color="auto" w:fill="D9D9D9"/>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Account</w:t>
            </w:r>
          </w:p>
        </w:tc>
        <w:tc>
          <w:tcPr>
            <w:tcW w:w="1020" w:type="dxa"/>
            <w:vAlign w:val="bottom"/>
            <w:tcBorders>
              <w:top w:val="single" w:sz="8" w:color="auto"/>
              <w:right w:val="single" w:sz="8" w:color="auto"/>
            </w:tcBorders>
            <w:shd w:val="clear" w:color="auto" w:fill="D9D9D9"/>
          </w:tcPr>
          <w:p>
            <w:pPr>
              <w:spacing w:after="0"/>
              <w:rPr>
                <w:sz w:val="24"/>
                <w:szCs w:val="24"/>
                <w:color w:val="auto"/>
              </w:rPr>
            </w:pPr>
          </w:p>
        </w:tc>
        <w:tc>
          <w:tcPr>
            <w:tcW w:w="1720" w:type="dxa"/>
            <w:vAlign w:val="bottom"/>
            <w:tcBorders>
              <w:top w:val="single" w:sz="8" w:color="auto"/>
              <w:right w:val="single" w:sz="8" w:color="auto"/>
            </w:tcBorders>
            <w:shd w:val="clear" w:color="auto" w:fill="D9D9D9"/>
          </w:tcPr>
          <w:p>
            <w:pPr>
              <w:spacing w:after="0"/>
              <w:rPr>
                <w:sz w:val="24"/>
                <w:szCs w:val="24"/>
                <w:color w:val="auto"/>
              </w:rPr>
            </w:pPr>
          </w:p>
        </w:tc>
        <w:tc>
          <w:tcPr>
            <w:tcW w:w="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Excluded</w:t>
            </w:r>
          </w:p>
        </w:tc>
        <w:tc>
          <w:tcPr>
            <w:tcW w:w="0" w:type="dxa"/>
            <w:vAlign w:val="bottom"/>
          </w:tcPr>
          <w:p>
            <w:pPr>
              <w:spacing w:after="0"/>
              <w:rPr>
                <w:sz w:val="1"/>
                <w:szCs w:val="1"/>
                <w:color w:val="auto"/>
              </w:rPr>
            </w:pPr>
          </w:p>
        </w:tc>
      </w:tr>
      <w:tr>
        <w:trPr>
          <w:trHeight w:val="134"/>
        </w:trPr>
        <w:tc>
          <w:tcPr>
            <w:tcW w:w="2820" w:type="dxa"/>
            <w:vAlign w:val="bottom"/>
            <w:tcBorders>
              <w:left w:val="single" w:sz="8" w:color="auto"/>
              <w:right w:val="single" w:sz="8" w:color="auto"/>
            </w:tcBorders>
            <w:vMerge w:val="restart"/>
            <w:shd w:val="clear" w:color="auto" w:fill="D9D9D9"/>
          </w:tcPr>
          <w:p>
            <w:pPr>
              <w:ind w:left="108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3000" w:type="dxa"/>
            <w:vAlign w:val="bottom"/>
            <w:tcBorders>
              <w:right w:val="single" w:sz="8" w:color="auto"/>
            </w:tcBorders>
            <w:vMerge w:val="continue"/>
            <w:shd w:val="clear" w:color="auto" w:fill="D9D9D9"/>
          </w:tcPr>
          <w:p>
            <w:pPr>
              <w:spacing w:after="0"/>
              <w:rPr>
                <w:sz w:val="11"/>
                <w:szCs w:val="11"/>
                <w:color w:val="auto"/>
              </w:rPr>
            </w:pPr>
          </w:p>
        </w:tc>
        <w:tc>
          <w:tcPr>
            <w:tcW w:w="660" w:type="dxa"/>
            <w:vAlign w:val="bottom"/>
            <w:shd w:val="clear" w:color="auto" w:fill="D9D9D9"/>
          </w:tcPr>
          <w:p>
            <w:pPr>
              <w:spacing w:after="0"/>
              <w:rPr>
                <w:sz w:val="11"/>
                <w:szCs w:val="11"/>
                <w:color w:val="auto"/>
              </w:rPr>
            </w:pPr>
          </w:p>
        </w:tc>
        <w:tc>
          <w:tcPr>
            <w:tcW w:w="1000" w:type="dxa"/>
            <w:vAlign w:val="bottom"/>
            <w:vMerge w:val="continue"/>
            <w:shd w:val="clear" w:color="auto" w:fill="D9D9D9"/>
          </w:tcPr>
          <w:p>
            <w:pPr>
              <w:spacing w:after="0"/>
              <w:rPr>
                <w:sz w:val="11"/>
                <w:szCs w:val="11"/>
                <w:color w:val="auto"/>
              </w:rPr>
            </w:pPr>
          </w:p>
        </w:tc>
        <w:tc>
          <w:tcPr>
            <w:tcW w:w="1020" w:type="dxa"/>
            <w:vAlign w:val="bottom"/>
            <w:tcBorders>
              <w:right w:val="single" w:sz="8" w:color="auto"/>
            </w:tcBorders>
            <w:shd w:val="clear" w:color="auto" w:fill="D9D9D9"/>
          </w:tcPr>
          <w:p>
            <w:pPr>
              <w:spacing w:after="0"/>
              <w:rPr>
                <w:sz w:val="11"/>
                <w:szCs w:val="11"/>
                <w:color w:val="auto"/>
              </w:rPr>
            </w:pPr>
          </w:p>
        </w:tc>
        <w:tc>
          <w:tcPr>
            <w:tcW w:w="1720" w:type="dxa"/>
            <w:vAlign w:val="bottom"/>
            <w:tcBorders>
              <w:right w:val="single" w:sz="8" w:color="auto"/>
            </w:tcBorders>
            <w:vMerge w:val="restart"/>
            <w:shd w:val="clear" w:color="auto" w:fill="D9D9D9"/>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Account Type</w:t>
            </w:r>
          </w:p>
        </w:tc>
        <w:tc>
          <w:tcPr>
            <w:tcW w:w="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DDA</w:t>
            </w:r>
          </w:p>
        </w:tc>
        <w:tc>
          <w:tcPr>
            <w:tcW w:w="0" w:type="dxa"/>
            <w:vAlign w:val="bottom"/>
          </w:tcPr>
          <w:p>
            <w:pPr>
              <w:spacing w:after="0"/>
              <w:rPr>
                <w:sz w:val="1"/>
                <w:szCs w:val="1"/>
                <w:color w:val="auto"/>
              </w:rPr>
            </w:pPr>
          </w:p>
        </w:tc>
      </w:tr>
      <w:tr>
        <w:trPr>
          <w:trHeight w:val="80"/>
        </w:trPr>
        <w:tc>
          <w:tcPr>
            <w:tcW w:w="2820" w:type="dxa"/>
            <w:vAlign w:val="bottom"/>
            <w:tcBorders>
              <w:left w:val="single" w:sz="8" w:color="auto"/>
              <w:right w:val="single" w:sz="8" w:color="auto"/>
            </w:tcBorders>
            <w:vMerge w:val="continue"/>
            <w:shd w:val="clear" w:color="auto" w:fill="D9D9D9"/>
          </w:tcPr>
          <w:p>
            <w:pPr>
              <w:spacing w:after="0"/>
              <w:rPr>
                <w:sz w:val="6"/>
                <w:szCs w:val="6"/>
                <w:color w:val="auto"/>
              </w:rPr>
            </w:pPr>
          </w:p>
        </w:tc>
        <w:tc>
          <w:tcPr>
            <w:tcW w:w="3000" w:type="dxa"/>
            <w:vAlign w:val="bottom"/>
            <w:tcBorders>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Institution or</w:t>
            </w:r>
          </w:p>
        </w:tc>
        <w:tc>
          <w:tcPr>
            <w:tcW w:w="660" w:type="dxa"/>
            <w:vAlign w:val="bottom"/>
            <w:shd w:val="clear" w:color="auto" w:fill="D9D9D9"/>
          </w:tcPr>
          <w:p>
            <w:pPr>
              <w:spacing w:after="0"/>
              <w:rPr>
                <w:sz w:val="6"/>
                <w:szCs w:val="6"/>
                <w:color w:val="auto"/>
              </w:rPr>
            </w:pPr>
          </w:p>
        </w:tc>
        <w:tc>
          <w:tcPr>
            <w:tcW w:w="1000" w:type="dxa"/>
            <w:vAlign w:val="bottom"/>
            <w:vMerge w:val="restart"/>
            <w:shd w:val="clear" w:color="auto" w:fill="D9D9D9"/>
          </w:tcPr>
          <w:p>
            <w:pPr>
              <w:ind w:left="36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20" w:type="dxa"/>
            <w:vAlign w:val="bottom"/>
            <w:tcBorders>
              <w:right w:val="single" w:sz="8" w:color="auto"/>
            </w:tcBorders>
            <w:shd w:val="clear" w:color="auto" w:fill="D9D9D9"/>
          </w:tcPr>
          <w:p>
            <w:pPr>
              <w:spacing w:after="0"/>
              <w:rPr>
                <w:sz w:val="6"/>
                <w:szCs w:val="6"/>
                <w:color w:val="auto"/>
              </w:rPr>
            </w:pPr>
          </w:p>
        </w:tc>
        <w:tc>
          <w:tcPr>
            <w:tcW w:w="1720" w:type="dxa"/>
            <w:vAlign w:val="bottom"/>
            <w:tcBorders>
              <w:right w:val="single" w:sz="8" w:color="auto"/>
            </w:tcBorders>
            <w:vMerge w:val="continue"/>
            <w:shd w:val="clear" w:color="auto" w:fill="D9D9D9"/>
          </w:tcPr>
          <w:p>
            <w:pPr>
              <w:spacing w:after="0"/>
              <w:rPr>
                <w:sz w:val="6"/>
                <w:szCs w:val="6"/>
                <w:color w:val="auto"/>
              </w:rPr>
            </w:pPr>
          </w:p>
        </w:tc>
        <w:tc>
          <w:tcPr>
            <w:tcW w:w="760" w:type="dxa"/>
            <w:vAlign w:val="bottom"/>
            <w:tcBorders>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820" w:type="dxa"/>
            <w:vAlign w:val="bottom"/>
            <w:tcBorders>
              <w:left w:val="single" w:sz="8" w:color="auto"/>
              <w:right w:val="single" w:sz="8" w:color="auto"/>
            </w:tcBorders>
            <w:shd w:val="clear" w:color="auto" w:fill="D9D9D9"/>
          </w:tcPr>
          <w:p>
            <w:pPr>
              <w:spacing w:after="0"/>
              <w:rPr>
                <w:sz w:val="11"/>
                <w:szCs w:val="11"/>
                <w:color w:val="auto"/>
              </w:rPr>
            </w:pPr>
          </w:p>
        </w:tc>
        <w:tc>
          <w:tcPr>
            <w:tcW w:w="3000" w:type="dxa"/>
            <w:vAlign w:val="bottom"/>
            <w:tcBorders>
              <w:right w:val="single" w:sz="8" w:color="auto"/>
            </w:tcBorders>
            <w:vMerge w:val="continue"/>
            <w:shd w:val="clear" w:color="auto" w:fill="D9D9D9"/>
          </w:tcPr>
          <w:p>
            <w:pPr>
              <w:spacing w:after="0"/>
              <w:rPr>
                <w:sz w:val="11"/>
                <w:szCs w:val="11"/>
                <w:color w:val="auto"/>
              </w:rPr>
            </w:pPr>
          </w:p>
        </w:tc>
        <w:tc>
          <w:tcPr>
            <w:tcW w:w="660" w:type="dxa"/>
            <w:vAlign w:val="bottom"/>
            <w:shd w:val="clear" w:color="auto" w:fill="D9D9D9"/>
          </w:tcPr>
          <w:p>
            <w:pPr>
              <w:spacing w:after="0"/>
              <w:rPr>
                <w:sz w:val="11"/>
                <w:szCs w:val="11"/>
                <w:color w:val="auto"/>
              </w:rPr>
            </w:pPr>
          </w:p>
        </w:tc>
        <w:tc>
          <w:tcPr>
            <w:tcW w:w="1000" w:type="dxa"/>
            <w:vAlign w:val="bottom"/>
            <w:vMerge w:val="continue"/>
            <w:shd w:val="clear" w:color="auto" w:fill="D9D9D9"/>
          </w:tcPr>
          <w:p>
            <w:pPr>
              <w:spacing w:after="0"/>
              <w:rPr>
                <w:sz w:val="11"/>
                <w:szCs w:val="11"/>
                <w:color w:val="auto"/>
              </w:rPr>
            </w:pPr>
          </w:p>
        </w:tc>
        <w:tc>
          <w:tcPr>
            <w:tcW w:w="1020" w:type="dxa"/>
            <w:vAlign w:val="bottom"/>
            <w:tcBorders>
              <w:right w:val="single" w:sz="8" w:color="auto"/>
            </w:tcBorders>
            <w:shd w:val="clear" w:color="auto" w:fill="D9D9D9"/>
          </w:tcPr>
          <w:p>
            <w:pPr>
              <w:spacing w:after="0"/>
              <w:rPr>
                <w:sz w:val="11"/>
                <w:szCs w:val="11"/>
                <w:color w:val="auto"/>
              </w:rPr>
            </w:pPr>
          </w:p>
        </w:tc>
        <w:tc>
          <w:tcPr>
            <w:tcW w:w="1720" w:type="dxa"/>
            <w:vAlign w:val="bottom"/>
            <w:tcBorders>
              <w:right w:val="single" w:sz="8" w:color="auto"/>
            </w:tcBorders>
            <w:shd w:val="clear" w:color="auto" w:fill="D9D9D9"/>
          </w:tcPr>
          <w:p>
            <w:pPr>
              <w:spacing w:after="0"/>
              <w:rPr>
                <w:sz w:val="11"/>
                <w:szCs w:val="11"/>
                <w:color w:val="auto"/>
              </w:rPr>
            </w:pPr>
          </w:p>
        </w:tc>
        <w:tc>
          <w:tcPr>
            <w:tcW w:w="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(Y/N)</w:t>
            </w:r>
          </w:p>
        </w:tc>
        <w:tc>
          <w:tcPr>
            <w:tcW w:w="0" w:type="dxa"/>
            <w:vAlign w:val="bottom"/>
          </w:tcPr>
          <w:p>
            <w:pPr>
              <w:spacing w:after="0"/>
              <w:rPr>
                <w:sz w:val="1"/>
                <w:szCs w:val="1"/>
                <w:color w:val="auto"/>
              </w:rPr>
            </w:pPr>
          </w:p>
        </w:tc>
      </w:tr>
      <w:tr>
        <w:trPr>
          <w:trHeight w:val="103"/>
        </w:trPr>
        <w:tc>
          <w:tcPr>
            <w:tcW w:w="2820" w:type="dxa"/>
            <w:vAlign w:val="bottom"/>
            <w:tcBorders>
              <w:left w:val="single" w:sz="8" w:color="auto"/>
              <w:right w:val="single" w:sz="8" w:color="auto"/>
            </w:tcBorders>
            <w:shd w:val="clear" w:color="auto" w:fill="D9D9D9"/>
          </w:tcPr>
          <w:p>
            <w:pPr>
              <w:spacing w:after="0"/>
              <w:rPr>
                <w:sz w:val="8"/>
                <w:szCs w:val="8"/>
                <w:color w:val="auto"/>
              </w:rPr>
            </w:pPr>
          </w:p>
        </w:tc>
        <w:tc>
          <w:tcPr>
            <w:tcW w:w="3000" w:type="dxa"/>
            <w:vAlign w:val="bottom"/>
            <w:tcBorders>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Intermediary</w:t>
            </w:r>
          </w:p>
        </w:tc>
        <w:tc>
          <w:tcPr>
            <w:tcW w:w="660" w:type="dxa"/>
            <w:vAlign w:val="bottom"/>
            <w:shd w:val="clear" w:color="auto" w:fill="D9D9D9"/>
          </w:tcPr>
          <w:p>
            <w:pPr>
              <w:spacing w:after="0"/>
              <w:rPr>
                <w:sz w:val="8"/>
                <w:szCs w:val="8"/>
                <w:color w:val="auto"/>
              </w:rPr>
            </w:pPr>
          </w:p>
        </w:tc>
        <w:tc>
          <w:tcPr>
            <w:tcW w:w="1000" w:type="dxa"/>
            <w:vAlign w:val="bottom"/>
            <w:shd w:val="clear" w:color="auto" w:fill="D9D9D9"/>
          </w:tcPr>
          <w:p>
            <w:pPr>
              <w:spacing w:after="0"/>
              <w:rPr>
                <w:sz w:val="8"/>
                <w:szCs w:val="8"/>
                <w:color w:val="auto"/>
              </w:rPr>
            </w:pPr>
          </w:p>
        </w:tc>
        <w:tc>
          <w:tcPr>
            <w:tcW w:w="1020" w:type="dxa"/>
            <w:vAlign w:val="bottom"/>
            <w:tcBorders>
              <w:right w:val="single" w:sz="8" w:color="auto"/>
            </w:tcBorders>
            <w:shd w:val="clear" w:color="auto" w:fill="D9D9D9"/>
          </w:tcPr>
          <w:p>
            <w:pPr>
              <w:spacing w:after="0"/>
              <w:rPr>
                <w:sz w:val="8"/>
                <w:szCs w:val="8"/>
                <w:color w:val="auto"/>
              </w:rPr>
            </w:pPr>
          </w:p>
        </w:tc>
        <w:tc>
          <w:tcPr>
            <w:tcW w:w="1720" w:type="dxa"/>
            <w:vAlign w:val="bottom"/>
            <w:tcBorders>
              <w:right w:val="single" w:sz="8" w:color="auto"/>
            </w:tcBorders>
            <w:shd w:val="clear" w:color="auto" w:fill="D9D9D9"/>
          </w:tcPr>
          <w:p>
            <w:pPr>
              <w:spacing w:after="0"/>
              <w:rPr>
                <w:sz w:val="8"/>
                <w:szCs w:val="8"/>
                <w:color w:val="auto"/>
              </w:rPr>
            </w:pPr>
          </w:p>
        </w:tc>
        <w:tc>
          <w:tcPr>
            <w:tcW w:w="7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82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300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660" w:type="dxa"/>
            <w:vAlign w:val="bottom"/>
            <w:tcBorders>
              <w:bottom w:val="single" w:sz="8" w:color="D9D9D9"/>
            </w:tcBorders>
            <w:shd w:val="clear" w:color="auto" w:fill="D9D9D9"/>
          </w:tcPr>
          <w:p>
            <w:pPr>
              <w:spacing w:after="0"/>
              <w:rPr>
                <w:sz w:val="13"/>
                <w:szCs w:val="13"/>
                <w:color w:val="auto"/>
              </w:rPr>
            </w:pPr>
          </w:p>
        </w:tc>
        <w:tc>
          <w:tcPr>
            <w:tcW w:w="1000" w:type="dxa"/>
            <w:vAlign w:val="bottom"/>
            <w:tcBorders>
              <w:bottom w:val="single" w:sz="8" w:color="D9D9D9"/>
            </w:tcBorders>
            <w:shd w:val="clear" w:color="auto" w:fill="D9D9D9"/>
          </w:tcPr>
          <w:p>
            <w:pPr>
              <w:spacing w:after="0"/>
              <w:rPr>
                <w:sz w:val="13"/>
                <w:szCs w:val="13"/>
                <w:color w:val="auto"/>
              </w:rPr>
            </w:pPr>
          </w:p>
        </w:tc>
        <w:tc>
          <w:tcPr>
            <w:tcW w:w="1020" w:type="dxa"/>
            <w:vAlign w:val="bottom"/>
            <w:tcBorders>
              <w:bottom w:val="single" w:sz="8" w:color="D9D9D9"/>
              <w:right w:val="single" w:sz="8" w:color="auto"/>
            </w:tcBorders>
            <w:shd w:val="clear" w:color="auto" w:fill="D9D9D9"/>
          </w:tcPr>
          <w:p>
            <w:pPr>
              <w:spacing w:after="0"/>
              <w:rPr>
                <w:sz w:val="13"/>
                <w:szCs w:val="13"/>
                <w:color w:val="auto"/>
              </w:rPr>
            </w:pPr>
          </w:p>
        </w:tc>
        <w:tc>
          <w:tcPr>
            <w:tcW w:w="1720" w:type="dxa"/>
            <w:vAlign w:val="bottom"/>
            <w:tcBorders>
              <w:bottom w:val="single" w:sz="8" w:color="D9D9D9"/>
              <w:right w:val="single" w:sz="8" w:color="auto"/>
            </w:tcBorders>
            <w:shd w:val="clear" w:color="auto" w:fill="D9D9D9"/>
          </w:tcPr>
          <w:p>
            <w:pPr>
              <w:spacing w:after="0"/>
              <w:rPr>
                <w:sz w:val="13"/>
                <w:szCs w:val="13"/>
                <w:color w:val="auto"/>
              </w:rPr>
            </w:pPr>
          </w:p>
        </w:tc>
        <w:tc>
          <w:tcPr>
            <w:tcW w:w="760" w:type="dxa"/>
            <w:vAlign w:val="bottom"/>
            <w:tcBorders>
              <w:bottom w:val="single" w:sz="8" w:color="D9D9D9"/>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8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Murphy Sur S de RL de CV</w:t>
            </w:r>
          </w:p>
        </w:tc>
        <w:tc>
          <w:tcPr>
            <w:tcW w:w="30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Mexico, S. A., Mexico</w:t>
            </w:r>
          </w:p>
        </w:tc>
        <w:tc>
          <w:tcPr>
            <w:tcW w:w="1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MXN A/C# 14633010</w:t>
            </w:r>
          </w:p>
        </w:tc>
        <w:tc>
          <w:tcPr>
            <w:tcW w:w="1020" w:type="dxa"/>
            <w:vAlign w:val="bottom"/>
            <w:tcBorders>
              <w:top w:val="single" w:sz="8" w:color="auto"/>
              <w:right w:val="single" w:sz="8" w:color="auto"/>
            </w:tcBorders>
          </w:tcPr>
          <w:p>
            <w:pPr>
              <w:spacing w:after="0"/>
              <w:rPr>
                <w:sz w:val="23"/>
                <w:szCs w:val="23"/>
                <w:color w:val="auto"/>
              </w:rPr>
            </w:pPr>
          </w:p>
        </w:tc>
        <w:tc>
          <w:tcPr>
            <w:tcW w:w="1720" w:type="dxa"/>
            <w:vAlign w:val="bottom"/>
            <w:tcBorders>
              <w:top w:val="single" w:sz="8" w:color="auto"/>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3"/>
        </w:trPr>
        <w:tc>
          <w:tcPr>
            <w:tcW w:w="282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gridSpan w:val="3"/>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Murphy Sur S de RL de CV</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Grupo Financiero Banorte, S.A.B de</w:t>
            </w:r>
          </w:p>
        </w:tc>
        <w:tc>
          <w:tcPr>
            <w:tcW w:w="26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MXN A/C# 1044029462</w:t>
            </w: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3"/>
        </w:trPr>
        <w:tc>
          <w:tcPr>
            <w:tcW w:w="282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w:t>
            </w: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Netherlands Holdings BV</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Merrill Lynch Intl</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USD A/C # 20451013</w:t>
            </w:r>
          </w:p>
        </w:tc>
        <w:tc>
          <w:tcPr>
            <w:tcW w:w="10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75"/>
        </w:trPr>
        <w:tc>
          <w:tcPr>
            <w:tcW w:w="2820" w:type="dxa"/>
            <w:vAlign w:val="bottom"/>
            <w:tcBorders>
              <w:left w:val="single" w:sz="8" w:color="auto"/>
              <w:right w:val="single" w:sz="8" w:color="auto"/>
            </w:tcBorders>
            <w:vMerge w:val="continue"/>
          </w:tcPr>
          <w:p>
            <w:pPr>
              <w:spacing w:after="0"/>
              <w:rPr>
                <w:sz w:val="6"/>
                <w:szCs w:val="6"/>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Ltd., Amsterdam</w:t>
            </w:r>
          </w:p>
        </w:tc>
        <w:tc>
          <w:tcPr>
            <w:tcW w:w="1660" w:type="dxa"/>
            <w:vAlign w:val="bottom"/>
            <w:gridSpan w:val="2"/>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820" w:type="dxa"/>
            <w:vAlign w:val="bottom"/>
            <w:tcBorders>
              <w:left w:val="single" w:sz="8" w:color="auto"/>
              <w:right w:val="single" w:sz="8" w:color="auto"/>
            </w:tcBorders>
          </w:tcPr>
          <w:p>
            <w:pPr>
              <w:spacing w:after="0"/>
              <w:rPr>
                <w:sz w:val="14"/>
                <w:szCs w:val="14"/>
                <w:color w:val="auto"/>
              </w:rPr>
            </w:pPr>
          </w:p>
        </w:tc>
        <w:tc>
          <w:tcPr>
            <w:tcW w:w="3000" w:type="dxa"/>
            <w:vAlign w:val="bottom"/>
            <w:tcBorders>
              <w:right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20" w:type="dxa"/>
            <w:vAlign w:val="bottom"/>
            <w:tcBorders>
              <w:left w:val="single" w:sz="8" w:color="auto"/>
              <w:right w:val="single" w:sz="8" w:color="auto"/>
            </w:tcBorders>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28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Murphy Netherlands Holdings II BV</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of America Merrill Lynch Intl</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 A/C # 20452011</w:t>
            </w:r>
          </w:p>
        </w:tc>
        <w:tc>
          <w:tcPr>
            <w:tcW w:w="10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14"/>
        </w:trPr>
        <w:tc>
          <w:tcPr>
            <w:tcW w:w="2820" w:type="dxa"/>
            <w:vAlign w:val="bottom"/>
            <w:tcBorders>
              <w:left w:val="single" w:sz="8" w:color="auto"/>
              <w:right w:val="single" w:sz="8" w:color="auto"/>
            </w:tcBorders>
          </w:tcPr>
          <w:p>
            <w:pPr>
              <w:spacing w:after="0"/>
              <w:rPr>
                <w:sz w:val="18"/>
                <w:szCs w:val="18"/>
                <w:color w:val="auto"/>
              </w:rPr>
            </w:pP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 Amsterdam</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20" w:type="dxa"/>
            <w:vAlign w:val="bottom"/>
            <w:tcBorders>
              <w:left w:val="single" w:sz="8" w:color="auto"/>
              <w:right w:val="single" w:sz="8" w:color="auto"/>
            </w:tcBorders>
          </w:tcPr>
          <w:p>
            <w:pPr>
              <w:spacing w:after="0"/>
              <w:rPr>
                <w:sz w:val="4"/>
                <w:szCs w:val="4"/>
                <w:color w:val="auto"/>
              </w:rPr>
            </w:pPr>
          </w:p>
        </w:tc>
        <w:tc>
          <w:tcPr>
            <w:tcW w:w="3000" w:type="dxa"/>
            <w:vAlign w:val="bottom"/>
            <w:tcBorders>
              <w:righ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gridSpan w:val="3"/>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20" w:type="dxa"/>
            <w:vAlign w:val="bottom"/>
            <w:tcBorders>
              <w:left w:val="single" w:sz="8" w:color="auto"/>
              <w:right w:val="single" w:sz="8" w:color="auto"/>
            </w:tcBorders>
          </w:tcPr>
          <w:p>
            <w:pPr>
              <w:spacing w:after="0"/>
              <w:rPr>
                <w:sz w:val="23"/>
                <w:szCs w:val="23"/>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J. P. Morgan Chase Bank</w:t>
            </w:r>
          </w:p>
        </w:tc>
        <w:tc>
          <w:tcPr>
            <w:tcW w:w="26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USD A/C # 0076958900</w:t>
            </w:r>
          </w:p>
        </w:tc>
        <w:tc>
          <w:tcPr>
            <w:tcW w:w="1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Nha Trang Oil Co., Ltd.</w:t>
            </w:r>
          </w:p>
        </w:tc>
        <w:tc>
          <w:tcPr>
            <w:tcW w:w="3000" w:type="dxa"/>
            <w:vAlign w:val="bottom"/>
            <w:tcBorders>
              <w:right w:val="single" w:sz="8" w:color="auto"/>
            </w:tcBorders>
            <w:vMerge w:val="continue"/>
          </w:tcPr>
          <w:p>
            <w:pPr>
              <w:spacing w:after="0"/>
              <w:rPr>
                <w:sz w:val="8"/>
                <w:szCs w:val="8"/>
                <w:color w:val="auto"/>
              </w:rPr>
            </w:pP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USD A/C # 0076958206</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34"/>
        </w:trPr>
        <w:tc>
          <w:tcPr>
            <w:tcW w:w="2820" w:type="dxa"/>
            <w:vAlign w:val="bottom"/>
            <w:tcBorders>
              <w:left w:val="single" w:sz="8" w:color="auto"/>
              <w:right w:val="single" w:sz="8" w:color="auto"/>
            </w:tcBorders>
            <w:vMerge w:val="continue"/>
          </w:tcPr>
          <w:p>
            <w:pPr>
              <w:spacing w:after="0"/>
              <w:rPr>
                <w:sz w:val="11"/>
                <w:szCs w:val="11"/>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Ho Chi Minh Branch, Vietnam</w:t>
            </w:r>
          </w:p>
        </w:tc>
        <w:tc>
          <w:tcPr>
            <w:tcW w:w="2680" w:type="dxa"/>
            <w:vAlign w:val="bottom"/>
            <w:tcBorders>
              <w:right w:val="single" w:sz="8" w:color="auto"/>
            </w:tcBorders>
            <w:gridSpan w:val="3"/>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20" w:type="dxa"/>
            <w:vAlign w:val="bottom"/>
            <w:tcBorders>
              <w:left w:val="single" w:sz="8" w:color="auto"/>
              <w:right w:val="single" w:sz="8" w:color="auto"/>
            </w:tcBorders>
          </w:tcPr>
          <w:p>
            <w:pPr>
              <w:spacing w:after="0"/>
              <w:rPr>
                <w:sz w:val="8"/>
                <w:szCs w:val="8"/>
                <w:color w:val="auto"/>
              </w:rPr>
            </w:pPr>
          </w:p>
        </w:tc>
        <w:tc>
          <w:tcPr>
            <w:tcW w:w="3000" w:type="dxa"/>
            <w:vAlign w:val="bottom"/>
            <w:tcBorders>
              <w:right w:val="single" w:sz="8" w:color="auto"/>
            </w:tcBorders>
            <w:vMerge w:val="continue"/>
          </w:tcPr>
          <w:p>
            <w:pPr>
              <w:spacing w:after="0"/>
              <w:rPr>
                <w:sz w:val="8"/>
                <w:szCs w:val="8"/>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VND</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A/C</w:t>
            </w:r>
          </w:p>
        </w:tc>
        <w:tc>
          <w:tcPr>
            <w:tcW w:w="1020" w:type="dxa"/>
            <w:vAlign w:val="bottom"/>
            <w:tcBorders>
              <w:right w:val="single" w:sz="8" w:color="auto"/>
            </w:tcBorders>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820" w:type="dxa"/>
            <w:vAlign w:val="bottom"/>
            <w:tcBorders>
              <w:left w:val="single" w:sz="8" w:color="auto"/>
              <w:right w:val="single" w:sz="8" w:color="auto"/>
            </w:tcBorders>
          </w:tcPr>
          <w:p>
            <w:pPr>
              <w:spacing w:after="0"/>
              <w:rPr>
                <w:sz w:val="16"/>
                <w:szCs w:val="16"/>
                <w:color w:val="auto"/>
              </w:rPr>
            </w:pPr>
          </w:p>
        </w:tc>
        <w:tc>
          <w:tcPr>
            <w:tcW w:w="3000" w:type="dxa"/>
            <w:vAlign w:val="bottom"/>
            <w:tcBorders>
              <w:right w:val="single" w:sz="8" w:color="auto"/>
            </w:tcBorders>
          </w:tcPr>
          <w:p>
            <w:pPr>
              <w:spacing w:after="0"/>
              <w:rPr>
                <w:sz w:val="16"/>
                <w:szCs w:val="16"/>
                <w:color w:val="auto"/>
              </w:rPr>
            </w:pPr>
          </w:p>
        </w:tc>
        <w:tc>
          <w:tcPr>
            <w:tcW w:w="6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72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spacing w:after="0"/>
              <w:rPr>
                <w:sz w:val="22"/>
                <w:szCs w:val="22"/>
                <w:color w:val="auto"/>
              </w:rPr>
            </w:pPr>
          </w:p>
        </w:tc>
        <w:tc>
          <w:tcPr>
            <w:tcW w:w="3000" w:type="dxa"/>
            <w:vAlign w:val="bottom"/>
            <w:tcBorders>
              <w:right w:val="single" w:sz="8" w:color="auto"/>
            </w:tcBorders>
          </w:tcPr>
          <w:p>
            <w:pPr>
              <w:spacing w:after="0"/>
              <w:rPr>
                <w:sz w:val="22"/>
                <w:szCs w:val="22"/>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0076958205</w:t>
            </w:r>
          </w:p>
        </w:tc>
        <w:tc>
          <w:tcPr>
            <w:tcW w:w="10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Phuong Nam Oil Co., Ltd.</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P. Morgan Chase Bank</w:t>
            </w:r>
          </w:p>
        </w:tc>
        <w:tc>
          <w:tcPr>
            <w:tcW w:w="26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USD A/C # 0076958246</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07"/>
        </w:trPr>
        <w:tc>
          <w:tcPr>
            <w:tcW w:w="2820" w:type="dxa"/>
            <w:vAlign w:val="bottom"/>
            <w:tcBorders>
              <w:left w:val="single" w:sz="8" w:color="auto"/>
              <w:right w:val="single" w:sz="8" w:color="auto"/>
            </w:tcBorders>
            <w:vMerge w:val="continue"/>
          </w:tcPr>
          <w:p>
            <w:pPr>
              <w:spacing w:after="0"/>
              <w:rPr>
                <w:sz w:val="9"/>
                <w:szCs w:val="9"/>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Ho Chi Minh Branch, Vietnam</w:t>
            </w: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VND A/C # 0076958245</w:t>
            </w:r>
          </w:p>
        </w:tc>
        <w:tc>
          <w:tcPr>
            <w:tcW w:w="1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820" w:type="dxa"/>
            <w:vAlign w:val="bottom"/>
            <w:tcBorders>
              <w:left w:val="single" w:sz="8" w:color="auto"/>
              <w:right w:val="single" w:sz="8" w:color="auto"/>
            </w:tcBorders>
          </w:tcPr>
          <w:p>
            <w:pPr>
              <w:spacing w:after="0"/>
              <w:rPr>
                <w:sz w:val="14"/>
                <w:szCs w:val="14"/>
                <w:color w:val="auto"/>
              </w:rPr>
            </w:pPr>
          </w:p>
        </w:tc>
        <w:tc>
          <w:tcPr>
            <w:tcW w:w="3000" w:type="dxa"/>
            <w:vAlign w:val="bottom"/>
            <w:tcBorders>
              <w:right w:val="single" w:sz="8" w:color="auto"/>
            </w:tcBorders>
            <w:vMerge w:val="continue"/>
          </w:tcPr>
          <w:p>
            <w:pPr>
              <w:spacing w:after="0"/>
              <w:rPr>
                <w:sz w:val="14"/>
                <w:szCs w:val="14"/>
                <w:color w:val="auto"/>
              </w:rPr>
            </w:pPr>
          </w:p>
        </w:tc>
        <w:tc>
          <w:tcPr>
            <w:tcW w:w="2680" w:type="dxa"/>
            <w:vAlign w:val="bottom"/>
            <w:tcBorders>
              <w:right w:val="single" w:sz="8" w:color="auto"/>
            </w:tcBorders>
            <w:gridSpan w:val="3"/>
            <w:vMerge w:val="continue"/>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20" w:type="dxa"/>
            <w:vAlign w:val="bottom"/>
            <w:tcBorders>
              <w:left w:val="single" w:sz="8" w:color="auto"/>
              <w:right w:val="single" w:sz="8" w:color="auto"/>
            </w:tcBorders>
          </w:tcPr>
          <w:p>
            <w:pPr>
              <w:spacing w:after="0"/>
              <w:rPr>
                <w:sz w:val="5"/>
                <w:szCs w:val="5"/>
                <w:color w:val="auto"/>
              </w:rPr>
            </w:pPr>
          </w:p>
        </w:tc>
        <w:tc>
          <w:tcPr>
            <w:tcW w:w="300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gridSpan w:val="3"/>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20" w:type="dxa"/>
            <w:vAlign w:val="bottom"/>
            <w:tcBorders>
              <w:left w:val="single" w:sz="8" w:color="auto"/>
              <w:right w:val="single" w:sz="8" w:color="auto"/>
            </w:tcBorders>
          </w:tcPr>
          <w:p>
            <w:pPr>
              <w:spacing w:after="0"/>
              <w:rPr>
                <w:sz w:val="23"/>
                <w:szCs w:val="23"/>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J. P. Morgan Chase Bank</w:t>
            </w:r>
          </w:p>
        </w:tc>
        <w:tc>
          <w:tcPr>
            <w:tcW w:w="26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USD A/C # 0076958910</w:t>
            </w:r>
          </w:p>
        </w:tc>
        <w:tc>
          <w:tcPr>
            <w:tcW w:w="172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Cuu Long Bac Oil Co., Ltd.</w:t>
            </w:r>
          </w:p>
        </w:tc>
        <w:tc>
          <w:tcPr>
            <w:tcW w:w="3000" w:type="dxa"/>
            <w:vAlign w:val="bottom"/>
            <w:tcBorders>
              <w:right w:val="single" w:sz="8" w:color="auto"/>
            </w:tcBorders>
            <w:vMerge w:val="continue"/>
          </w:tcPr>
          <w:p>
            <w:pPr>
              <w:spacing w:after="0"/>
              <w:rPr>
                <w:sz w:val="8"/>
                <w:szCs w:val="8"/>
                <w:color w:val="auto"/>
              </w:rPr>
            </w:pP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USD A/C # 0076958288</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34"/>
        </w:trPr>
        <w:tc>
          <w:tcPr>
            <w:tcW w:w="2820" w:type="dxa"/>
            <w:vAlign w:val="bottom"/>
            <w:tcBorders>
              <w:left w:val="single" w:sz="8" w:color="auto"/>
              <w:right w:val="single" w:sz="8" w:color="auto"/>
            </w:tcBorders>
            <w:vMerge w:val="continue"/>
          </w:tcPr>
          <w:p>
            <w:pPr>
              <w:spacing w:after="0"/>
              <w:rPr>
                <w:sz w:val="11"/>
                <w:szCs w:val="11"/>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Ho Chi Minh Branch, Vietnam</w:t>
            </w:r>
          </w:p>
        </w:tc>
        <w:tc>
          <w:tcPr>
            <w:tcW w:w="2680" w:type="dxa"/>
            <w:vAlign w:val="bottom"/>
            <w:tcBorders>
              <w:right w:val="single" w:sz="8" w:color="auto"/>
            </w:tcBorders>
            <w:gridSpan w:val="3"/>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20" w:type="dxa"/>
            <w:vAlign w:val="bottom"/>
            <w:tcBorders>
              <w:left w:val="single" w:sz="8" w:color="auto"/>
              <w:right w:val="single" w:sz="8" w:color="auto"/>
            </w:tcBorders>
          </w:tcPr>
          <w:p>
            <w:pPr>
              <w:spacing w:after="0"/>
              <w:rPr>
                <w:sz w:val="8"/>
                <w:szCs w:val="8"/>
                <w:color w:val="auto"/>
              </w:rPr>
            </w:pPr>
          </w:p>
        </w:tc>
        <w:tc>
          <w:tcPr>
            <w:tcW w:w="3000" w:type="dxa"/>
            <w:vAlign w:val="bottom"/>
            <w:tcBorders>
              <w:right w:val="single" w:sz="8" w:color="auto"/>
            </w:tcBorders>
            <w:vMerge w:val="continue"/>
          </w:tcPr>
          <w:p>
            <w:pPr>
              <w:spacing w:after="0"/>
              <w:rPr>
                <w:sz w:val="8"/>
                <w:szCs w:val="8"/>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VND</w:t>
            </w: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A/C</w:t>
            </w:r>
          </w:p>
        </w:tc>
        <w:tc>
          <w:tcPr>
            <w:tcW w:w="1020" w:type="dxa"/>
            <w:vAlign w:val="bottom"/>
            <w:tcBorders>
              <w:right w:val="single" w:sz="8" w:color="auto"/>
            </w:tcBorders>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820" w:type="dxa"/>
            <w:vAlign w:val="bottom"/>
            <w:tcBorders>
              <w:left w:val="single" w:sz="8" w:color="auto"/>
              <w:right w:val="single" w:sz="8" w:color="auto"/>
            </w:tcBorders>
          </w:tcPr>
          <w:p>
            <w:pPr>
              <w:spacing w:after="0"/>
              <w:rPr>
                <w:sz w:val="16"/>
                <w:szCs w:val="16"/>
                <w:color w:val="auto"/>
              </w:rPr>
            </w:pPr>
          </w:p>
        </w:tc>
        <w:tc>
          <w:tcPr>
            <w:tcW w:w="3000" w:type="dxa"/>
            <w:vAlign w:val="bottom"/>
            <w:tcBorders>
              <w:right w:val="single" w:sz="8" w:color="auto"/>
            </w:tcBorders>
          </w:tcPr>
          <w:p>
            <w:pPr>
              <w:spacing w:after="0"/>
              <w:rPr>
                <w:sz w:val="16"/>
                <w:szCs w:val="16"/>
                <w:color w:val="auto"/>
              </w:rPr>
            </w:pPr>
          </w:p>
        </w:tc>
        <w:tc>
          <w:tcPr>
            <w:tcW w:w="6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720" w:type="dxa"/>
            <w:vAlign w:val="bottom"/>
            <w:tcBorders>
              <w:right w:val="single" w:sz="8" w:color="auto"/>
            </w:tcBorders>
            <w:vMerge w:val="continue"/>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spacing w:after="0"/>
              <w:rPr>
                <w:sz w:val="22"/>
                <w:szCs w:val="22"/>
                <w:color w:val="auto"/>
              </w:rPr>
            </w:pPr>
          </w:p>
        </w:tc>
        <w:tc>
          <w:tcPr>
            <w:tcW w:w="3000" w:type="dxa"/>
            <w:vAlign w:val="bottom"/>
            <w:tcBorders>
              <w:right w:val="single" w:sz="8" w:color="auto"/>
            </w:tcBorders>
          </w:tcPr>
          <w:p>
            <w:pPr>
              <w:spacing w:after="0"/>
              <w:rPr>
                <w:sz w:val="22"/>
                <w:szCs w:val="22"/>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0076958301</w:t>
            </w:r>
          </w:p>
        </w:tc>
        <w:tc>
          <w:tcPr>
            <w:tcW w:w="10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820" w:type="dxa"/>
            <w:vAlign w:val="bottom"/>
            <w:tcBorders>
              <w:left w:val="single" w:sz="8" w:color="auto"/>
              <w:right w:val="single" w:sz="8" w:color="auto"/>
            </w:tcBorders>
          </w:tcPr>
          <w:p>
            <w:pPr>
              <w:spacing w:after="0"/>
              <w:rPr>
                <w:sz w:val="22"/>
                <w:szCs w:val="22"/>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J. P. Morgan Chase Bank</w:t>
            </w:r>
          </w:p>
        </w:tc>
        <w:tc>
          <w:tcPr>
            <w:tcW w:w="26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USD A/C # 0076958920</w:t>
            </w:r>
          </w:p>
        </w:tc>
        <w:tc>
          <w:tcPr>
            <w:tcW w:w="172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Cuu Long Tay Oil Co., Ltd.</w:t>
            </w:r>
          </w:p>
        </w:tc>
        <w:tc>
          <w:tcPr>
            <w:tcW w:w="3000" w:type="dxa"/>
            <w:vAlign w:val="bottom"/>
            <w:tcBorders>
              <w:right w:val="single" w:sz="8" w:color="auto"/>
            </w:tcBorders>
            <w:vMerge w:val="continue"/>
          </w:tcPr>
          <w:p>
            <w:pPr>
              <w:spacing w:after="0"/>
              <w:rPr>
                <w:sz w:val="9"/>
                <w:szCs w:val="9"/>
                <w:color w:val="auto"/>
              </w:rPr>
            </w:pP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USD A/C # 0076958392</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20"/>
        </w:trPr>
        <w:tc>
          <w:tcPr>
            <w:tcW w:w="2820" w:type="dxa"/>
            <w:vAlign w:val="bottom"/>
            <w:tcBorders>
              <w:left w:val="single" w:sz="8" w:color="auto"/>
              <w:right w:val="single" w:sz="8" w:color="auto"/>
            </w:tcBorders>
            <w:vMerge w:val="continue"/>
          </w:tcPr>
          <w:p>
            <w:pPr>
              <w:spacing w:after="0"/>
              <w:rPr>
                <w:sz w:val="10"/>
                <w:szCs w:val="10"/>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Ho Chi Minh Branch, Vietnam</w:t>
            </w:r>
          </w:p>
        </w:tc>
        <w:tc>
          <w:tcPr>
            <w:tcW w:w="2680" w:type="dxa"/>
            <w:vAlign w:val="bottom"/>
            <w:tcBorders>
              <w:right w:val="single" w:sz="8" w:color="auto"/>
            </w:tcBorders>
            <w:gridSpan w:val="3"/>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820" w:type="dxa"/>
            <w:vAlign w:val="bottom"/>
            <w:tcBorders>
              <w:left w:val="single" w:sz="8" w:color="auto"/>
              <w:right w:val="single" w:sz="8" w:color="auto"/>
            </w:tcBorders>
          </w:tcPr>
          <w:p>
            <w:pPr>
              <w:spacing w:after="0"/>
              <w:rPr>
                <w:sz w:val="9"/>
                <w:szCs w:val="9"/>
                <w:color w:val="auto"/>
              </w:rPr>
            </w:pPr>
          </w:p>
        </w:tc>
        <w:tc>
          <w:tcPr>
            <w:tcW w:w="3000" w:type="dxa"/>
            <w:vAlign w:val="bottom"/>
            <w:tcBorders>
              <w:right w:val="single" w:sz="8" w:color="auto"/>
            </w:tcBorders>
            <w:vMerge w:val="continue"/>
          </w:tcPr>
          <w:p>
            <w:pPr>
              <w:spacing w:after="0"/>
              <w:rPr>
                <w:sz w:val="9"/>
                <w:szCs w:val="9"/>
                <w:color w:val="auto"/>
              </w:rPr>
            </w:pP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VND A/C # 0076958391</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820" w:type="dxa"/>
            <w:vAlign w:val="bottom"/>
            <w:tcBorders>
              <w:left w:val="single" w:sz="8" w:color="auto"/>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2680" w:type="dxa"/>
            <w:vAlign w:val="bottom"/>
            <w:tcBorders>
              <w:right w:val="single" w:sz="8" w:color="auto"/>
            </w:tcBorders>
            <w:gridSpan w:val="3"/>
            <w:vMerge w:val="continue"/>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7"/>
              </w:rPr>
              <w:t>J. P. Morgan Chase Bank, New York, NY</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USD A/C # 5029438</w:t>
            </w:r>
          </w:p>
        </w:tc>
        <w:tc>
          <w:tcPr>
            <w:tcW w:w="10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Money Market Cash</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94"/>
        </w:trPr>
        <w:tc>
          <w:tcPr>
            <w:tcW w:w="2820" w:type="dxa"/>
            <w:vAlign w:val="bottom"/>
            <w:tcBorders>
              <w:left w:val="single" w:sz="8" w:color="auto"/>
              <w:right w:val="single" w:sz="8" w:color="auto"/>
            </w:tcBorders>
            <w:vMerge w:val="continue"/>
          </w:tcPr>
          <w:p>
            <w:pPr>
              <w:spacing w:after="0"/>
              <w:rPr>
                <w:sz w:val="8"/>
                <w:szCs w:val="8"/>
                <w:color w:val="auto"/>
              </w:rPr>
            </w:pPr>
          </w:p>
        </w:tc>
        <w:tc>
          <w:tcPr>
            <w:tcW w:w="3000" w:type="dxa"/>
            <w:vAlign w:val="bottom"/>
            <w:tcBorders>
              <w:right w:val="single" w:sz="8" w:color="auto"/>
            </w:tcBorders>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820" w:type="dxa"/>
            <w:vAlign w:val="bottom"/>
            <w:tcBorders>
              <w:left w:val="single" w:sz="8" w:color="auto"/>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Regions Bank</w:t>
            </w: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USD A/C # 0179852122</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Money Market Cash</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94"/>
        </w:trPr>
        <w:tc>
          <w:tcPr>
            <w:tcW w:w="2820" w:type="dxa"/>
            <w:vAlign w:val="bottom"/>
            <w:tcBorders>
              <w:left w:val="single" w:sz="8" w:color="auto"/>
              <w:right w:val="single" w:sz="8" w:color="auto"/>
            </w:tcBorders>
            <w:vMerge w:val="continue"/>
          </w:tcPr>
          <w:p>
            <w:pPr>
              <w:spacing w:after="0"/>
              <w:rPr>
                <w:sz w:val="8"/>
                <w:szCs w:val="8"/>
                <w:color w:val="auto"/>
              </w:rPr>
            </w:pPr>
          </w:p>
        </w:tc>
        <w:tc>
          <w:tcPr>
            <w:tcW w:w="3000" w:type="dxa"/>
            <w:vAlign w:val="bottom"/>
            <w:tcBorders>
              <w:right w:val="single" w:sz="8" w:color="auto"/>
            </w:tcBorders>
            <w:vMerge w:val="continue"/>
          </w:tcPr>
          <w:p>
            <w:pPr>
              <w:spacing w:after="0"/>
              <w:rPr>
                <w:sz w:val="8"/>
                <w:szCs w:val="8"/>
                <w:color w:val="auto"/>
              </w:rPr>
            </w:pPr>
          </w:p>
        </w:tc>
        <w:tc>
          <w:tcPr>
            <w:tcW w:w="2680" w:type="dxa"/>
            <w:vAlign w:val="bottom"/>
            <w:tcBorders>
              <w:right w:val="single" w:sz="8" w:color="auto"/>
            </w:tcBorders>
            <w:gridSpan w:val="3"/>
            <w:vMerge w:val="continue"/>
          </w:tcPr>
          <w:p>
            <w:pPr>
              <w:spacing w:after="0"/>
              <w:rPr>
                <w:sz w:val="8"/>
                <w:szCs w:val="8"/>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820" w:type="dxa"/>
            <w:vAlign w:val="bottom"/>
            <w:tcBorders>
              <w:left w:val="single" w:sz="8" w:color="auto"/>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Bank of America, New York, NY</w:t>
            </w: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USD A/C # 5S4-04P36-1-7 EJE</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Money Market Cash</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86"/>
        </w:trPr>
        <w:tc>
          <w:tcPr>
            <w:tcW w:w="2820" w:type="dxa"/>
            <w:vAlign w:val="bottom"/>
            <w:tcBorders>
              <w:left w:val="single" w:sz="8" w:color="auto"/>
              <w:right w:val="single" w:sz="8" w:color="auto"/>
            </w:tcBorders>
            <w:vMerge w:val="continue"/>
          </w:tcPr>
          <w:p>
            <w:pPr>
              <w:spacing w:after="0"/>
              <w:rPr>
                <w:sz w:val="7"/>
                <w:szCs w:val="7"/>
                <w:color w:val="auto"/>
              </w:rPr>
            </w:pPr>
          </w:p>
        </w:tc>
        <w:tc>
          <w:tcPr>
            <w:tcW w:w="3000" w:type="dxa"/>
            <w:vAlign w:val="bottom"/>
            <w:tcBorders>
              <w:right w:val="single" w:sz="8" w:color="auto"/>
            </w:tcBorders>
            <w:vMerge w:val="continue"/>
          </w:tcPr>
          <w:p>
            <w:pPr>
              <w:spacing w:after="0"/>
              <w:rPr>
                <w:sz w:val="7"/>
                <w:szCs w:val="7"/>
                <w:color w:val="auto"/>
              </w:rPr>
            </w:pPr>
          </w:p>
        </w:tc>
        <w:tc>
          <w:tcPr>
            <w:tcW w:w="2680" w:type="dxa"/>
            <w:vAlign w:val="bottom"/>
            <w:tcBorders>
              <w:right w:val="single" w:sz="8" w:color="auto"/>
            </w:tcBorders>
            <w:gridSpan w:val="3"/>
            <w:vMerge w:val="continue"/>
          </w:tcPr>
          <w:p>
            <w:pPr>
              <w:spacing w:after="0"/>
              <w:rPr>
                <w:sz w:val="7"/>
                <w:szCs w:val="7"/>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820" w:type="dxa"/>
            <w:vAlign w:val="bottom"/>
            <w:tcBorders>
              <w:left w:val="single" w:sz="8" w:color="auto"/>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Muprhy Oil Corporation</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MUFG / Union Bank</w:t>
            </w: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USD A/C # 0820000973</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Money Market Cash</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94"/>
        </w:trPr>
        <w:tc>
          <w:tcPr>
            <w:tcW w:w="2820" w:type="dxa"/>
            <w:vAlign w:val="bottom"/>
            <w:tcBorders>
              <w:left w:val="single" w:sz="8" w:color="auto"/>
              <w:right w:val="single" w:sz="8" w:color="auto"/>
            </w:tcBorders>
            <w:vMerge w:val="continue"/>
          </w:tcPr>
          <w:p>
            <w:pPr>
              <w:spacing w:after="0"/>
              <w:rPr>
                <w:sz w:val="8"/>
                <w:szCs w:val="8"/>
                <w:color w:val="auto"/>
              </w:rPr>
            </w:pPr>
          </w:p>
        </w:tc>
        <w:tc>
          <w:tcPr>
            <w:tcW w:w="3000" w:type="dxa"/>
            <w:vAlign w:val="bottom"/>
            <w:tcBorders>
              <w:right w:val="single" w:sz="8" w:color="auto"/>
            </w:tcBorders>
            <w:vMerge w:val="continue"/>
          </w:tcPr>
          <w:p>
            <w:pPr>
              <w:spacing w:after="0"/>
              <w:rPr>
                <w:sz w:val="8"/>
                <w:szCs w:val="8"/>
                <w:color w:val="auto"/>
              </w:rPr>
            </w:pPr>
          </w:p>
        </w:tc>
        <w:tc>
          <w:tcPr>
            <w:tcW w:w="2680" w:type="dxa"/>
            <w:vAlign w:val="bottom"/>
            <w:tcBorders>
              <w:right w:val="single" w:sz="8" w:color="auto"/>
            </w:tcBorders>
            <w:gridSpan w:val="3"/>
            <w:vMerge w:val="continue"/>
          </w:tcPr>
          <w:p>
            <w:pPr>
              <w:spacing w:after="0"/>
              <w:rPr>
                <w:sz w:val="8"/>
                <w:szCs w:val="8"/>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820" w:type="dxa"/>
            <w:vAlign w:val="bottom"/>
            <w:tcBorders>
              <w:left w:val="single" w:sz="8" w:color="auto"/>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Cadence Bank, El Dorado, AR</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USD A/C # 78660842</w:t>
            </w:r>
          </w:p>
        </w:tc>
        <w:tc>
          <w:tcPr>
            <w:tcW w:w="10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Money Market Cash</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94"/>
        </w:trPr>
        <w:tc>
          <w:tcPr>
            <w:tcW w:w="2820" w:type="dxa"/>
            <w:vAlign w:val="bottom"/>
            <w:tcBorders>
              <w:left w:val="single" w:sz="8" w:color="auto"/>
              <w:right w:val="single" w:sz="8" w:color="auto"/>
            </w:tcBorders>
            <w:vMerge w:val="continue"/>
          </w:tcPr>
          <w:p>
            <w:pPr>
              <w:spacing w:after="0"/>
              <w:rPr>
                <w:sz w:val="8"/>
                <w:szCs w:val="8"/>
                <w:color w:val="auto"/>
              </w:rPr>
            </w:pPr>
          </w:p>
        </w:tc>
        <w:tc>
          <w:tcPr>
            <w:tcW w:w="3000" w:type="dxa"/>
            <w:vAlign w:val="bottom"/>
            <w:tcBorders>
              <w:right w:val="single" w:sz="8" w:color="auto"/>
            </w:tcBorders>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820" w:type="dxa"/>
            <w:vAlign w:val="bottom"/>
            <w:tcBorders>
              <w:left w:val="single" w:sz="8" w:color="auto"/>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USD A/C # 370823</w:t>
            </w:r>
          </w:p>
        </w:tc>
        <w:tc>
          <w:tcPr>
            <w:tcW w:w="10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Money Market Cash</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86"/>
        </w:trPr>
        <w:tc>
          <w:tcPr>
            <w:tcW w:w="2820" w:type="dxa"/>
            <w:vAlign w:val="bottom"/>
            <w:tcBorders>
              <w:left w:val="single" w:sz="8" w:color="auto"/>
              <w:right w:val="single" w:sz="8" w:color="auto"/>
            </w:tcBorders>
            <w:vMerge w:val="continue"/>
          </w:tcPr>
          <w:p>
            <w:pPr>
              <w:spacing w:after="0"/>
              <w:rPr>
                <w:sz w:val="7"/>
                <w:szCs w:val="7"/>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(SMBC)</w:t>
            </w:r>
          </w:p>
        </w:tc>
        <w:tc>
          <w:tcPr>
            <w:tcW w:w="1660" w:type="dxa"/>
            <w:vAlign w:val="bottom"/>
            <w:gridSpan w:val="2"/>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820" w:type="dxa"/>
            <w:vAlign w:val="bottom"/>
            <w:tcBorders>
              <w:left w:val="single" w:sz="8" w:color="auto"/>
              <w:right w:val="single" w:sz="8" w:color="auto"/>
            </w:tcBorders>
          </w:tcPr>
          <w:p>
            <w:pPr>
              <w:spacing w:after="0"/>
              <w:rPr>
                <w:sz w:val="12"/>
                <w:szCs w:val="12"/>
                <w:color w:val="auto"/>
              </w:rPr>
            </w:pPr>
          </w:p>
        </w:tc>
        <w:tc>
          <w:tcPr>
            <w:tcW w:w="3000" w:type="dxa"/>
            <w:vAlign w:val="bottom"/>
            <w:tcBorders>
              <w:right w:val="single" w:sz="8" w:color="auto"/>
            </w:tcBorders>
            <w:vMerge w:val="continue"/>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8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8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Australia Oil Pty. Ltd.</w:t>
            </w: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J. P. Morgan Chase Bank, Sydney,</w:t>
            </w:r>
          </w:p>
        </w:tc>
        <w:tc>
          <w:tcPr>
            <w:tcW w:w="26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AUD A/C # 083602700</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88"/>
        </w:trPr>
        <w:tc>
          <w:tcPr>
            <w:tcW w:w="2820" w:type="dxa"/>
            <w:vAlign w:val="bottom"/>
            <w:tcBorders>
              <w:left w:val="single" w:sz="8" w:color="auto"/>
              <w:right w:val="single" w:sz="8" w:color="auto"/>
            </w:tcBorders>
            <w:vMerge w:val="continue"/>
          </w:tcPr>
          <w:p>
            <w:pPr>
              <w:spacing w:after="0"/>
              <w:rPr>
                <w:sz w:val="7"/>
                <w:szCs w:val="7"/>
                <w:color w:val="auto"/>
              </w:rPr>
            </w:pPr>
          </w:p>
        </w:tc>
        <w:tc>
          <w:tcPr>
            <w:tcW w:w="3000" w:type="dxa"/>
            <w:vAlign w:val="bottom"/>
            <w:tcBorders>
              <w:right w:val="single" w:sz="8" w:color="auto"/>
            </w:tcBorders>
            <w:vMerge w:val="continue"/>
          </w:tcPr>
          <w:p>
            <w:pPr>
              <w:spacing w:after="0"/>
              <w:rPr>
                <w:sz w:val="7"/>
                <w:szCs w:val="7"/>
                <w:color w:val="auto"/>
              </w:rPr>
            </w:pPr>
          </w:p>
        </w:tc>
        <w:tc>
          <w:tcPr>
            <w:tcW w:w="268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USD A/C # 0083602735</w:t>
            </w:r>
          </w:p>
        </w:tc>
        <w:tc>
          <w:tcPr>
            <w:tcW w:w="172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820" w:type="dxa"/>
            <w:vAlign w:val="bottom"/>
            <w:tcBorders>
              <w:left w:val="single" w:sz="8" w:color="auto"/>
              <w:right w:val="single" w:sz="8" w:color="auto"/>
            </w:tcBorders>
          </w:tcPr>
          <w:p>
            <w:pPr>
              <w:spacing w:after="0"/>
              <w:rPr>
                <w:sz w:val="14"/>
                <w:szCs w:val="14"/>
                <w:color w:val="auto"/>
              </w:rPr>
            </w:pPr>
          </w:p>
        </w:tc>
        <w:tc>
          <w:tcPr>
            <w:tcW w:w="3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680" w:type="dxa"/>
            <w:vAlign w:val="bottom"/>
            <w:tcBorders>
              <w:right w:val="single" w:sz="8" w:color="auto"/>
            </w:tcBorders>
            <w:gridSpan w:val="3"/>
            <w:vMerge w:val="continue"/>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20" w:type="dxa"/>
            <w:vAlign w:val="bottom"/>
            <w:tcBorders>
              <w:left w:val="single" w:sz="8" w:color="auto"/>
              <w:right w:val="single" w:sz="8" w:color="auto"/>
            </w:tcBorders>
          </w:tcPr>
          <w:p>
            <w:pPr>
              <w:spacing w:after="0"/>
              <w:rPr>
                <w:sz w:val="5"/>
                <w:szCs w:val="5"/>
                <w:color w:val="auto"/>
              </w:rPr>
            </w:pPr>
          </w:p>
        </w:tc>
        <w:tc>
          <w:tcPr>
            <w:tcW w:w="3000" w:type="dxa"/>
            <w:vAlign w:val="bottom"/>
            <w:tcBorders>
              <w:right w:val="single" w:sz="8" w:color="auto"/>
            </w:tcBorders>
            <w:vMerge w:val="continue"/>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182174051.6</w:t>
      </w:r>
    </w:p>
    <w:p>
      <w:pPr>
        <w:sectPr>
          <w:pgSz w:w="11900" w:h="16838" w:orient="portrait"/>
          <w:cols w:equalWidth="0" w:num="1">
            <w:col w:w="11100"/>
          </w:cols>
          <w:pgMar w:left="320" w:top="1440" w:right="479" w:bottom="1440" w:gutter="0" w:footer="0" w:header="0"/>
          <w:type w:val="continuous"/>
        </w:sectPr>
      </w:pPr>
    </w:p>
    <w:bookmarkStart w:id="162" w:name="page163"/>
    <w:bookmarkEnd w:id="162"/>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140" w:type="dxa"/>
            <w:vAlign w:val="bottom"/>
            <w:tcBorders>
              <w:right w:val="single" w:sz="8" w:color="auto"/>
            </w:tcBorders>
          </w:tcPr>
          <w:p>
            <w:pPr>
              <w:spacing w:after="0"/>
              <w:rPr>
                <w:sz w:val="24"/>
                <w:szCs w:val="24"/>
                <w:color w:val="auto"/>
              </w:rPr>
            </w:pPr>
          </w:p>
        </w:tc>
        <w:tc>
          <w:tcPr>
            <w:tcW w:w="2820" w:type="dxa"/>
            <w:vAlign w:val="bottom"/>
            <w:tcBorders>
              <w:top w:val="single" w:sz="8" w:color="auto"/>
              <w:right w:val="single" w:sz="8" w:color="auto"/>
            </w:tcBorders>
            <w:shd w:val="clear" w:color="auto" w:fill="D9D9D9"/>
          </w:tcPr>
          <w:p>
            <w:pPr>
              <w:spacing w:after="0"/>
              <w:rPr>
                <w:sz w:val="24"/>
                <w:szCs w:val="24"/>
                <w:color w:val="auto"/>
              </w:rPr>
            </w:pPr>
          </w:p>
        </w:tc>
        <w:tc>
          <w:tcPr>
            <w:tcW w:w="3000" w:type="dxa"/>
            <w:vAlign w:val="bottom"/>
            <w:tcBorders>
              <w:top w:val="single" w:sz="8" w:color="auto"/>
              <w:right w:val="single" w:sz="8" w:color="auto"/>
            </w:tcBorders>
            <w:vMerge w:val="restart"/>
            <w:shd w:val="clear" w:color="auto" w:fill="D9D9D9"/>
          </w:tcPr>
          <w:p>
            <w:pPr>
              <w:ind w:left="8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2660" w:type="dxa"/>
            <w:vAlign w:val="bottom"/>
            <w:tcBorders>
              <w:top w:val="single" w:sz="8" w:color="auto"/>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720" w:type="dxa"/>
            <w:vAlign w:val="bottom"/>
            <w:tcBorders>
              <w:top w:val="single" w:sz="8" w:color="auto"/>
              <w:right w:val="single" w:sz="8" w:color="auto"/>
            </w:tcBorders>
            <w:shd w:val="clear" w:color="auto" w:fill="D9D9D9"/>
          </w:tcPr>
          <w:p>
            <w:pPr>
              <w:spacing w:after="0"/>
              <w:rPr>
                <w:sz w:val="24"/>
                <w:szCs w:val="24"/>
                <w:color w:val="auto"/>
              </w:rPr>
            </w:pPr>
          </w:p>
        </w:tc>
        <w:tc>
          <w:tcPr>
            <w:tcW w:w="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Excluded</w:t>
            </w:r>
          </w:p>
        </w:tc>
        <w:tc>
          <w:tcPr>
            <w:tcW w:w="0" w:type="dxa"/>
            <w:vAlign w:val="bottom"/>
          </w:tcPr>
          <w:p>
            <w:pPr>
              <w:spacing w:after="0"/>
              <w:rPr>
                <w:sz w:val="1"/>
                <w:szCs w:val="1"/>
                <w:color w:val="auto"/>
              </w:rPr>
            </w:pPr>
          </w:p>
        </w:tc>
      </w:tr>
      <w:tr>
        <w:trPr>
          <w:trHeight w:val="134"/>
        </w:trPr>
        <w:tc>
          <w:tcPr>
            <w:tcW w:w="14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vMerge w:val="restart"/>
            <w:shd w:val="clear" w:color="auto" w:fill="D9D9D9"/>
          </w:tcPr>
          <w:p>
            <w:pPr>
              <w:ind w:left="108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3000" w:type="dxa"/>
            <w:vAlign w:val="bottom"/>
            <w:tcBorders>
              <w:right w:val="single" w:sz="8" w:color="auto"/>
            </w:tcBorders>
            <w:vMerge w:val="continue"/>
            <w:shd w:val="clear" w:color="auto" w:fill="D9D9D9"/>
          </w:tcPr>
          <w:p>
            <w:pPr>
              <w:spacing w:after="0"/>
              <w:rPr>
                <w:sz w:val="11"/>
                <w:szCs w:val="11"/>
                <w:color w:val="auto"/>
              </w:rPr>
            </w:pPr>
          </w:p>
        </w:tc>
        <w:tc>
          <w:tcPr>
            <w:tcW w:w="2660" w:type="dxa"/>
            <w:vAlign w:val="bottom"/>
            <w:tcBorders>
              <w:right w:val="single" w:sz="8" w:color="auto"/>
            </w:tcBorders>
            <w:vMerge w:val="continue"/>
            <w:shd w:val="clear" w:color="auto" w:fill="D9D9D9"/>
          </w:tcPr>
          <w:p>
            <w:pPr>
              <w:spacing w:after="0"/>
              <w:rPr>
                <w:sz w:val="11"/>
                <w:szCs w:val="11"/>
                <w:color w:val="auto"/>
              </w:rPr>
            </w:pPr>
          </w:p>
        </w:tc>
        <w:tc>
          <w:tcPr>
            <w:tcW w:w="1720" w:type="dxa"/>
            <w:vAlign w:val="bottom"/>
            <w:tcBorders>
              <w:right w:val="single" w:sz="8" w:color="auto"/>
            </w:tcBorders>
            <w:vMerge w:val="restart"/>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Account Type</w:t>
            </w:r>
          </w:p>
        </w:tc>
        <w:tc>
          <w:tcPr>
            <w:tcW w:w="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DDA</w:t>
            </w:r>
          </w:p>
        </w:tc>
        <w:tc>
          <w:tcPr>
            <w:tcW w:w="0" w:type="dxa"/>
            <w:vAlign w:val="bottom"/>
          </w:tcPr>
          <w:p>
            <w:pPr>
              <w:spacing w:after="0"/>
              <w:rPr>
                <w:sz w:val="1"/>
                <w:szCs w:val="1"/>
                <w:color w:val="auto"/>
              </w:rPr>
            </w:pPr>
          </w:p>
        </w:tc>
      </w:tr>
      <w:tr>
        <w:trPr>
          <w:trHeight w:val="80"/>
        </w:trPr>
        <w:tc>
          <w:tcPr>
            <w:tcW w:w="14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vMerge w:val="continue"/>
            <w:shd w:val="clear" w:color="auto" w:fill="D9D9D9"/>
          </w:tcPr>
          <w:p>
            <w:pPr>
              <w:spacing w:after="0"/>
              <w:rPr>
                <w:sz w:val="6"/>
                <w:szCs w:val="6"/>
                <w:color w:val="auto"/>
              </w:rPr>
            </w:pPr>
          </w:p>
        </w:tc>
        <w:tc>
          <w:tcPr>
            <w:tcW w:w="3000" w:type="dxa"/>
            <w:vAlign w:val="bottom"/>
            <w:tcBorders>
              <w:right w:val="single" w:sz="8" w:color="auto"/>
            </w:tcBorders>
            <w:vMerge w:val="restart"/>
            <w:shd w:val="clear" w:color="auto" w:fill="D9D9D9"/>
          </w:tcPr>
          <w:p>
            <w:pPr>
              <w:ind w:left="980"/>
              <w:spacing w:after="0"/>
              <w:rPr>
                <w:sz w:val="20"/>
                <w:szCs w:val="20"/>
                <w:color w:val="auto"/>
              </w:rPr>
            </w:pPr>
            <w:r>
              <w:rPr>
                <w:rFonts w:ascii="Times New Roman" w:cs="Times New Roman" w:eastAsia="Times New Roman" w:hAnsi="Times New Roman"/>
                <w:sz w:val="18"/>
                <w:szCs w:val="18"/>
                <w:b w:val="1"/>
                <w:bCs w:val="1"/>
                <w:color w:val="auto"/>
              </w:rPr>
              <w:t>Institution or</w:t>
            </w:r>
          </w:p>
        </w:tc>
        <w:tc>
          <w:tcPr>
            <w:tcW w:w="2660" w:type="dxa"/>
            <w:vAlign w:val="bottom"/>
            <w:tcBorders>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720" w:type="dxa"/>
            <w:vAlign w:val="bottom"/>
            <w:tcBorders>
              <w:right w:val="single" w:sz="8" w:color="auto"/>
            </w:tcBorders>
            <w:vMerge w:val="continue"/>
            <w:shd w:val="clear" w:color="auto" w:fill="D9D9D9"/>
          </w:tcPr>
          <w:p>
            <w:pPr>
              <w:spacing w:after="0"/>
              <w:rPr>
                <w:sz w:val="6"/>
                <w:szCs w:val="6"/>
                <w:color w:val="auto"/>
              </w:rPr>
            </w:pPr>
          </w:p>
        </w:tc>
        <w:tc>
          <w:tcPr>
            <w:tcW w:w="760" w:type="dxa"/>
            <w:vAlign w:val="bottom"/>
            <w:tcBorders>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shd w:val="clear" w:color="auto" w:fill="D9D9D9"/>
          </w:tcPr>
          <w:p>
            <w:pPr>
              <w:spacing w:after="0"/>
              <w:rPr>
                <w:sz w:val="11"/>
                <w:szCs w:val="11"/>
                <w:color w:val="auto"/>
              </w:rPr>
            </w:pPr>
          </w:p>
        </w:tc>
        <w:tc>
          <w:tcPr>
            <w:tcW w:w="3000" w:type="dxa"/>
            <w:vAlign w:val="bottom"/>
            <w:tcBorders>
              <w:right w:val="single" w:sz="8" w:color="auto"/>
            </w:tcBorders>
            <w:vMerge w:val="continue"/>
            <w:shd w:val="clear" w:color="auto" w:fill="D9D9D9"/>
          </w:tcPr>
          <w:p>
            <w:pPr>
              <w:spacing w:after="0"/>
              <w:rPr>
                <w:sz w:val="11"/>
                <w:szCs w:val="11"/>
                <w:color w:val="auto"/>
              </w:rPr>
            </w:pPr>
          </w:p>
        </w:tc>
        <w:tc>
          <w:tcPr>
            <w:tcW w:w="2660" w:type="dxa"/>
            <w:vAlign w:val="bottom"/>
            <w:tcBorders>
              <w:right w:val="single" w:sz="8" w:color="auto"/>
            </w:tcBorders>
            <w:vMerge w:val="continue"/>
            <w:shd w:val="clear" w:color="auto" w:fill="D9D9D9"/>
          </w:tcPr>
          <w:p>
            <w:pPr>
              <w:spacing w:after="0"/>
              <w:rPr>
                <w:sz w:val="11"/>
                <w:szCs w:val="11"/>
                <w:color w:val="auto"/>
              </w:rPr>
            </w:pPr>
          </w:p>
        </w:tc>
        <w:tc>
          <w:tcPr>
            <w:tcW w:w="1720" w:type="dxa"/>
            <w:vAlign w:val="bottom"/>
            <w:tcBorders>
              <w:right w:val="single" w:sz="8" w:color="auto"/>
            </w:tcBorders>
            <w:shd w:val="clear" w:color="auto" w:fill="D9D9D9"/>
          </w:tcPr>
          <w:p>
            <w:pPr>
              <w:spacing w:after="0"/>
              <w:rPr>
                <w:sz w:val="11"/>
                <w:szCs w:val="11"/>
                <w:color w:val="auto"/>
              </w:rPr>
            </w:pPr>
          </w:p>
        </w:tc>
        <w:tc>
          <w:tcPr>
            <w:tcW w:w="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(Y/N)</w:t>
            </w:r>
          </w:p>
        </w:tc>
        <w:tc>
          <w:tcPr>
            <w:tcW w:w="0" w:type="dxa"/>
            <w:vAlign w:val="bottom"/>
          </w:tcPr>
          <w:p>
            <w:pPr>
              <w:spacing w:after="0"/>
              <w:rPr>
                <w:sz w:val="1"/>
                <w:szCs w:val="1"/>
                <w:color w:val="auto"/>
              </w:rPr>
            </w:pPr>
          </w:p>
        </w:tc>
      </w:tr>
      <w:tr>
        <w:trPr>
          <w:trHeight w:val="103"/>
        </w:trPr>
        <w:tc>
          <w:tcPr>
            <w:tcW w:w="140" w:type="dxa"/>
            <w:vAlign w:val="bottom"/>
            <w:tcBorders>
              <w:right w:val="single" w:sz="8" w:color="auto"/>
            </w:tcBorders>
          </w:tcPr>
          <w:p>
            <w:pPr>
              <w:spacing w:after="0"/>
              <w:rPr>
                <w:sz w:val="8"/>
                <w:szCs w:val="8"/>
                <w:color w:val="auto"/>
              </w:rPr>
            </w:pPr>
          </w:p>
        </w:tc>
        <w:tc>
          <w:tcPr>
            <w:tcW w:w="2820" w:type="dxa"/>
            <w:vAlign w:val="bottom"/>
            <w:tcBorders>
              <w:right w:val="single" w:sz="8" w:color="auto"/>
            </w:tcBorders>
            <w:shd w:val="clear" w:color="auto" w:fill="D9D9D9"/>
          </w:tcPr>
          <w:p>
            <w:pPr>
              <w:spacing w:after="0"/>
              <w:rPr>
                <w:sz w:val="8"/>
                <w:szCs w:val="8"/>
                <w:color w:val="auto"/>
              </w:rPr>
            </w:pPr>
          </w:p>
        </w:tc>
        <w:tc>
          <w:tcPr>
            <w:tcW w:w="3000" w:type="dxa"/>
            <w:vAlign w:val="bottom"/>
            <w:tcBorders>
              <w:right w:val="single" w:sz="8" w:color="auto"/>
            </w:tcBorders>
            <w:vMerge w:val="restart"/>
            <w:shd w:val="clear" w:color="auto" w:fill="D9D9D9"/>
          </w:tcPr>
          <w:p>
            <w:pPr>
              <w:ind w:left="980"/>
              <w:spacing w:after="0"/>
              <w:rPr>
                <w:sz w:val="20"/>
                <w:szCs w:val="20"/>
                <w:color w:val="auto"/>
              </w:rPr>
            </w:pPr>
            <w:r>
              <w:rPr>
                <w:rFonts w:ascii="Times New Roman" w:cs="Times New Roman" w:eastAsia="Times New Roman" w:hAnsi="Times New Roman"/>
                <w:sz w:val="18"/>
                <w:szCs w:val="18"/>
                <w:b w:val="1"/>
                <w:bCs w:val="1"/>
                <w:color w:val="auto"/>
              </w:rPr>
              <w:t>Intermediary</w:t>
            </w:r>
          </w:p>
        </w:tc>
        <w:tc>
          <w:tcPr>
            <w:tcW w:w="2660" w:type="dxa"/>
            <w:vAlign w:val="bottom"/>
            <w:tcBorders>
              <w:right w:val="single" w:sz="8" w:color="auto"/>
            </w:tcBorders>
            <w:shd w:val="clear" w:color="auto" w:fill="D9D9D9"/>
          </w:tcPr>
          <w:p>
            <w:pPr>
              <w:spacing w:after="0"/>
              <w:rPr>
                <w:sz w:val="8"/>
                <w:szCs w:val="8"/>
                <w:color w:val="auto"/>
              </w:rPr>
            </w:pPr>
          </w:p>
        </w:tc>
        <w:tc>
          <w:tcPr>
            <w:tcW w:w="1720" w:type="dxa"/>
            <w:vAlign w:val="bottom"/>
            <w:tcBorders>
              <w:right w:val="single" w:sz="8" w:color="auto"/>
            </w:tcBorders>
            <w:shd w:val="clear" w:color="auto" w:fill="D9D9D9"/>
          </w:tcPr>
          <w:p>
            <w:pPr>
              <w:spacing w:after="0"/>
              <w:rPr>
                <w:sz w:val="8"/>
                <w:szCs w:val="8"/>
                <w:color w:val="auto"/>
              </w:rPr>
            </w:pPr>
          </w:p>
        </w:tc>
        <w:tc>
          <w:tcPr>
            <w:tcW w:w="7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40" w:type="dxa"/>
            <w:vAlign w:val="bottom"/>
            <w:tcBorders>
              <w:right w:val="single" w:sz="8" w:color="auto"/>
            </w:tcBorders>
          </w:tcPr>
          <w:p>
            <w:pPr>
              <w:spacing w:after="0"/>
              <w:rPr>
                <w:sz w:val="13"/>
                <w:szCs w:val="13"/>
                <w:color w:val="auto"/>
              </w:rPr>
            </w:pPr>
          </w:p>
        </w:tc>
        <w:tc>
          <w:tcPr>
            <w:tcW w:w="2820" w:type="dxa"/>
            <w:vAlign w:val="bottom"/>
            <w:tcBorders>
              <w:bottom w:val="single" w:sz="8" w:color="D9D9D9"/>
              <w:right w:val="single" w:sz="8" w:color="auto"/>
            </w:tcBorders>
            <w:shd w:val="clear" w:color="auto" w:fill="D9D9D9"/>
          </w:tcPr>
          <w:p>
            <w:pPr>
              <w:spacing w:after="0"/>
              <w:rPr>
                <w:sz w:val="13"/>
                <w:szCs w:val="13"/>
                <w:color w:val="auto"/>
              </w:rPr>
            </w:pPr>
          </w:p>
        </w:tc>
        <w:tc>
          <w:tcPr>
            <w:tcW w:w="300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2660" w:type="dxa"/>
            <w:vAlign w:val="bottom"/>
            <w:tcBorders>
              <w:bottom w:val="single" w:sz="8" w:color="D9D9D9"/>
              <w:right w:val="single" w:sz="8" w:color="auto"/>
            </w:tcBorders>
            <w:shd w:val="clear" w:color="auto" w:fill="D9D9D9"/>
          </w:tcPr>
          <w:p>
            <w:pPr>
              <w:spacing w:after="0"/>
              <w:rPr>
                <w:sz w:val="13"/>
                <w:szCs w:val="13"/>
                <w:color w:val="auto"/>
              </w:rPr>
            </w:pPr>
          </w:p>
        </w:tc>
        <w:tc>
          <w:tcPr>
            <w:tcW w:w="1720" w:type="dxa"/>
            <w:vAlign w:val="bottom"/>
            <w:tcBorders>
              <w:bottom w:val="single" w:sz="8" w:color="D9D9D9"/>
              <w:right w:val="single" w:sz="8" w:color="auto"/>
            </w:tcBorders>
            <w:shd w:val="clear" w:color="auto" w:fill="D9D9D9"/>
          </w:tcPr>
          <w:p>
            <w:pPr>
              <w:spacing w:after="0"/>
              <w:rPr>
                <w:sz w:val="13"/>
                <w:szCs w:val="13"/>
                <w:color w:val="auto"/>
              </w:rPr>
            </w:pPr>
          </w:p>
        </w:tc>
        <w:tc>
          <w:tcPr>
            <w:tcW w:w="760" w:type="dxa"/>
            <w:vAlign w:val="bottom"/>
            <w:tcBorders>
              <w:bottom w:val="single" w:sz="8" w:color="D9D9D9"/>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0" w:type="dxa"/>
            <w:vAlign w:val="bottom"/>
            <w:tcBorders>
              <w:right w:val="single" w:sz="8" w:color="auto"/>
            </w:tcBorders>
          </w:tcPr>
          <w:p>
            <w:pPr>
              <w:spacing w:after="0"/>
              <w:rPr>
                <w:sz w:val="23"/>
                <w:szCs w:val="23"/>
                <w:color w:val="auto"/>
              </w:rPr>
            </w:pPr>
          </w:p>
        </w:tc>
        <w:tc>
          <w:tcPr>
            <w:tcW w:w="2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Australia AC/P58 Oil Pty</w:t>
            </w:r>
          </w:p>
        </w:tc>
        <w:tc>
          <w:tcPr>
            <w:tcW w:w="30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 P. Morgan Chase Bank, Sydney,</w:t>
            </w:r>
          </w:p>
        </w:tc>
        <w:tc>
          <w:tcPr>
            <w:tcW w:w="2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0083602882</w:t>
            </w:r>
          </w:p>
        </w:tc>
        <w:tc>
          <w:tcPr>
            <w:tcW w:w="17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3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6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4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Murphy Petroleum Ltd.</w:t>
            </w:r>
          </w:p>
        </w:tc>
        <w:tc>
          <w:tcPr>
            <w:tcW w:w="3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of America NA London, UK</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 A/C # 80451017</w:t>
            </w: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20" w:type="dxa"/>
            <w:vAlign w:val="bottom"/>
            <w:tcBorders>
              <w:right w:val="single" w:sz="8" w:color="auto"/>
            </w:tcBorders>
            <w:vMerge w:val="continue"/>
          </w:tcPr>
          <w:p>
            <w:pPr>
              <w:spacing w:after="0"/>
              <w:rPr>
                <w:sz w:val="9"/>
                <w:szCs w:val="9"/>
                <w:color w:val="auto"/>
              </w:rPr>
            </w:pPr>
          </w:p>
        </w:tc>
        <w:tc>
          <w:tcPr>
            <w:tcW w:w="300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80451025</w:t>
            </w:r>
          </w:p>
        </w:tc>
        <w:tc>
          <w:tcPr>
            <w:tcW w:w="1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40" w:type="dxa"/>
            <w:vAlign w:val="bottom"/>
            <w:tcBorders>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14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MURCO Petroleum Ltd.</w:t>
            </w:r>
          </w:p>
        </w:tc>
        <w:tc>
          <w:tcPr>
            <w:tcW w:w="3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of America NA London, UK</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GBP A/C # 80449020</w:t>
            </w: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07"/>
        </w:trPr>
        <w:tc>
          <w:tcPr>
            <w:tcW w:w="140" w:type="dxa"/>
            <w:vAlign w:val="bottom"/>
            <w:tcBorders>
              <w:right w:val="single" w:sz="8" w:color="auto"/>
            </w:tcBorders>
          </w:tcPr>
          <w:p>
            <w:pPr>
              <w:spacing w:after="0"/>
              <w:rPr>
                <w:sz w:val="9"/>
                <w:szCs w:val="9"/>
                <w:color w:val="auto"/>
              </w:rPr>
            </w:pPr>
          </w:p>
        </w:tc>
        <w:tc>
          <w:tcPr>
            <w:tcW w:w="2820" w:type="dxa"/>
            <w:vAlign w:val="bottom"/>
            <w:tcBorders>
              <w:right w:val="single" w:sz="8" w:color="auto"/>
            </w:tcBorders>
            <w:vMerge w:val="continue"/>
          </w:tcPr>
          <w:p>
            <w:pPr>
              <w:spacing w:after="0"/>
              <w:rPr>
                <w:sz w:val="9"/>
                <w:szCs w:val="9"/>
                <w:color w:val="auto"/>
              </w:rPr>
            </w:pPr>
          </w:p>
        </w:tc>
        <w:tc>
          <w:tcPr>
            <w:tcW w:w="300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80449012</w:t>
            </w:r>
          </w:p>
        </w:tc>
        <w:tc>
          <w:tcPr>
            <w:tcW w:w="1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40" w:type="dxa"/>
            <w:vAlign w:val="bottom"/>
            <w:tcBorders>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6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MUFG / Union Bank</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USD A/C # 0021420914</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Spain Oil Company</w:t>
            </w:r>
          </w:p>
        </w:tc>
        <w:tc>
          <w:tcPr>
            <w:tcW w:w="3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Bank of America Merrill Lynch Intl Ltd.</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EUR A/C # ES79 1485 0001 0900</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187"/>
        </w:trPr>
        <w:tc>
          <w:tcPr>
            <w:tcW w:w="140" w:type="dxa"/>
            <w:vAlign w:val="bottom"/>
            <w:tcBorders>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3663 1014</w:t>
            </w:r>
          </w:p>
        </w:tc>
        <w:tc>
          <w:tcPr>
            <w:tcW w:w="17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Exploration &amp; Production</w:t>
            </w:r>
          </w:p>
        </w:tc>
        <w:tc>
          <w:tcPr>
            <w:tcW w:w="300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w:t>
            </w:r>
          </w:p>
        </w:tc>
        <w:tc>
          <w:tcPr>
            <w:tcW w:w="3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JP Morgan Chase Bank, N.A.</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528207496</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Escrow Account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239"/>
        </w:trPr>
        <w:tc>
          <w:tcPr>
            <w:tcW w:w="140" w:type="dxa"/>
            <w:vAlign w:val="bottom"/>
            <w:tcBorders>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USA/Y Bar Ranch Ltd.</w:t>
            </w:r>
          </w:p>
        </w:tc>
        <w:tc>
          <w:tcPr>
            <w:tcW w:w="300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Oil Corporation</w:t>
            </w:r>
          </w:p>
        </w:tc>
        <w:tc>
          <w:tcPr>
            <w:tcW w:w="3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Scotiabank, Ontario, Canada</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129890008818</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Murphy Oil Company Ltd.</w:t>
            </w:r>
          </w:p>
        </w:tc>
        <w:tc>
          <w:tcPr>
            <w:tcW w:w="3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Scotiabank, Ontario, Canada</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10009 0439118</w:t>
            </w: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vMerge w:val="continue"/>
          </w:tcPr>
          <w:p>
            <w:pPr>
              <w:spacing w:after="0"/>
              <w:rPr>
                <w:sz w:val="2"/>
                <w:szCs w:val="2"/>
                <w:color w:val="auto"/>
              </w:rPr>
            </w:pPr>
          </w:p>
        </w:tc>
        <w:tc>
          <w:tcPr>
            <w:tcW w:w="3000" w:type="dxa"/>
            <w:vAlign w:val="bottom"/>
            <w:tcBorders>
              <w:right w:val="single" w:sz="8" w:color="auto"/>
            </w:tcBorders>
            <w:vMerge w:val="continue"/>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76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4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129898926913</w:t>
            </w:r>
          </w:p>
        </w:tc>
        <w:tc>
          <w:tcPr>
            <w:tcW w:w="172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300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Murphy Oil Company Ltd.</w:t>
            </w:r>
          </w:p>
        </w:tc>
        <w:tc>
          <w:tcPr>
            <w:tcW w:w="3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Scotiabank, Ontario, Canada</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129890007013</w:t>
            </w: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Pool Accounts</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vMerge w:val="continue"/>
          </w:tcPr>
          <w:p>
            <w:pPr>
              <w:spacing w:after="0"/>
              <w:rPr>
                <w:sz w:val="2"/>
                <w:szCs w:val="2"/>
                <w:color w:val="auto"/>
              </w:rPr>
            </w:pPr>
          </w:p>
        </w:tc>
        <w:tc>
          <w:tcPr>
            <w:tcW w:w="3000" w:type="dxa"/>
            <w:vAlign w:val="bottom"/>
            <w:tcBorders>
              <w:right w:val="single" w:sz="8" w:color="auto"/>
            </w:tcBorders>
            <w:vMerge w:val="continue"/>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76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4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129890349518</w:t>
            </w:r>
          </w:p>
        </w:tc>
        <w:tc>
          <w:tcPr>
            <w:tcW w:w="172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300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Murphy Canada Ltd.</w:t>
            </w:r>
          </w:p>
        </w:tc>
        <w:tc>
          <w:tcPr>
            <w:tcW w:w="3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Scotiabank, Ontario, Canada</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12989 0003816</w:t>
            </w: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vMerge w:val="continue"/>
          </w:tcPr>
          <w:p>
            <w:pPr>
              <w:spacing w:after="0"/>
              <w:rPr>
                <w:sz w:val="2"/>
                <w:szCs w:val="2"/>
                <w:color w:val="auto"/>
              </w:rPr>
            </w:pPr>
          </w:p>
        </w:tc>
        <w:tc>
          <w:tcPr>
            <w:tcW w:w="3000" w:type="dxa"/>
            <w:vAlign w:val="bottom"/>
            <w:tcBorders>
              <w:right w:val="single" w:sz="8" w:color="auto"/>
            </w:tcBorders>
            <w:vMerge w:val="continue"/>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76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4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3000" w:type="dxa"/>
            <w:vAlign w:val="bottom"/>
            <w:tcBorders>
              <w:right w:val="single" w:sz="8" w:color="auto"/>
            </w:tcBorders>
            <w:vMerge w:val="continue"/>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USD A/C # 12989 0350311</w:t>
            </w:r>
          </w:p>
        </w:tc>
        <w:tc>
          <w:tcPr>
            <w:tcW w:w="172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 w:type="dxa"/>
            <w:vAlign w:val="bottom"/>
            <w:tcBorders>
              <w:right w:val="single" w:sz="8" w:color="auto"/>
            </w:tcBorders>
          </w:tcPr>
          <w:p>
            <w:pPr>
              <w:spacing w:after="0"/>
              <w:rPr>
                <w:sz w:val="11"/>
                <w:szCs w:val="11"/>
                <w:color w:val="auto"/>
              </w:rPr>
            </w:pPr>
          </w:p>
        </w:tc>
        <w:tc>
          <w:tcPr>
            <w:tcW w:w="2820" w:type="dxa"/>
            <w:vAlign w:val="bottom"/>
            <w:tcBorders>
              <w:right w:val="single" w:sz="8" w:color="auto"/>
            </w:tcBorders>
          </w:tcPr>
          <w:p>
            <w:pPr>
              <w:spacing w:after="0"/>
              <w:rPr>
                <w:sz w:val="11"/>
                <w:szCs w:val="11"/>
                <w:color w:val="auto"/>
              </w:rPr>
            </w:pPr>
          </w:p>
        </w:tc>
        <w:tc>
          <w:tcPr>
            <w:tcW w:w="300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Oil Canada</w:t>
            </w:r>
          </w:p>
        </w:tc>
        <w:tc>
          <w:tcPr>
            <w:tcW w:w="3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Scotiabank, Ontario, Canada</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12989 0005010</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Depository Account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Oil Company Ltd.</w:t>
            </w:r>
          </w:p>
        </w:tc>
        <w:tc>
          <w:tcPr>
            <w:tcW w:w="3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Scotiabank, Ontario, Canada</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 800-50673</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Account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Murphy Oil Company Ltd.</w:t>
            </w:r>
          </w:p>
        </w:tc>
        <w:tc>
          <w:tcPr>
            <w:tcW w:w="3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 A/C #0820001619</w:t>
            </w:r>
          </w:p>
        </w:tc>
        <w:tc>
          <w:tcPr>
            <w:tcW w:w="17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Account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78047309-14</w:t>
            </w:r>
          </w:p>
        </w:tc>
        <w:tc>
          <w:tcPr>
            <w:tcW w:w="172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tcPr>
          <w:p>
            <w:pPr>
              <w:spacing w:after="0"/>
              <w:rPr>
                <w:sz w:val="2"/>
                <w:szCs w:val="2"/>
                <w:color w:val="auto"/>
              </w:rPr>
            </w:pPr>
          </w:p>
        </w:tc>
        <w:tc>
          <w:tcPr>
            <w:tcW w:w="3000" w:type="dxa"/>
            <w:vAlign w:val="bottom"/>
            <w:tcBorders>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78047311-10</w:t>
            </w:r>
          </w:p>
        </w:tc>
        <w:tc>
          <w:tcPr>
            <w:tcW w:w="172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tcPr>
          <w:p>
            <w:pPr>
              <w:spacing w:after="0"/>
              <w:rPr>
                <w:sz w:val="2"/>
                <w:szCs w:val="2"/>
                <w:color w:val="auto"/>
              </w:rPr>
            </w:pPr>
          </w:p>
        </w:tc>
        <w:tc>
          <w:tcPr>
            <w:tcW w:w="3000" w:type="dxa"/>
            <w:vAlign w:val="bottom"/>
            <w:tcBorders>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Murphy Oil Company Ltd.</w:t>
            </w:r>
          </w:p>
        </w:tc>
        <w:tc>
          <w:tcPr>
            <w:tcW w:w="3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Scotiabank, Ontario, Canada</w:t>
            </w: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78047312-19</w:t>
            </w:r>
          </w:p>
        </w:tc>
        <w:tc>
          <w:tcPr>
            <w:tcW w:w="17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Trust Accounts</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vMerge w:val="continue"/>
          </w:tcPr>
          <w:p>
            <w:pPr>
              <w:spacing w:after="0"/>
              <w:rPr>
                <w:sz w:val="2"/>
                <w:szCs w:val="2"/>
                <w:color w:val="auto"/>
              </w:rPr>
            </w:pPr>
          </w:p>
        </w:tc>
        <w:tc>
          <w:tcPr>
            <w:tcW w:w="3000" w:type="dxa"/>
            <w:vAlign w:val="bottom"/>
            <w:tcBorders>
              <w:right w:val="single" w:sz="8" w:color="auto"/>
            </w:tcBorders>
            <w:vMerge w:val="continue"/>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right w:val="single" w:sz="8" w:color="auto"/>
            </w:tcBorders>
            <w:vMerge w:val="continue"/>
          </w:tcPr>
          <w:p>
            <w:pPr>
              <w:spacing w:after="0"/>
              <w:rPr>
                <w:sz w:val="2"/>
                <w:szCs w:val="2"/>
                <w:color w:val="auto"/>
              </w:rPr>
            </w:pPr>
          </w:p>
        </w:tc>
        <w:tc>
          <w:tcPr>
            <w:tcW w:w="760" w:type="dxa"/>
            <w:vAlign w:val="bottom"/>
            <w:tcBorders>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78047308-15</w:t>
            </w:r>
          </w:p>
        </w:tc>
        <w:tc>
          <w:tcPr>
            <w:tcW w:w="172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right w:val="single" w:sz="8" w:color="auto"/>
            </w:tcBorders>
          </w:tcPr>
          <w:p>
            <w:pPr>
              <w:spacing w:after="0"/>
              <w:rPr>
                <w:sz w:val="2"/>
                <w:szCs w:val="2"/>
                <w:color w:val="auto"/>
              </w:rPr>
            </w:pPr>
          </w:p>
        </w:tc>
        <w:tc>
          <w:tcPr>
            <w:tcW w:w="3000" w:type="dxa"/>
            <w:vAlign w:val="bottom"/>
            <w:tcBorders>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300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CDN A/C # 78049077-10</w:t>
            </w:r>
          </w:p>
        </w:tc>
        <w:tc>
          <w:tcPr>
            <w:tcW w:w="172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LEGAL_US_W # 182174051.6</w:t>
            </w:r>
          </w:p>
        </w:tc>
        <w:tc>
          <w:tcPr>
            <w:tcW w:w="3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1440" w:right="479" w:bottom="1440" w:gutter="0" w:footer="0" w:header="0"/>
        </w:sectPr>
      </w:pPr>
    </w:p>
    <w:bookmarkStart w:id="163" w:name="page164"/>
    <w:bookmarkEnd w:id="163"/>
    <w:p>
      <w:pPr>
        <w:spacing w:after="0" w:line="176" w:lineRule="exact"/>
        <w:rPr>
          <w:sz w:val="20"/>
          <w:szCs w:val="20"/>
          <w:color w:val="auto"/>
        </w:rPr>
      </w:pPr>
    </w:p>
    <w:tbl>
      <w:tblPr>
        <w:tblLayout w:type="fixed"/>
        <w:tblInd w:w="130" w:type="dxa"/>
        <w:tblCellMar>
          <w:top w:w="0" w:type="dxa"/>
          <w:left w:w="0" w:type="dxa"/>
          <w:bottom w:w="0" w:type="dxa"/>
          <w:right w:w="0" w:type="dxa"/>
        </w:tblCellMar>
      </w:tblPr>
      <w:tr>
        <w:trPr>
          <w:trHeight w:val="352"/>
        </w:trPr>
        <w:tc>
          <w:tcPr>
            <w:tcW w:w="284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2980" w:type="dxa"/>
            <w:vAlign w:val="bottom"/>
            <w:tcBorders>
              <w:top w:val="single" w:sz="8" w:color="auto"/>
              <w:right w:val="single" w:sz="8" w:color="auto"/>
            </w:tcBorders>
            <w:vMerge w:val="restart"/>
            <w:shd w:val="clear" w:color="auto" w:fill="D9D9D9"/>
          </w:tcPr>
          <w:p>
            <w:pPr>
              <w:ind w:left="8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2680" w:type="dxa"/>
            <w:vAlign w:val="bottom"/>
            <w:tcBorders>
              <w:top w:val="single" w:sz="8" w:color="auto"/>
              <w:right w:val="single" w:sz="8" w:color="auto"/>
            </w:tcBorders>
            <w:vMerge w:val="restart"/>
            <w:shd w:val="clear" w:color="auto" w:fill="D9D9D9"/>
          </w:tcPr>
          <w:p>
            <w:pPr>
              <w:ind w:left="100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720" w:type="dxa"/>
            <w:vAlign w:val="bottom"/>
            <w:tcBorders>
              <w:top w:val="single" w:sz="8" w:color="auto"/>
              <w:right w:val="single" w:sz="8" w:color="auto"/>
            </w:tcBorders>
            <w:shd w:val="clear" w:color="auto" w:fill="D9D9D9"/>
          </w:tcPr>
          <w:p>
            <w:pPr>
              <w:spacing w:after="0"/>
              <w:rPr>
                <w:sz w:val="24"/>
                <w:szCs w:val="24"/>
                <w:color w:val="auto"/>
              </w:rPr>
            </w:pPr>
          </w:p>
        </w:tc>
        <w:tc>
          <w:tcPr>
            <w:tcW w:w="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Excluded</w:t>
            </w:r>
          </w:p>
        </w:tc>
        <w:tc>
          <w:tcPr>
            <w:tcW w:w="0" w:type="dxa"/>
            <w:vAlign w:val="bottom"/>
          </w:tcPr>
          <w:p>
            <w:pPr>
              <w:spacing w:after="0"/>
              <w:rPr>
                <w:sz w:val="1"/>
                <w:szCs w:val="1"/>
                <w:color w:val="auto"/>
              </w:rPr>
            </w:pPr>
          </w:p>
        </w:tc>
      </w:tr>
      <w:tr>
        <w:trPr>
          <w:trHeight w:val="134"/>
        </w:trPr>
        <w:tc>
          <w:tcPr>
            <w:tcW w:w="2840" w:type="dxa"/>
            <w:vAlign w:val="bottom"/>
            <w:tcBorders>
              <w:left w:val="single" w:sz="8" w:color="auto"/>
              <w:right w:val="single" w:sz="8" w:color="auto"/>
            </w:tcBorders>
            <w:vMerge w:val="restart"/>
            <w:shd w:val="clear" w:color="auto" w:fill="D9D9D9"/>
          </w:tcPr>
          <w:p>
            <w:pPr>
              <w:ind w:left="110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2980" w:type="dxa"/>
            <w:vAlign w:val="bottom"/>
            <w:tcBorders>
              <w:right w:val="single" w:sz="8" w:color="auto"/>
            </w:tcBorders>
            <w:vMerge w:val="continue"/>
            <w:shd w:val="clear" w:color="auto" w:fill="D9D9D9"/>
          </w:tcPr>
          <w:p>
            <w:pPr>
              <w:spacing w:after="0"/>
              <w:rPr>
                <w:sz w:val="11"/>
                <w:szCs w:val="11"/>
                <w:color w:val="auto"/>
              </w:rPr>
            </w:pPr>
          </w:p>
        </w:tc>
        <w:tc>
          <w:tcPr>
            <w:tcW w:w="2680" w:type="dxa"/>
            <w:vAlign w:val="bottom"/>
            <w:tcBorders>
              <w:right w:val="single" w:sz="8" w:color="auto"/>
            </w:tcBorders>
            <w:vMerge w:val="continue"/>
            <w:shd w:val="clear" w:color="auto" w:fill="D9D9D9"/>
          </w:tcPr>
          <w:p>
            <w:pPr>
              <w:spacing w:after="0"/>
              <w:rPr>
                <w:sz w:val="11"/>
                <w:szCs w:val="11"/>
                <w:color w:val="auto"/>
              </w:rPr>
            </w:pPr>
          </w:p>
        </w:tc>
        <w:tc>
          <w:tcPr>
            <w:tcW w:w="1720" w:type="dxa"/>
            <w:vAlign w:val="bottom"/>
            <w:tcBorders>
              <w:right w:val="single" w:sz="8" w:color="auto"/>
            </w:tcBorders>
            <w:vMerge w:val="restart"/>
            <w:shd w:val="clear" w:color="auto" w:fill="D9D9D9"/>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Account Type</w:t>
            </w:r>
          </w:p>
        </w:tc>
        <w:tc>
          <w:tcPr>
            <w:tcW w:w="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DDA</w:t>
            </w:r>
          </w:p>
        </w:tc>
        <w:tc>
          <w:tcPr>
            <w:tcW w:w="0" w:type="dxa"/>
            <w:vAlign w:val="bottom"/>
          </w:tcPr>
          <w:p>
            <w:pPr>
              <w:spacing w:after="0"/>
              <w:rPr>
                <w:sz w:val="1"/>
                <w:szCs w:val="1"/>
                <w:color w:val="auto"/>
              </w:rPr>
            </w:pPr>
          </w:p>
        </w:tc>
      </w:tr>
      <w:tr>
        <w:trPr>
          <w:trHeight w:val="80"/>
        </w:trPr>
        <w:tc>
          <w:tcPr>
            <w:tcW w:w="2840" w:type="dxa"/>
            <w:vAlign w:val="bottom"/>
            <w:tcBorders>
              <w:left w:val="single" w:sz="8" w:color="auto"/>
              <w:right w:val="single" w:sz="8" w:color="auto"/>
            </w:tcBorders>
            <w:vMerge w:val="continue"/>
            <w:shd w:val="clear" w:color="auto" w:fill="D9D9D9"/>
          </w:tcPr>
          <w:p>
            <w:pPr>
              <w:spacing w:after="0"/>
              <w:rPr>
                <w:sz w:val="6"/>
                <w:szCs w:val="6"/>
                <w:color w:val="auto"/>
              </w:rPr>
            </w:pPr>
          </w:p>
        </w:tc>
        <w:tc>
          <w:tcPr>
            <w:tcW w:w="2980" w:type="dxa"/>
            <w:vAlign w:val="bottom"/>
            <w:tcBorders>
              <w:right w:val="single" w:sz="8" w:color="auto"/>
            </w:tcBorders>
            <w:vMerge w:val="restart"/>
            <w:shd w:val="clear" w:color="auto" w:fill="D9D9D9"/>
          </w:tcPr>
          <w:p>
            <w:pPr>
              <w:ind w:left="980"/>
              <w:spacing w:after="0"/>
              <w:rPr>
                <w:sz w:val="20"/>
                <w:szCs w:val="20"/>
                <w:color w:val="auto"/>
              </w:rPr>
            </w:pPr>
            <w:r>
              <w:rPr>
                <w:rFonts w:ascii="Times New Roman" w:cs="Times New Roman" w:eastAsia="Times New Roman" w:hAnsi="Times New Roman"/>
                <w:sz w:val="18"/>
                <w:szCs w:val="18"/>
                <w:b w:val="1"/>
                <w:bCs w:val="1"/>
                <w:color w:val="auto"/>
              </w:rPr>
              <w:t>Institution or</w:t>
            </w:r>
          </w:p>
        </w:tc>
        <w:tc>
          <w:tcPr>
            <w:tcW w:w="2680" w:type="dxa"/>
            <w:vAlign w:val="bottom"/>
            <w:tcBorders>
              <w:right w:val="single" w:sz="8" w:color="auto"/>
            </w:tcBorders>
            <w:vMerge w:val="restart"/>
            <w:shd w:val="clear" w:color="auto" w:fill="D9D9D9"/>
          </w:tcPr>
          <w:p>
            <w:pPr>
              <w:ind w:left="10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720" w:type="dxa"/>
            <w:vAlign w:val="bottom"/>
            <w:tcBorders>
              <w:right w:val="single" w:sz="8" w:color="auto"/>
            </w:tcBorders>
            <w:vMerge w:val="continue"/>
            <w:shd w:val="clear" w:color="auto" w:fill="D9D9D9"/>
          </w:tcPr>
          <w:p>
            <w:pPr>
              <w:spacing w:after="0"/>
              <w:rPr>
                <w:sz w:val="6"/>
                <w:szCs w:val="6"/>
                <w:color w:val="auto"/>
              </w:rPr>
            </w:pPr>
          </w:p>
        </w:tc>
        <w:tc>
          <w:tcPr>
            <w:tcW w:w="760" w:type="dxa"/>
            <w:vAlign w:val="bottom"/>
            <w:tcBorders>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840" w:type="dxa"/>
            <w:vAlign w:val="bottom"/>
            <w:tcBorders>
              <w:left w:val="single" w:sz="8" w:color="auto"/>
              <w:right w:val="single" w:sz="8" w:color="auto"/>
            </w:tcBorders>
            <w:shd w:val="clear" w:color="auto" w:fill="D9D9D9"/>
          </w:tcPr>
          <w:p>
            <w:pPr>
              <w:spacing w:after="0"/>
              <w:rPr>
                <w:sz w:val="11"/>
                <w:szCs w:val="11"/>
                <w:color w:val="auto"/>
              </w:rPr>
            </w:pPr>
          </w:p>
        </w:tc>
        <w:tc>
          <w:tcPr>
            <w:tcW w:w="2980" w:type="dxa"/>
            <w:vAlign w:val="bottom"/>
            <w:tcBorders>
              <w:right w:val="single" w:sz="8" w:color="auto"/>
            </w:tcBorders>
            <w:vMerge w:val="continue"/>
            <w:shd w:val="clear" w:color="auto" w:fill="D9D9D9"/>
          </w:tcPr>
          <w:p>
            <w:pPr>
              <w:spacing w:after="0"/>
              <w:rPr>
                <w:sz w:val="11"/>
                <w:szCs w:val="11"/>
                <w:color w:val="auto"/>
              </w:rPr>
            </w:pPr>
          </w:p>
        </w:tc>
        <w:tc>
          <w:tcPr>
            <w:tcW w:w="2680" w:type="dxa"/>
            <w:vAlign w:val="bottom"/>
            <w:tcBorders>
              <w:right w:val="single" w:sz="8" w:color="auto"/>
            </w:tcBorders>
            <w:vMerge w:val="continue"/>
            <w:shd w:val="clear" w:color="auto" w:fill="D9D9D9"/>
          </w:tcPr>
          <w:p>
            <w:pPr>
              <w:spacing w:after="0"/>
              <w:rPr>
                <w:sz w:val="11"/>
                <w:szCs w:val="11"/>
                <w:color w:val="auto"/>
              </w:rPr>
            </w:pPr>
          </w:p>
        </w:tc>
        <w:tc>
          <w:tcPr>
            <w:tcW w:w="1720" w:type="dxa"/>
            <w:vAlign w:val="bottom"/>
            <w:tcBorders>
              <w:right w:val="single" w:sz="8" w:color="auto"/>
            </w:tcBorders>
            <w:shd w:val="clear" w:color="auto" w:fill="D9D9D9"/>
          </w:tcPr>
          <w:p>
            <w:pPr>
              <w:spacing w:after="0"/>
              <w:rPr>
                <w:sz w:val="11"/>
                <w:szCs w:val="11"/>
                <w:color w:val="auto"/>
              </w:rPr>
            </w:pPr>
          </w:p>
        </w:tc>
        <w:tc>
          <w:tcPr>
            <w:tcW w:w="7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(Y/N)</w:t>
            </w:r>
          </w:p>
        </w:tc>
        <w:tc>
          <w:tcPr>
            <w:tcW w:w="0" w:type="dxa"/>
            <w:vAlign w:val="bottom"/>
          </w:tcPr>
          <w:p>
            <w:pPr>
              <w:spacing w:after="0"/>
              <w:rPr>
                <w:sz w:val="1"/>
                <w:szCs w:val="1"/>
                <w:color w:val="auto"/>
              </w:rPr>
            </w:pPr>
          </w:p>
        </w:tc>
      </w:tr>
      <w:tr>
        <w:trPr>
          <w:trHeight w:val="103"/>
        </w:trPr>
        <w:tc>
          <w:tcPr>
            <w:tcW w:w="2840" w:type="dxa"/>
            <w:vAlign w:val="bottom"/>
            <w:tcBorders>
              <w:left w:val="single" w:sz="8" w:color="auto"/>
              <w:right w:val="single" w:sz="8" w:color="auto"/>
            </w:tcBorders>
            <w:shd w:val="clear" w:color="auto" w:fill="D9D9D9"/>
          </w:tcPr>
          <w:p>
            <w:pPr>
              <w:spacing w:after="0"/>
              <w:rPr>
                <w:sz w:val="8"/>
                <w:szCs w:val="8"/>
                <w:color w:val="auto"/>
              </w:rPr>
            </w:pPr>
          </w:p>
        </w:tc>
        <w:tc>
          <w:tcPr>
            <w:tcW w:w="2980" w:type="dxa"/>
            <w:vAlign w:val="bottom"/>
            <w:tcBorders>
              <w:right w:val="single" w:sz="8" w:color="auto"/>
            </w:tcBorders>
            <w:vMerge w:val="restart"/>
            <w:shd w:val="clear" w:color="auto" w:fill="D9D9D9"/>
          </w:tcPr>
          <w:p>
            <w:pPr>
              <w:ind w:left="980"/>
              <w:spacing w:after="0"/>
              <w:rPr>
                <w:sz w:val="20"/>
                <w:szCs w:val="20"/>
                <w:color w:val="auto"/>
              </w:rPr>
            </w:pPr>
            <w:r>
              <w:rPr>
                <w:rFonts w:ascii="Times New Roman" w:cs="Times New Roman" w:eastAsia="Times New Roman" w:hAnsi="Times New Roman"/>
                <w:sz w:val="18"/>
                <w:szCs w:val="18"/>
                <w:b w:val="1"/>
                <w:bCs w:val="1"/>
                <w:color w:val="auto"/>
              </w:rPr>
              <w:t>Intermediary</w:t>
            </w:r>
          </w:p>
        </w:tc>
        <w:tc>
          <w:tcPr>
            <w:tcW w:w="2680" w:type="dxa"/>
            <w:vAlign w:val="bottom"/>
            <w:tcBorders>
              <w:right w:val="single" w:sz="8" w:color="auto"/>
            </w:tcBorders>
            <w:shd w:val="clear" w:color="auto" w:fill="D9D9D9"/>
          </w:tcPr>
          <w:p>
            <w:pPr>
              <w:spacing w:after="0"/>
              <w:rPr>
                <w:sz w:val="8"/>
                <w:szCs w:val="8"/>
                <w:color w:val="auto"/>
              </w:rPr>
            </w:pPr>
          </w:p>
        </w:tc>
        <w:tc>
          <w:tcPr>
            <w:tcW w:w="1720" w:type="dxa"/>
            <w:vAlign w:val="bottom"/>
            <w:tcBorders>
              <w:right w:val="single" w:sz="8" w:color="auto"/>
            </w:tcBorders>
            <w:shd w:val="clear" w:color="auto" w:fill="D9D9D9"/>
          </w:tcPr>
          <w:p>
            <w:pPr>
              <w:spacing w:after="0"/>
              <w:rPr>
                <w:sz w:val="8"/>
                <w:szCs w:val="8"/>
                <w:color w:val="auto"/>
              </w:rPr>
            </w:pPr>
          </w:p>
        </w:tc>
        <w:tc>
          <w:tcPr>
            <w:tcW w:w="76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84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298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2680" w:type="dxa"/>
            <w:vAlign w:val="bottom"/>
            <w:tcBorders>
              <w:bottom w:val="single" w:sz="8" w:color="D9D9D9"/>
              <w:right w:val="single" w:sz="8" w:color="auto"/>
            </w:tcBorders>
            <w:shd w:val="clear" w:color="auto" w:fill="D9D9D9"/>
          </w:tcPr>
          <w:p>
            <w:pPr>
              <w:spacing w:after="0"/>
              <w:rPr>
                <w:sz w:val="13"/>
                <w:szCs w:val="13"/>
                <w:color w:val="auto"/>
              </w:rPr>
            </w:pPr>
          </w:p>
        </w:tc>
        <w:tc>
          <w:tcPr>
            <w:tcW w:w="1720" w:type="dxa"/>
            <w:vAlign w:val="bottom"/>
            <w:tcBorders>
              <w:bottom w:val="single" w:sz="8" w:color="D9D9D9"/>
              <w:right w:val="single" w:sz="8" w:color="auto"/>
            </w:tcBorders>
            <w:shd w:val="clear" w:color="auto" w:fill="D9D9D9"/>
          </w:tcPr>
          <w:p>
            <w:pPr>
              <w:spacing w:after="0"/>
              <w:rPr>
                <w:sz w:val="13"/>
                <w:szCs w:val="13"/>
                <w:color w:val="auto"/>
              </w:rPr>
            </w:pPr>
          </w:p>
        </w:tc>
        <w:tc>
          <w:tcPr>
            <w:tcW w:w="760" w:type="dxa"/>
            <w:vAlign w:val="bottom"/>
            <w:tcBorders>
              <w:bottom w:val="single" w:sz="8" w:color="D9D9D9"/>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8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980" w:type="dxa"/>
            <w:vAlign w:val="bottom"/>
            <w:tcBorders>
              <w:top w:val="single" w:sz="8" w:color="auto"/>
              <w:bottom w:val="single" w:sz="8" w:color="auto"/>
              <w:right w:val="single" w:sz="8" w:color="auto"/>
            </w:tcBorders>
          </w:tcPr>
          <w:p>
            <w:pPr>
              <w:spacing w:after="0"/>
              <w:rPr>
                <w:sz w:val="24"/>
                <w:szCs w:val="24"/>
                <w:color w:val="auto"/>
              </w:rPr>
            </w:pPr>
          </w:p>
        </w:tc>
        <w:tc>
          <w:tcPr>
            <w:tcW w:w="268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76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Murphy Exploration &amp; Production</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USD A/C # 4451452041</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Y</w:t>
            </w:r>
          </w:p>
        </w:tc>
        <w:tc>
          <w:tcPr>
            <w:tcW w:w="0" w:type="dxa"/>
            <w:vAlign w:val="bottom"/>
          </w:tcPr>
          <w:p>
            <w:pPr>
              <w:spacing w:after="0"/>
              <w:rPr>
                <w:sz w:val="1"/>
                <w:szCs w:val="1"/>
                <w:color w:val="auto"/>
              </w:rPr>
            </w:pPr>
          </w:p>
        </w:tc>
      </w:tr>
      <w:tr>
        <w:trPr>
          <w:trHeight w:val="94"/>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2980" w:type="dxa"/>
            <w:vAlign w:val="bottom"/>
            <w:tcBorders>
              <w:right w:val="single" w:sz="8" w:color="auto"/>
            </w:tcBorders>
            <w:vMerge w:val="continue"/>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40" w:type="dxa"/>
            <w:vAlign w:val="bottom"/>
            <w:tcBorders>
              <w:left w:val="single" w:sz="8" w:color="auto"/>
              <w:right w:val="single" w:sz="8" w:color="auto"/>
            </w:tcBorders>
            <w:vMerge w:val="continue"/>
          </w:tcPr>
          <w:p>
            <w:pPr>
              <w:spacing w:after="0"/>
              <w:rPr>
                <w:sz w:val="10"/>
                <w:szCs w:val="10"/>
                <w:color w:val="auto"/>
              </w:rPr>
            </w:pPr>
          </w:p>
        </w:tc>
        <w:tc>
          <w:tcPr>
            <w:tcW w:w="2980" w:type="dxa"/>
            <w:vAlign w:val="bottom"/>
            <w:tcBorders>
              <w:right w:val="single" w:sz="8" w:color="auto"/>
            </w:tcBorders>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International</w:t>
            </w:r>
          </w:p>
        </w:tc>
        <w:tc>
          <w:tcPr>
            <w:tcW w:w="298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8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268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Murphy Oil Corporation - Royalty</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USD A/C # 4451688857</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75"/>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(ACH/Check</w:t>
            </w:r>
          </w:p>
        </w:tc>
        <w:tc>
          <w:tcPr>
            <w:tcW w:w="2980" w:type="dxa"/>
            <w:vAlign w:val="bottom"/>
            <w:tcBorders>
              <w:right w:val="single" w:sz="8" w:color="auto"/>
            </w:tcBorders>
            <w:vMerge w:val="continue"/>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right w:val="single" w:sz="8" w:color="auto"/>
            </w:tcBorders>
            <w:vMerge w:val="continue"/>
          </w:tcPr>
          <w:p>
            <w:pPr>
              <w:spacing w:after="0"/>
              <w:rPr>
                <w:sz w:val="14"/>
                <w:szCs w:val="14"/>
                <w:color w:val="auto"/>
              </w:rPr>
            </w:pPr>
          </w:p>
        </w:tc>
        <w:tc>
          <w:tcPr>
            <w:tcW w:w="298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40" w:type="dxa"/>
            <w:vAlign w:val="bottom"/>
            <w:tcBorders>
              <w:left w:val="single" w:sz="8" w:color="auto"/>
              <w:right w:val="single" w:sz="8" w:color="auto"/>
            </w:tcBorders>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2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MP Gulf of Mexico, LLC - Royalty</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of America, N. A., New York, NY</w:t>
            </w: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USD A/C # 4451688860</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94"/>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(ACH/Check)</w:t>
            </w:r>
          </w:p>
        </w:tc>
        <w:tc>
          <w:tcPr>
            <w:tcW w:w="2980" w:type="dxa"/>
            <w:vAlign w:val="bottom"/>
            <w:tcBorders>
              <w:right w:val="single" w:sz="8" w:color="auto"/>
            </w:tcBorders>
            <w:vMerge w:val="continue"/>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840" w:type="dxa"/>
            <w:vAlign w:val="bottom"/>
            <w:tcBorders>
              <w:left w:val="single" w:sz="8" w:color="auto"/>
              <w:right w:val="single" w:sz="8" w:color="auto"/>
            </w:tcBorders>
            <w:vMerge w:val="continue"/>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840" w:type="dxa"/>
            <w:vAlign w:val="bottom"/>
            <w:tcBorders>
              <w:left w:val="single" w:sz="8" w:color="auto"/>
              <w:right w:val="single" w:sz="8" w:color="auto"/>
            </w:tcBorders>
          </w:tcPr>
          <w:p>
            <w:pPr>
              <w:spacing w:after="0"/>
              <w:rPr>
                <w:sz w:val="8"/>
                <w:szCs w:val="8"/>
                <w:color w:val="auto"/>
              </w:rPr>
            </w:pPr>
          </w:p>
        </w:tc>
        <w:tc>
          <w:tcPr>
            <w:tcW w:w="2980" w:type="dxa"/>
            <w:vAlign w:val="bottom"/>
            <w:tcBorders>
              <w:right w:val="single" w:sz="8" w:color="auto"/>
            </w:tcBorders>
          </w:tcPr>
          <w:p>
            <w:pPr>
              <w:spacing w:after="0"/>
              <w:rPr>
                <w:sz w:val="8"/>
                <w:szCs w:val="8"/>
                <w:color w:val="auto"/>
              </w:rPr>
            </w:pPr>
          </w:p>
        </w:tc>
        <w:tc>
          <w:tcPr>
            <w:tcW w:w="268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CI-102 Oil Co., LTD</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 3582028403001</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88"/>
        </w:trPr>
        <w:tc>
          <w:tcPr>
            <w:tcW w:w="2840" w:type="dxa"/>
            <w:vAlign w:val="bottom"/>
            <w:tcBorders>
              <w:left w:val="single" w:sz="8" w:color="auto"/>
              <w:right w:val="single" w:sz="8" w:color="auto"/>
            </w:tcBorders>
            <w:vMerge w:val="continue"/>
          </w:tcPr>
          <w:p>
            <w:pPr>
              <w:spacing w:after="0"/>
              <w:rPr>
                <w:sz w:val="7"/>
                <w:szCs w:val="7"/>
                <w:color w:val="auto"/>
              </w:rPr>
            </w:pPr>
          </w:p>
        </w:tc>
        <w:tc>
          <w:tcPr>
            <w:tcW w:w="2980" w:type="dxa"/>
            <w:vAlign w:val="bottom"/>
            <w:tcBorders>
              <w:right w:val="single" w:sz="8" w:color="auto"/>
            </w:tcBorders>
            <w:vMerge w:val="continue"/>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XOF A/C # 01-001-204000-00</w:t>
            </w:r>
          </w:p>
        </w:tc>
        <w:tc>
          <w:tcPr>
            <w:tcW w:w="172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right w:val="single" w:sz="8" w:color="auto"/>
            </w:tcBorders>
          </w:tcPr>
          <w:p>
            <w:pPr>
              <w:spacing w:after="0"/>
              <w:rPr>
                <w:sz w:val="14"/>
                <w:szCs w:val="14"/>
                <w:color w:val="auto"/>
              </w:rPr>
            </w:pPr>
          </w:p>
        </w:tc>
        <w:tc>
          <w:tcPr>
            <w:tcW w:w="298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40" w:type="dxa"/>
            <w:vAlign w:val="bottom"/>
            <w:tcBorders>
              <w:left w:val="single" w:sz="8" w:color="auto"/>
              <w:right w:val="single" w:sz="8" w:color="auto"/>
            </w:tcBorders>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2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CI-103 Oil Co., LTD</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 3582028404001</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88"/>
        </w:trPr>
        <w:tc>
          <w:tcPr>
            <w:tcW w:w="2840" w:type="dxa"/>
            <w:vAlign w:val="bottom"/>
            <w:tcBorders>
              <w:left w:val="single" w:sz="8" w:color="auto"/>
              <w:right w:val="single" w:sz="8" w:color="auto"/>
            </w:tcBorders>
            <w:vMerge w:val="continue"/>
          </w:tcPr>
          <w:p>
            <w:pPr>
              <w:spacing w:after="0"/>
              <w:rPr>
                <w:sz w:val="7"/>
                <w:szCs w:val="7"/>
                <w:color w:val="auto"/>
              </w:rPr>
            </w:pPr>
          </w:p>
        </w:tc>
        <w:tc>
          <w:tcPr>
            <w:tcW w:w="2980" w:type="dxa"/>
            <w:vAlign w:val="bottom"/>
            <w:tcBorders>
              <w:right w:val="single" w:sz="8" w:color="auto"/>
            </w:tcBorders>
            <w:vMerge w:val="continue"/>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XOF A/C # 01-001-203951-00</w:t>
            </w:r>
          </w:p>
        </w:tc>
        <w:tc>
          <w:tcPr>
            <w:tcW w:w="172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right w:val="single" w:sz="8" w:color="auto"/>
            </w:tcBorders>
          </w:tcPr>
          <w:p>
            <w:pPr>
              <w:spacing w:after="0"/>
              <w:rPr>
                <w:sz w:val="14"/>
                <w:szCs w:val="14"/>
                <w:color w:val="auto"/>
              </w:rPr>
            </w:pPr>
          </w:p>
        </w:tc>
        <w:tc>
          <w:tcPr>
            <w:tcW w:w="298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40" w:type="dxa"/>
            <w:vAlign w:val="bottom"/>
            <w:tcBorders>
              <w:left w:val="single" w:sz="8" w:color="auto"/>
              <w:right w:val="single" w:sz="8" w:color="auto"/>
            </w:tcBorders>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2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CI-502 Oil Co., LTD</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 3582028405001</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88"/>
        </w:trPr>
        <w:tc>
          <w:tcPr>
            <w:tcW w:w="2840" w:type="dxa"/>
            <w:vAlign w:val="bottom"/>
            <w:tcBorders>
              <w:left w:val="single" w:sz="8" w:color="auto"/>
              <w:right w:val="single" w:sz="8" w:color="auto"/>
            </w:tcBorders>
            <w:vMerge w:val="continue"/>
          </w:tcPr>
          <w:p>
            <w:pPr>
              <w:spacing w:after="0"/>
              <w:rPr>
                <w:sz w:val="7"/>
                <w:szCs w:val="7"/>
                <w:color w:val="auto"/>
              </w:rPr>
            </w:pPr>
          </w:p>
        </w:tc>
        <w:tc>
          <w:tcPr>
            <w:tcW w:w="2980" w:type="dxa"/>
            <w:vAlign w:val="bottom"/>
            <w:tcBorders>
              <w:right w:val="single" w:sz="8" w:color="auto"/>
            </w:tcBorders>
            <w:vMerge w:val="continue"/>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XOF A/C # 01-001-203997-00</w:t>
            </w:r>
          </w:p>
        </w:tc>
        <w:tc>
          <w:tcPr>
            <w:tcW w:w="172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right w:val="single" w:sz="8" w:color="auto"/>
            </w:tcBorders>
          </w:tcPr>
          <w:p>
            <w:pPr>
              <w:spacing w:after="0"/>
              <w:rPr>
                <w:sz w:val="14"/>
                <w:szCs w:val="14"/>
                <w:color w:val="auto"/>
              </w:rPr>
            </w:pPr>
          </w:p>
        </w:tc>
        <w:tc>
          <w:tcPr>
            <w:tcW w:w="298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40" w:type="dxa"/>
            <w:vAlign w:val="bottom"/>
            <w:tcBorders>
              <w:left w:val="single" w:sz="8" w:color="auto"/>
              <w:right w:val="single" w:sz="8" w:color="auto"/>
            </w:tcBorders>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2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CI-531 Oil Co., LTD</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 3582028406001</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88"/>
        </w:trPr>
        <w:tc>
          <w:tcPr>
            <w:tcW w:w="2840" w:type="dxa"/>
            <w:vAlign w:val="bottom"/>
            <w:tcBorders>
              <w:left w:val="single" w:sz="8" w:color="auto"/>
              <w:right w:val="single" w:sz="8" w:color="auto"/>
            </w:tcBorders>
            <w:vMerge w:val="continue"/>
          </w:tcPr>
          <w:p>
            <w:pPr>
              <w:spacing w:after="0"/>
              <w:rPr>
                <w:sz w:val="7"/>
                <w:szCs w:val="7"/>
                <w:color w:val="auto"/>
              </w:rPr>
            </w:pPr>
          </w:p>
        </w:tc>
        <w:tc>
          <w:tcPr>
            <w:tcW w:w="2980" w:type="dxa"/>
            <w:vAlign w:val="bottom"/>
            <w:tcBorders>
              <w:right w:val="single" w:sz="8" w:color="auto"/>
            </w:tcBorders>
            <w:vMerge w:val="continue"/>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XOF A/C # 01-001-203994-00</w:t>
            </w:r>
          </w:p>
        </w:tc>
        <w:tc>
          <w:tcPr>
            <w:tcW w:w="172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right w:val="single" w:sz="8" w:color="auto"/>
            </w:tcBorders>
          </w:tcPr>
          <w:p>
            <w:pPr>
              <w:spacing w:after="0"/>
              <w:rPr>
                <w:sz w:val="14"/>
                <w:szCs w:val="14"/>
                <w:color w:val="auto"/>
              </w:rPr>
            </w:pPr>
          </w:p>
        </w:tc>
        <w:tc>
          <w:tcPr>
            <w:tcW w:w="298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40" w:type="dxa"/>
            <w:vAlign w:val="bottom"/>
            <w:tcBorders>
              <w:left w:val="single" w:sz="8" w:color="auto"/>
              <w:right w:val="single" w:sz="8" w:color="auto"/>
            </w:tcBorders>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2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CI-709 Oil Co., LTD</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 3582028408001</w:t>
            </w: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88"/>
        </w:trPr>
        <w:tc>
          <w:tcPr>
            <w:tcW w:w="2840" w:type="dxa"/>
            <w:vAlign w:val="bottom"/>
            <w:tcBorders>
              <w:left w:val="single" w:sz="8" w:color="auto"/>
              <w:right w:val="single" w:sz="8" w:color="auto"/>
            </w:tcBorders>
            <w:vMerge w:val="continue"/>
          </w:tcPr>
          <w:p>
            <w:pPr>
              <w:spacing w:after="0"/>
              <w:rPr>
                <w:sz w:val="7"/>
                <w:szCs w:val="7"/>
                <w:color w:val="auto"/>
              </w:rPr>
            </w:pPr>
          </w:p>
        </w:tc>
        <w:tc>
          <w:tcPr>
            <w:tcW w:w="2980" w:type="dxa"/>
            <w:vAlign w:val="bottom"/>
            <w:tcBorders>
              <w:right w:val="single" w:sz="8" w:color="auto"/>
            </w:tcBorders>
            <w:vMerge w:val="continue"/>
          </w:tcPr>
          <w:p>
            <w:pPr>
              <w:spacing w:after="0"/>
              <w:rPr>
                <w:sz w:val="7"/>
                <w:szCs w:val="7"/>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XOF A/C # 01-001-203993-00</w:t>
            </w:r>
          </w:p>
        </w:tc>
        <w:tc>
          <w:tcPr>
            <w:tcW w:w="172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840" w:type="dxa"/>
            <w:vAlign w:val="bottom"/>
            <w:tcBorders>
              <w:left w:val="single" w:sz="8" w:color="auto"/>
              <w:right w:val="single" w:sz="8" w:color="auto"/>
            </w:tcBorders>
          </w:tcPr>
          <w:p>
            <w:pPr>
              <w:spacing w:after="0"/>
              <w:rPr>
                <w:sz w:val="14"/>
                <w:szCs w:val="14"/>
                <w:color w:val="auto"/>
              </w:rPr>
            </w:pPr>
          </w:p>
        </w:tc>
        <w:tc>
          <w:tcPr>
            <w:tcW w:w="298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vMerge w:val="continue"/>
          </w:tcPr>
          <w:p>
            <w:pPr>
              <w:spacing w:after="0"/>
              <w:rPr>
                <w:sz w:val="14"/>
                <w:szCs w:val="14"/>
                <w:color w:val="auto"/>
              </w:rPr>
            </w:pPr>
          </w:p>
        </w:tc>
        <w:tc>
          <w:tcPr>
            <w:tcW w:w="1720" w:type="dxa"/>
            <w:vAlign w:val="bottom"/>
            <w:tcBorders>
              <w:right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840" w:type="dxa"/>
            <w:vAlign w:val="bottom"/>
            <w:tcBorders>
              <w:left w:val="single" w:sz="8" w:color="auto"/>
              <w:right w:val="single" w:sz="8" w:color="auto"/>
            </w:tcBorders>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2680" w:type="dxa"/>
            <w:vAlign w:val="bottom"/>
            <w:tcBorders>
              <w:right w:val="single" w:sz="8" w:color="auto"/>
            </w:tcBorders>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#3582028099001</w:t>
            </w: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Bank OZK</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#2804851771</w:t>
            </w: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Bank of America, New York, NY</w:t>
            </w: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USD A/C #4451938057</w:t>
            </w: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Controlled</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94"/>
        </w:trPr>
        <w:tc>
          <w:tcPr>
            <w:tcW w:w="284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268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Disbursement</w:t>
            </w:r>
          </w:p>
        </w:tc>
        <w:tc>
          <w:tcPr>
            <w:tcW w:w="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840" w:type="dxa"/>
            <w:vAlign w:val="bottom"/>
            <w:tcBorders>
              <w:left w:val="single" w:sz="8" w:color="auto"/>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Murphy Oil Corporation</w:t>
            </w: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 Capital Bank</w:t>
            </w: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A/C #2400079580</w:t>
            </w: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Depository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3"/>
        </w:trPr>
        <w:tc>
          <w:tcPr>
            <w:tcW w:w="2840" w:type="dxa"/>
            <w:vAlign w:val="bottom"/>
            <w:tcBorders>
              <w:left w:val="single" w:sz="8" w:color="auto"/>
              <w:right w:val="single" w:sz="8" w:color="auto"/>
            </w:tcBorders>
          </w:tcPr>
          <w:p>
            <w:pPr>
              <w:spacing w:after="0"/>
              <w:rPr>
                <w:sz w:val="20"/>
                <w:szCs w:val="20"/>
                <w:color w:val="auto"/>
              </w:rPr>
            </w:pPr>
          </w:p>
        </w:tc>
        <w:tc>
          <w:tcPr>
            <w:tcW w:w="298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Account</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182174051.6</w:t>
      </w:r>
    </w:p>
    <w:p>
      <w:pPr>
        <w:sectPr>
          <w:pgSz w:w="11900" w:h="16838" w:orient="portrait"/>
          <w:cols w:equalWidth="0" w:num="1">
            <w:col w:w="11100"/>
          </w:cols>
          <w:pgMar w:left="320" w:top="1440" w:right="47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6921500" cy="16287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692150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19.1</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POLICY STATEMENT</w:t>
      </w:r>
    </w:p>
    <w:p>
      <w:pPr>
        <w:spacing w:after="0" w:line="29" w:lineRule="exact"/>
        <w:rPr>
          <w:sz w:val="20"/>
          <w:szCs w:val="20"/>
          <w:color w:val="auto"/>
        </w:rPr>
      </w:pPr>
    </w:p>
    <w:p>
      <w:pPr>
        <w:ind w:left="160" w:right="300"/>
        <w:spacing w:after="0" w:line="255" w:lineRule="auto"/>
        <w:rPr>
          <w:sz w:val="20"/>
          <w:szCs w:val="20"/>
          <w:color w:val="auto"/>
        </w:rPr>
      </w:pPr>
      <w:r>
        <w:rPr>
          <w:rFonts w:ascii="Arial" w:cs="Arial" w:eastAsia="Arial" w:hAnsi="Arial"/>
          <w:sz w:val="20"/>
          <w:szCs w:val="20"/>
          <w:color w:val="404040"/>
        </w:rPr>
        <w:t>It is the Company’s policy to comply with state and federal laws regarding trading in Company Securities (“Company Stock”) as well as the dissemination and use of Material Nonpublic Information (“MNPI”). As such, it is the Company’s practice to require directors, officers and employees to obtain pre-clearance prior to trading in Company Stock; to prohibit those who are aware of MNPI from trading in Company Stock; and to prohibit disclosing MNPI to anyone who may trade in Company Stock on the basis of that information.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Capitalized terms used herein are defined at the end of this Policy.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SCOPE</w:t>
      </w:r>
    </w:p>
    <w:p>
      <w:pPr>
        <w:spacing w:after="0" w:line="54" w:lineRule="exact"/>
        <w:rPr>
          <w:sz w:val="20"/>
          <w:szCs w:val="20"/>
          <w:color w:val="auto"/>
        </w:rPr>
      </w:pPr>
    </w:p>
    <w:p>
      <w:pPr>
        <w:ind w:left="160" w:right="260"/>
        <w:spacing w:after="0" w:line="262" w:lineRule="auto"/>
        <w:rPr>
          <w:sz w:val="20"/>
          <w:szCs w:val="20"/>
          <w:color w:val="auto"/>
        </w:rPr>
      </w:pPr>
      <w:r>
        <w:rPr>
          <w:rFonts w:ascii="Arial" w:cs="Arial" w:eastAsia="Arial" w:hAnsi="Arial"/>
          <w:sz w:val="20"/>
          <w:szCs w:val="20"/>
          <w:color w:val="404040"/>
        </w:rPr>
        <w:t>This Policy applies to: (1) all directors and officers of the Company, (2) Company employees, contractors or consultants that have access to MNPI (both (1) and (2) are referred to in this Policy as an “Employee”), and (3) Family Members and Controlled Entities. Every Employee is responsible for compliance with this Policy by their Family Members and Controlled Entities.</w:t>
      </w:r>
    </w:p>
    <w:p>
      <w:pPr>
        <w:spacing w:after="0" w:line="110" w:lineRule="exact"/>
        <w:rPr>
          <w:sz w:val="20"/>
          <w:szCs w:val="20"/>
          <w:color w:val="auto"/>
        </w:rPr>
      </w:pPr>
    </w:p>
    <w:p>
      <w:pPr>
        <w:ind w:left="160" w:right="240"/>
        <w:spacing w:after="0" w:line="265" w:lineRule="auto"/>
        <w:rPr>
          <w:sz w:val="20"/>
          <w:szCs w:val="20"/>
          <w:color w:val="auto"/>
        </w:rPr>
      </w:pPr>
      <w:r>
        <w:rPr>
          <w:rFonts w:ascii="Arial" w:cs="Arial" w:eastAsia="Arial" w:hAnsi="Arial"/>
          <w:sz w:val="20"/>
          <w:szCs w:val="20"/>
          <w:color w:val="404040"/>
        </w:rPr>
        <w:t>This Policy is separate and in addition to the Company’s Code of Conduct and Reg FD Policy and is intended to complement them regarding trading in Company Stock as well as the disclosure of MNPI.</w:t>
      </w: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TRANSACTIONS SUBJECT TO THIS POLICY</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This Policy applies to Transactions involving the Company’s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PROHIBITED CONDUCT</w:t>
      </w:r>
    </w:p>
    <w:p>
      <w:pPr>
        <w:spacing w:after="0" w:line="54" w:lineRule="exact"/>
        <w:rPr>
          <w:sz w:val="20"/>
          <w:szCs w:val="20"/>
          <w:color w:val="auto"/>
        </w:rPr>
      </w:pPr>
    </w:p>
    <w:p>
      <w:pPr>
        <w:ind w:left="160" w:right="880"/>
        <w:spacing w:after="0" w:line="270" w:lineRule="auto"/>
        <w:rPr>
          <w:sz w:val="20"/>
          <w:szCs w:val="20"/>
          <w:color w:val="auto"/>
        </w:rPr>
      </w:pPr>
      <w:r>
        <w:rPr>
          <w:rFonts w:ascii="Arial" w:cs="Arial" w:eastAsia="Arial" w:hAnsi="Arial"/>
          <w:sz w:val="20"/>
          <w:szCs w:val="20"/>
          <w:color w:val="404040"/>
        </w:rPr>
        <w:t>Except as provided herein, every Employee, Family Member or Controlled Entity must obtain Pre-Clearance prior to entering into a Transaction involving Company Stock.</w:t>
      </w:r>
    </w:p>
    <w:p>
      <w:pPr>
        <w:spacing w:after="0" w:line="102" w:lineRule="exact"/>
        <w:rPr>
          <w:sz w:val="20"/>
          <w:szCs w:val="20"/>
          <w:color w:val="auto"/>
        </w:rPr>
      </w:pPr>
    </w:p>
    <w:p>
      <w:pPr>
        <w:ind w:left="160" w:right="380"/>
        <w:spacing w:after="0" w:line="293" w:lineRule="auto"/>
        <w:rPr>
          <w:sz w:val="20"/>
          <w:szCs w:val="20"/>
          <w:color w:val="auto"/>
        </w:rPr>
      </w:pPr>
      <w:r>
        <w:rPr>
          <w:rFonts w:ascii="Arial" w:cs="Arial" w:eastAsia="Arial" w:hAnsi="Arial"/>
          <w:sz w:val="20"/>
          <w:szCs w:val="20"/>
          <w:color w:val="404040"/>
        </w:rPr>
        <w:t>Even if Pre-Clearance is obtained, no Employee, Family Member or Controlled Entity that is aware of, or has access to, MNPI may directly or indirectly:</w:t>
      </w:r>
    </w:p>
    <w:p>
      <w:pPr>
        <w:spacing w:after="0" w:line="66" w:lineRule="exact"/>
        <w:rPr>
          <w:sz w:val="20"/>
          <w:szCs w:val="20"/>
          <w:color w:val="auto"/>
        </w:rPr>
      </w:pPr>
    </w:p>
    <w:p>
      <w:pPr>
        <w:ind w:left="800" w:hanging="311"/>
        <w:spacing w:after="0"/>
        <w:tabs>
          <w:tab w:leader="none" w:pos="800" w:val="left"/>
        </w:tabs>
        <w:numPr>
          <w:ilvl w:val="0"/>
          <w:numId w:val="92"/>
        </w:numPr>
        <w:rPr>
          <w:rFonts w:ascii="Times New Roman" w:cs="Times New Roman" w:eastAsia="Times New Roman" w:hAnsi="Times New Roman"/>
          <w:sz w:val="20"/>
          <w:szCs w:val="20"/>
          <w:color w:val="404040"/>
        </w:rPr>
      </w:pPr>
      <w:r>
        <w:rPr>
          <w:rFonts w:ascii="Arial" w:cs="Arial" w:eastAsia="Arial" w:hAnsi="Arial"/>
          <w:sz w:val="20"/>
          <w:szCs w:val="20"/>
          <w:color w:val="404040"/>
        </w:rPr>
        <w:t>Engage in Transactions in Company Stock;</w:t>
      </w:r>
    </w:p>
    <w:p>
      <w:pPr>
        <w:spacing w:after="0" w:line="26" w:lineRule="exact"/>
        <w:rPr>
          <w:rFonts w:ascii="Times New Roman" w:cs="Times New Roman" w:eastAsia="Times New Roman" w:hAnsi="Times New Roman"/>
          <w:sz w:val="20"/>
          <w:szCs w:val="20"/>
          <w:color w:val="404040"/>
        </w:rPr>
      </w:pPr>
    </w:p>
    <w:p>
      <w:pPr>
        <w:ind w:left="800" w:hanging="311"/>
        <w:spacing w:after="0"/>
        <w:tabs>
          <w:tab w:leader="none" w:pos="800" w:val="left"/>
        </w:tabs>
        <w:numPr>
          <w:ilvl w:val="0"/>
          <w:numId w:val="92"/>
        </w:numPr>
        <w:rPr>
          <w:rFonts w:ascii="Times New Roman" w:cs="Times New Roman" w:eastAsia="Times New Roman" w:hAnsi="Times New Roman"/>
          <w:sz w:val="20"/>
          <w:szCs w:val="20"/>
          <w:color w:val="404040"/>
        </w:rPr>
      </w:pPr>
      <w:r>
        <w:rPr>
          <w:rFonts w:ascii="Arial" w:cs="Arial" w:eastAsia="Arial" w:hAnsi="Arial"/>
          <w:sz w:val="20"/>
          <w:szCs w:val="20"/>
          <w:color w:val="404040"/>
        </w:rPr>
        <w:t>Recommend the purchase or sale of any Company Stock;</w:t>
      </w:r>
    </w:p>
    <w:p>
      <w:pPr>
        <w:spacing w:after="0" w:line="22" w:lineRule="exact"/>
        <w:rPr>
          <w:rFonts w:ascii="Times New Roman" w:cs="Times New Roman" w:eastAsia="Times New Roman" w:hAnsi="Times New Roman"/>
          <w:sz w:val="20"/>
          <w:szCs w:val="20"/>
          <w:color w:val="404040"/>
        </w:rPr>
      </w:pPr>
    </w:p>
    <w:p>
      <w:pPr>
        <w:ind w:left="820" w:right="720" w:hanging="331"/>
        <w:spacing w:after="0" w:line="313" w:lineRule="auto"/>
        <w:tabs>
          <w:tab w:leader="none" w:pos="808" w:val="left"/>
        </w:tabs>
        <w:numPr>
          <w:ilvl w:val="0"/>
          <w:numId w:val="92"/>
        </w:numPr>
        <w:rPr>
          <w:rFonts w:ascii="Times New Roman" w:cs="Times New Roman" w:eastAsia="Times New Roman" w:hAnsi="Times New Roman"/>
          <w:sz w:val="18"/>
          <w:szCs w:val="18"/>
          <w:color w:val="404040"/>
        </w:rPr>
      </w:pPr>
      <w:r>
        <w:rPr>
          <w:rFonts w:ascii="Arial" w:cs="Arial" w:eastAsia="Arial" w:hAnsi="Arial"/>
          <w:sz w:val="18"/>
          <w:szCs w:val="18"/>
          <w:color w:val="404040"/>
        </w:rPr>
        <w:t xml:space="preserve">Disclose MNPI to anyone; including anyone within the Company whose job does not require them to have that information. </w:t>
      </w:r>
      <w:r>
        <w:rPr>
          <w:rFonts w:ascii="Arial" w:cs="Arial" w:eastAsia="Arial" w:hAnsi="Arial"/>
          <w:sz w:val="18"/>
          <w:szCs w:val="18"/>
          <w:i w:val="1"/>
          <w:iCs w:val="1"/>
          <w:color w:val="404040"/>
        </w:rPr>
        <w:t>(For additional guidance regarding Confidential</w:t>
      </w:r>
      <w:r>
        <w:rPr>
          <w:rFonts w:ascii="Arial" w:cs="Arial" w:eastAsia="Arial" w:hAnsi="Arial"/>
          <w:sz w:val="18"/>
          <w:szCs w:val="18"/>
          <w:color w:val="404040"/>
        </w:rPr>
        <w:t xml:space="preserve"> </w:t>
      </w:r>
      <w:r>
        <w:rPr>
          <w:rFonts w:ascii="Arial" w:cs="Arial" w:eastAsia="Arial" w:hAnsi="Arial"/>
          <w:sz w:val="18"/>
          <w:szCs w:val="18"/>
          <w:i w:val="1"/>
          <w:iCs w:val="1"/>
          <w:color w:val="404040"/>
        </w:rPr>
        <w:t>Information and MNPI see Murphy’s Code of Conduct as well as the Reg FD Policy)</w:t>
      </w:r>
      <w:r>
        <w:rPr>
          <w:rFonts w:ascii="Arial" w:cs="Arial" w:eastAsia="Arial" w:hAnsi="Arial"/>
          <w:sz w:val="18"/>
          <w:szCs w:val="18"/>
          <w:color w:val="404040"/>
        </w:rPr>
        <w:t>; or</w:t>
      </w:r>
    </w:p>
    <w:p>
      <w:pPr>
        <w:sectPr>
          <w:pgSz w:w="11900" w:h="16838" w:orient="portrait"/>
          <w:cols w:equalWidth="0" w:num="1">
            <w:col w:w="9060"/>
          </w:cols>
          <w:pgMar w:left="1440" w:top="1440"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17"/>
          <w:szCs w:val="17"/>
          <w:color w:val="6D6D6D"/>
        </w:rPr>
        <w:t>1 | Murphy Oil Corporation Last Modified: December 6, 2023</w:t>
      </w:r>
    </w:p>
    <w:p>
      <w:pPr>
        <w:sectPr>
          <w:pgSz w:w="11900" w:h="16838" w:orient="portrait"/>
          <w:cols w:equalWidth="0" w:num="1">
            <w:col w:w="9060"/>
          </w:cols>
          <w:pgMar w:left="1440" w:top="1440" w:right="1399" w:bottom="1440" w:gutter="0" w:footer="0" w:header="0"/>
          <w:type w:val="continuous"/>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0" w:hanging="310"/>
        <w:spacing w:after="0"/>
        <w:tabs>
          <w:tab w:leader="none" w:pos="800" w:val="left"/>
        </w:tabs>
        <w:numPr>
          <w:ilvl w:val="0"/>
          <w:numId w:val="93"/>
        </w:numPr>
        <w:rPr>
          <w:rFonts w:ascii="Times New Roman" w:cs="Times New Roman" w:eastAsia="Times New Roman" w:hAnsi="Times New Roman"/>
          <w:sz w:val="20"/>
          <w:szCs w:val="20"/>
          <w:color w:val="404040"/>
        </w:rPr>
      </w:pPr>
      <w:r>
        <w:rPr>
          <w:rFonts w:ascii="Arial" w:cs="Arial" w:eastAsia="Arial" w:hAnsi="Arial"/>
          <w:sz w:val="20"/>
          <w:szCs w:val="20"/>
          <w:color w:val="404040"/>
        </w:rPr>
        <w:t>Assist anyone engaged in the above activities.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PRE-CLEARANCE</w:t>
      </w:r>
    </w:p>
    <w:p>
      <w:pPr>
        <w:spacing w:after="0" w:line="54" w:lineRule="exact"/>
        <w:rPr>
          <w:sz w:val="20"/>
          <w:szCs w:val="20"/>
          <w:color w:val="auto"/>
        </w:rPr>
      </w:pPr>
    </w:p>
    <w:p>
      <w:pPr>
        <w:ind w:left="160" w:right="599"/>
        <w:spacing w:after="0" w:line="260" w:lineRule="auto"/>
        <w:rPr>
          <w:sz w:val="20"/>
          <w:szCs w:val="20"/>
          <w:color w:val="auto"/>
        </w:rPr>
      </w:pPr>
      <w:r>
        <w:rPr>
          <w:rFonts w:ascii="Arial" w:cs="Arial" w:eastAsia="Arial" w:hAnsi="Arial"/>
          <w:sz w:val="20"/>
          <w:szCs w:val="20"/>
          <w:color w:val="404040"/>
        </w:rPr>
        <w:t>The Company has established the following procedure every Employee, Family Member or Controlled Entity must follow to trade in Company Stock. Unless a Transaction is covered by an exception in this Policy, this procedure must be followed every time.</w:t>
      </w:r>
    </w:p>
    <w:p>
      <w:pPr>
        <w:spacing w:after="0" w:line="126" w:lineRule="exact"/>
        <w:rPr>
          <w:sz w:val="20"/>
          <w:szCs w:val="20"/>
          <w:color w:val="auto"/>
        </w:rPr>
      </w:pPr>
    </w:p>
    <w:p>
      <w:pPr>
        <w:jc w:val="both"/>
        <w:ind w:left="160" w:right="839"/>
        <w:spacing w:after="0" w:line="337" w:lineRule="auto"/>
        <w:rPr>
          <w:sz w:val="20"/>
          <w:szCs w:val="20"/>
          <w:color w:val="auto"/>
        </w:rPr>
      </w:pPr>
      <w:r>
        <w:rPr>
          <w:rFonts w:ascii="Arial" w:cs="Arial" w:eastAsia="Arial" w:hAnsi="Arial"/>
          <w:sz w:val="18"/>
          <w:szCs w:val="18"/>
          <w:color w:val="404040"/>
        </w:rPr>
        <w:t>Every Employee, Family Member and Controlled Entity must obtain a written Pre-Clearance approval from the General Counsel prior to any Transaction or gift involving Company Stock.</w:t>
      </w:r>
    </w:p>
    <w:p>
      <w:pPr>
        <w:spacing w:after="0" w:line="47" w:lineRule="exact"/>
        <w:rPr>
          <w:sz w:val="20"/>
          <w:szCs w:val="20"/>
          <w:color w:val="auto"/>
        </w:rPr>
      </w:pPr>
    </w:p>
    <w:p>
      <w:pPr>
        <w:jc w:val="both"/>
        <w:ind w:left="160" w:right="339"/>
        <w:spacing w:after="0" w:line="265" w:lineRule="auto"/>
        <w:rPr>
          <w:sz w:val="20"/>
          <w:szCs w:val="20"/>
          <w:color w:val="auto"/>
        </w:rPr>
      </w:pPr>
      <w:r>
        <w:rPr>
          <w:rFonts w:ascii="Arial" w:cs="Arial" w:eastAsia="Arial" w:hAnsi="Arial"/>
          <w:sz w:val="20"/>
          <w:szCs w:val="20"/>
          <w:color w:val="404040"/>
        </w:rPr>
        <w:t>Requests for Pre-Clearance should be submitted to the General Counsel or the General Counsel’s designee on the day of the Transaction. The General Counsel will consider the request and either approve it or determine it is not allowable under this Policy.</w:t>
      </w:r>
    </w:p>
    <w:p>
      <w:pPr>
        <w:spacing w:after="0" w:line="106" w:lineRule="exact"/>
        <w:rPr>
          <w:sz w:val="20"/>
          <w:szCs w:val="20"/>
          <w:color w:val="auto"/>
        </w:rPr>
      </w:pPr>
    </w:p>
    <w:p>
      <w:pPr>
        <w:ind w:left="160" w:right="339"/>
        <w:spacing w:after="0" w:line="303" w:lineRule="auto"/>
        <w:rPr>
          <w:sz w:val="20"/>
          <w:szCs w:val="20"/>
          <w:color w:val="auto"/>
        </w:rPr>
      </w:pPr>
      <w:r>
        <w:rPr>
          <w:rFonts w:ascii="Arial" w:cs="Arial" w:eastAsia="Arial" w:hAnsi="Arial"/>
          <w:sz w:val="18"/>
          <w:szCs w:val="18"/>
          <w:color w:val="404040"/>
        </w:rPr>
        <w:t>Each request for Pre-Clearance must include the following information for each requestor, corresponding Family Member or Controlled Entity: (1) whether they have knowledge of, or access to, any MNPI, and if so, include a detailed description, and (2) whether any have engaged in any non-exempt “opposite-way” transactions within six (6) months prior to the request.</w:t>
      </w:r>
    </w:p>
    <w:p>
      <w:pPr>
        <w:spacing w:after="0" w:line="77" w:lineRule="exact"/>
        <w:rPr>
          <w:sz w:val="20"/>
          <w:szCs w:val="20"/>
          <w:color w:val="auto"/>
        </w:rPr>
      </w:pPr>
    </w:p>
    <w:p>
      <w:pPr>
        <w:ind w:left="160" w:right="299"/>
        <w:spacing w:after="0" w:line="265" w:lineRule="auto"/>
        <w:rPr>
          <w:sz w:val="20"/>
          <w:szCs w:val="20"/>
          <w:color w:val="auto"/>
        </w:rPr>
      </w:pPr>
      <w:r>
        <w:rPr>
          <w:rFonts w:ascii="Arial" w:cs="Arial" w:eastAsia="Arial" w:hAnsi="Arial"/>
          <w:sz w:val="20"/>
          <w:szCs w:val="20"/>
          <w:color w:val="404040"/>
        </w:rPr>
        <w:t>If Pre-Clearance is granted, when required by the SEC, the requestor must coordinate with the Company to report the Transaction on an appropriate Form 4 or Form 5. The requestor should also be prepared to comply with SEC Rule 144 and coordinate with their broker to file a Form 144, if necessary, at the time the Transaction.</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Contact information:</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E. Ted Botner – General Counsel Phone</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(281) 675-9000</w:t>
      </w:r>
    </w:p>
    <w:p>
      <w:pPr>
        <w:ind w:left="160"/>
        <w:spacing w:after="0"/>
        <w:rPr>
          <w:sz w:val="20"/>
          <w:szCs w:val="20"/>
          <w:color w:val="auto"/>
        </w:rPr>
      </w:pPr>
      <w:r>
        <w:rPr>
          <w:rFonts w:ascii="Arial" w:cs="Arial" w:eastAsia="Arial" w:hAnsi="Arial"/>
          <w:sz w:val="20"/>
          <w:szCs w:val="20"/>
          <w:color w:val="404040"/>
        </w:rPr>
        <w:t xml:space="preserve">Email: </w:t>
      </w:r>
      <w:r>
        <w:rPr>
          <w:rFonts w:ascii="Arial" w:cs="Arial" w:eastAsia="Arial" w:hAnsi="Arial"/>
          <w:sz w:val="20"/>
          <w:szCs w:val="20"/>
          <w:u w:val="single" w:color="auto"/>
          <w:color w:val="0562C1"/>
        </w:rPr>
        <w:t>Ted_Botner@murphyoilcorp.com</w:t>
      </w:r>
    </w:p>
    <w:p>
      <w:pPr>
        <w:spacing w:after="0" w:line="153" w:lineRule="exact"/>
        <w:rPr>
          <w:sz w:val="20"/>
          <w:szCs w:val="20"/>
          <w:color w:val="auto"/>
        </w:rPr>
      </w:pPr>
    </w:p>
    <w:p>
      <w:pPr>
        <w:ind w:left="160" w:right="2939"/>
        <w:spacing w:after="0" w:line="260" w:lineRule="auto"/>
        <w:rPr>
          <w:sz w:val="20"/>
          <w:szCs w:val="20"/>
          <w:color w:val="auto"/>
        </w:rPr>
      </w:pPr>
      <w:r>
        <w:rPr>
          <w:rFonts w:ascii="Arial" w:cs="Arial" w:eastAsia="Arial" w:hAnsi="Arial"/>
          <w:sz w:val="20"/>
          <w:szCs w:val="20"/>
          <w:color w:val="404040"/>
        </w:rPr>
        <w:t>Tricia M. Hammons – Director, Governance &amp; Legal Services Phone (281) 675-9000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 xml:space="preserve">Email: </w:t>
      </w:r>
      <w:r>
        <w:rPr>
          <w:rFonts w:ascii="Arial" w:cs="Arial" w:eastAsia="Arial" w:hAnsi="Arial"/>
          <w:sz w:val="20"/>
          <w:szCs w:val="20"/>
          <w:u w:val="single" w:color="auto"/>
          <w:color w:val="0562C1"/>
        </w:rPr>
        <w:t>Tricia_Hammons@murphyoilcorp.com</w:t>
      </w: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RESTRICTIONS ON PRE-CLEARANCE</w:t>
      </w:r>
    </w:p>
    <w:p>
      <w:pPr>
        <w:spacing w:after="0" w:line="54" w:lineRule="exact"/>
        <w:rPr>
          <w:sz w:val="20"/>
          <w:szCs w:val="20"/>
          <w:color w:val="auto"/>
        </w:rPr>
      </w:pPr>
    </w:p>
    <w:p>
      <w:pPr>
        <w:ind w:left="160" w:right="639"/>
        <w:spacing w:after="0" w:line="270" w:lineRule="auto"/>
        <w:rPr>
          <w:sz w:val="20"/>
          <w:szCs w:val="20"/>
          <w:color w:val="auto"/>
        </w:rPr>
      </w:pPr>
      <w:r>
        <w:rPr>
          <w:rFonts w:ascii="Arial" w:cs="Arial" w:eastAsia="Arial" w:hAnsi="Arial"/>
          <w:sz w:val="20"/>
          <w:szCs w:val="20"/>
          <w:color w:val="404040"/>
        </w:rPr>
        <w:t>Pre-Clearance for any Transaction will not be granted when the requestor has access to MNPI, during a Blackout Period, or other Non-Trading Window.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Arial" w:cs="Arial" w:eastAsia="Arial" w:hAnsi="Arial"/>
          <w:sz w:val="17"/>
          <w:szCs w:val="17"/>
          <w:color w:val="6D6D6D"/>
        </w:rPr>
        <w:t>2 | Murphy Oil Corporation Last Modified: December 6, 2023</w:t>
      </w:r>
    </w:p>
    <w:p>
      <w:pPr>
        <w:sectPr>
          <w:pgSz w:w="11900" w:h="16838" w:orient="portrait"/>
          <w:cols w:equalWidth="0" w:num="1">
            <w:col w:w="9019"/>
          </w:cols>
          <w:pgMar w:left="1440" w:top="1440" w:right="1440" w:bottom="144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right="479"/>
        <w:spacing w:after="0" w:line="272" w:lineRule="auto"/>
        <w:rPr>
          <w:sz w:val="20"/>
          <w:szCs w:val="20"/>
          <w:color w:val="auto"/>
        </w:rPr>
      </w:pPr>
      <w:r>
        <w:rPr>
          <w:rFonts w:ascii="Arial" w:cs="Arial" w:eastAsia="Arial" w:hAnsi="Arial"/>
          <w:sz w:val="20"/>
          <w:szCs w:val="20"/>
          <w:color w:val="404040"/>
        </w:rPr>
        <w:t>For Pre-Clearance requests involving stock options or stock appreciation rights, if the request is made prior to 10a.m. CT on the desired trading day, and approved, the request will be processed using the prior trading day’s average high and low stock price.</w:t>
      </w:r>
    </w:p>
    <w:p>
      <w:pPr>
        <w:spacing w:after="0" w:line="100" w:lineRule="exact"/>
        <w:rPr>
          <w:sz w:val="20"/>
          <w:szCs w:val="20"/>
          <w:color w:val="auto"/>
        </w:rPr>
      </w:pPr>
    </w:p>
    <w:p>
      <w:pPr>
        <w:ind w:left="160" w:right="299"/>
        <w:spacing w:after="0" w:line="260" w:lineRule="auto"/>
        <w:rPr>
          <w:sz w:val="20"/>
          <w:szCs w:val="20"/>
          <w:color w:val="auto"/>
        </w:rPr>
      </w:pPr>
      <w:r>
        <w:rPr>
          <w:rFonts w:ascii="Arial" w:cs="Arial" w:eastAsia="Arial" w:hAnsi="Arial"/>
          <w:sz w:val="20"/>
          <w:szCs w:val="20"/>
          <w:color w:val="404040"/>
        </w:rPr>
        <w:t xml:space="preserve">Pre-Clearance may be granted after MNPI becomes Publicly Disclosed. </w:t>
      </w:r>
      <w:r>
        <w:rPr>
          <w:rFonts w:ascii="Arial" w:cs="Arial" w:eastAsia="Arial" w:hAnsi="Arial"/>
          <w:sz w:val="20"/>
          <w:szCs w:val="20"/>
          <w:i w:val="1"/>
          <w:iCs w:val="1"/>
          <w:color w:val="404040"/>
        </w:rPr>
        <w:t>Once information is</w:t>
      </w:r>
      <w:r>
        <w:rPr>
          <w:rFonts w:ascii="Arial" w:cs="Arial" w:eastAsia="Arial" w:hAnsi="Arial"/>
          <w:sz w:val="20"/>
          <w:szCs w:val="20"/>
          <w:color w:val="404040"/>
        </w:rPr>
        <w:t xml:space="preserve"> </w:t>
      </w:r>
      <w:r>
        <w:rPr>
          <w:rFonts w:ascii="Arial" w:cs="Arial" w:eastAsia="Arial" w:hAnsi="Arial"/>
          <w:sz w:val="20"/>
          <w:szCs w:val="20"/>
          <w:i w:val="1"/>
          <w:iCs w:val="1"/>
          <w:color w:val="404040"/>
        </w:rPr>
        <w:t xml:space="preserve">Publicly Disclosed it is still necessary to afford the investing public with sufficient time to absorb the information. </w:t>
      </w:r>
      <w:r>
        <w:rPr>
          <w:rFonts w:ascii="Arial" w:cs="Arial" w:eastAsia="Arial" w:hAnsi="Arial"/>
          <w:sz w:val="20"/>
          <w:szCs w:val="20"/>
          <w:color w:val="404040"/>
        </w:rPr>
        <w:t>As a general rule, information should not be considered fully absorbed by the</w:t>
      </w:r>
      <w:r>
        <w:rPr>
          <w:rFonts w:ascii="Arial" w:cs="Arial" w:eastAsia="Arial" w:hAnsi="Arial"/>
          <w:sz w:val="20"/>
          <w:szCs w:val="20"/>
          <w:i w:val="1"/>
          <w:iCs w:val="1"/>
          <w:color w:val="404040"/>
        </w:rPr>
        <w:t xml:space="preserve"> </w:t>
      </w:r>
      <w:r>
        <w:rPr>
          <w:rFonts w:ascii="Arial" w:cs="Arial" w:eastAsia="Arial" w:hAnsi="Arial"/>
          <w:sz w:val="20"/>
          <w:szCs w:val="20"/>
          <w:color w:val="404040"/>
        </w:rPr>
        <w:t>marketplace until the third trading day after the information is released. For example, if the Company were to make an announcement on a Wednesday, trading is not permitted until the following Monday. Depending on the circumstances regarding the release of specific MNPI, the Company may determine that a longer period should apply.</w:t>
      </w: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MATERIAL NONPUBLIC INFORMATION REGARDING OTHER COMPANIES</w:t>
      </w:r>
    </w:p>
    <w:p>
      <w:pPr>
        <w:spacing w:after="0" w:line="54" w:lineRule="exact"/>
        <w:rPr>
          <w:sz w:val="20"/>
          <w:szCs w:val="20"/>
          <w:color w:val="auto"/>
        </w:rPr>
      </w:pPr>
    </w:p>
    <w:p>
      <w:pPr>
        <w:jc w:val="both"/>
        <w:ind w:left="160" w:right="279"/>
        <w:spacing w:after="0" w:line="300" w:lineRule="auto"/>
        <w:rPr>
          <w:sz w:val="20"/>
          <w:szCs w:val="20"/>
          <w:color w:val="auto"/>
        </w:rPr>
      </w:pPr>
      <w:r>
        <w:rPr>
          <w:rFonts w:ascii="Arial" w:cs="Arial" w:eastAsia="Arial" w:hAnsi="Arial"/>
          <w:sz w:val="18"/>
          <w:szCs w:val="18"/>
          <w:color w:val="404040"/>
        </w:rPr>
        <w:t>This Policy extends to material nonpublic information relating to other companies. This includes the Company’s customers, vendors, suppliers or venture partners when that information is obtained in the course of an Employee’s duties on behalf of the Company. Such information should be treated with the same care required with respect to Company’s confidential information.</w:t>
      </w:r>
    </w:p>
    <w:p>
      <w:pPr>
        <w:spacing w:after="0" w:line="79" w:lineRule="exact"/>
        <w:rPr>
          <w:sz w:val="20"/>
          <w:szCs w:val="20"/>
          <w:color w:val="auto"/>
        </w:rPr>
      </w:pPr>
    </w:p>
    <w:p>
      <w:pPr>
        <w:ind w:left="160" w:right="459"/>
        <w:spacing w:after="0" w:line="265" w:lineRule="auto"/>
        <w:rPr>
          <w:sz w:val="20"/>
          <w:szCs w:val="20"/>
          <w:color w:val="auto"/>
        </w:rPr>
      </w:pPr>
      <w:r>
        <w:rPr>
          <w:rFonts w:ascii="Arial" w:cs="Arial" w:eastAsia="Arial" w:hAnsi="Arial"/>
          <w:sz w:val="20"/>
          <w:szCs w:val="20"/>
          <w:color w:val="404040"/>
        </w:rPr>
        <w:t>Except as set forth in this Policy, no Employee who learns about material nonpublic information relating to other companies with which the Company does business, may trade in that company’s Stock until the information becomes public or is no longer material.</w:t>
      </w: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TRANSACTIONS AFTER LEAVING THE COMPANY</w:t>
      </w:r>
    </w:p>
    <w:p>
      <w:pPr>
        <w:spacing w:after="0" w:line="51" w:lineRule="exact"/>
        <w:rPr>
          <w:sz w:val="20"/>
          <w:szCs w:val="20"/>
          <w:color w:val="auto"/>
        </w:rPr>
      </w:pPr>
    </w:p>
    <w:p>
      <w:pPr>
        <w:jc w:val="both"/>
        <w:ind w:left="160" w:right="519"/>
        <w:spacing w:after="0" w:line="331" w:lineRule="auto"/>
        <w:rPr>
          <w:sz w:val="20"/>
          <w:szCs w:val="20"/>
          <w:color w:val="auto"/>
        </w:rPr>
      </w:pPr>
      <w:r>
        <w:rPr>
          <w:rFonts w:ascii="Arial" w:cs="Arial" w:eastAsia="Arial" w:hAnsi="Arial"/>
          <w:sz w:val="18"/>
          <w:szCs w:val="18"/>
          <w:color w:val="404040"/>
        </w:rPr>
        <w:t>This Policy will continue to apply until the later of (a) 90 days following an Employee’s departure and (b) the end of the first Blackout Period that begins after the Employee has left the Company.</w:t>
      </w:r>
    </w:p>
    <w:p>
      <w:pPr>
        <w:spacing w:after="0" w:line="52" w:lineRule="exact"/>
        <w:rPr>
          <w:sz w:val="20"/>
          <w:szCs w:val="20"/>
          <w:color w:val="auto"/>
        </w:rPr>
      </w:pPr>
    </w:p>
    <w:p>
      <w:pPr>
        <w:ind w:left="160" w:right="559"/>
        <w:spacing w:after="0" w:line="337" w:lineRule="auto"/>
        <w:rPr>
          <w:sz w:val="20"/>
          <w:szCs w:val="20"/>
          <w:color w:val="auto"/>
        </w:rPr>
      </w:pPr>
      <w:r>
        <w:rPr>
          <w:rFonts w:ascii="Arial" w:cs="Arial" w:eastAsia="Arial" w:hAnsi="Arial"/>
          <w:sz w:val="18"/>
          <w:szCs w:val="18"/>
          <w:color w:val="404040"/>
        </w:rPr>
        <w:t>In addition to these restrictions, no Employee that leaves the Company with knowledge of MNPI may trade in Company Stock until that information has become public or is no longer material.</w:t>
      </w:r>
    </w:p>
    <w:p>
      <w:pPr>
        <w:spacing w:after="0" w:line="200" w:lineRule="exact"/>
        <w:rPr>
          <w:sz w:val="20"/>
          <w:szCs w:val="20"/>
          <w:color w:val="auto"/>
        </w:r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PROHIBITED TRANSACTIONS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No Employee may engage in any of the following Transactions involving Company Stock:</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Short-Term Trading/Opposite Way Trades</w:t>
      </w:r>
    </w:p>
    <w:p>
      <w:pPr>
        <w:spacing w:after="0" w:line="39" w:lineRule="exact"/>
        <w:rPr>
          <w:sz w:val="20"/>
          <w:szCs w:val="20"/>
          <w:color w:val="auto"/>
        </w:rPr>
      </w:pPr>
    </w:p>
    <w:p>
      <w:pPr>
        <w:ind w:left="160" w:right="439"/>
        <w:spacing w:after="0" w:line="336" w:lineRule="auto"/>
        <w:rPr>
          <w:sz w:val="20"/>
          <w:szCs w:val="20"/>
          <w:color w:val="auto"/>
        </w:rPr>
      </w:pPr>
      <w:r>
        <w:rPr>
          <w:rFonts w:ascii="Arial" w:cs="Arial" w:eastAsia="Arial" w:hAnsi="Arial"/>
          <w:sz w:val="18"/>
          <w:szCs w:val="18"/>
          <w:color w:val="404040"/>
        </w:rPr>
        <w:t xml:space="preserve">No Employee who purchases Company Stock in the open market may sell Company Stock of the same class during the six (6) months following the purchase (or vice versa). </w:t>
      </w:r>
      <w:r>
        <w:rPr>
          <w:rFonts w:ascii="Arial" w:cs="Arial" w:eastAsia="Arial" w:hAnsi="Arial"/>
          <w:sz w:val="18"/>
          <w:szCs w:val="18"/>
          <w:i w:val="1"/>
          <w:iCs w:val="1"/>
          <w:color w:val="404040"/>
        </w:rPr>
        <w:t>Note: Securities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7"/>
          <w:szCs w:val="17"/>
          <w:color w:val="6D6D6D"/>
        </w:rPr>
        <w:t>3 | Murphy Oil Corporation Last Modified: December 6, 2023</w:t>
      </w:r>
    </w:p>
    <w:p>
      <w:pPr>
        <w:sectPr>
          <w:pgSz w:w="11900" w:h="16838" w:orient="portrait"/>
          <w:cols w:equalWidth="0" w:num="1">
            <w:col w:w="9019"/>
          </w:cols>
          <w:pgMar w:left="1440" w:top="1440" w:right="1440" w:bottom="1440" w:gutter="0" w:footer="0" w:header="0"/>
          <w:type w:val="continuous"/>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right="519"/>
        <w:spacing w:after="0" w:line="279" w:lineRule="auto"/>
        <w:rPr>
          <w:sz w:val="20"/>
          <w:szCs w:val="20"/>
          <w:color w:val="auto"/>
        </w:rPr>
      </w:pPr>
      <w:r>
        <w:rPr>
          <w:rFonts w:ascii="Arial" w:cs="Arial" w:eastAsia="Arial" w:hAnsi="Arial"/>
          <w:sz w:val="20"/>
          <w:szCs w:val="20"/>
          <w:i w:val="1"/>
          <w:iCs w:val="1"/>
          <w:color w:val="404040"/>
        </w:rPr>
        <w:t>regulation Section 16(b) requires company insiders to return any profits made from the purchase and sale of Company Stock if both transactions occur within a six-month period.</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Short Sales</w:t>
      </w:r>
    </w:p>
    <w:p>
      <w:pPr>
        <w:spacing w:after="0" w:line="39" w:lineRule="exact"/>
        <w:rPr>
          <w:sz w:val="20"/>
          <w:szCs w:val="20"/>
          <w:color w:val="auto"/>
        </w:rPr>
      </w:pPr>
    </w:p>
    <w:p>
      <w:pPr>
        <w:jc w:val="both"/>
        <w:ind w:left="160" w:right="399"/>
        <w:spacing w:after="0" w:line="307" w:lineRule="auto"/>
        <w:rPr>
          <w:sz w:val="20"/>
          <w:szCs w:val="20"/>
          <w:color w:val="auto"/>
        </w:rPr>
      </w:pPr>
      <w:r>
        <w:rPr>
          <w:rFonts w:ascii="Arial" w:cs="Arial" w:eastAsia="Arial" w:hAnsi="Arial"/>
          <w:sz w:val="18"/>
          <w:szCs w:val="18"/>
          <w:color w:val="404040"/>
        </w:rPr>
        <w:t xml:space="preserve">The sale of Company Stock that the seller does not own. </w:t>
      </w:r>
      <w:r>
        <w:rPr>
          <w:rFonts w:ascii="Arial" w:cs="Arial" w:eastAsia="Arial" w:hAnsi="Arial"/>
          <w:sz w:val="18"/>
          <w:szCs w:val="18"/>
          <w:i w:val="1"/>
          <w:iCs w:val="1"/>
          <w:color w:val="404040"/>
        </w:rPr>
        <w:t>Note: Section 16(c) of the Exchange Act</w:t>
      </w:r>
      <w:r>
        <w:rPr>
          <w:rFonts w:ascii="Arial" w:cs="Arial" w:eastAsia="Arial" w:hAnsi="Arial"/>
          <w:sz w:val="18"/>
          <w:szCs w:val="18"/>
          <w:color w:val="404040"/>
        </w:rPr>
        <w:t xml:space="preserve"> </w:t>
      </w:r>
      <w:r>
        <w:rPr>
          <w:rFonts w:ascii="Arial" w:cs="Arial" w:eastAsia="Arial" w:hAnsi="Arial"/>
          <w:sz w:val="18"/>
          <w:szCs w:val="18"/>
          <w:i w:val="1"/>
          <w:iCs w:val="1"/>
          <w:color w:val="404040"/>
        </w:rPr>
        <w:t>prohibits officers and directors from engaging in short sales. Short sales arising from certain types of hedging transactions are governed by the paragraph captioned “Hedging Transactions.”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Publicly-Traded Options</w:t>
      </w:r>
    </w:p>
    <w:p>
      <w:pPr>
        <w:spacing w:after="0" w:line="39" w:lineRule="exact"/>
        <w:rPr>
          <w:sz w:val="20"/>
          <w:szCs w:val="20"/>
          <w:color w:val="auto"/>
        </w:rPr>
      </w:pPr>
    </w:p>
    <w:p>
      <w:pPr>
        <w:ind w:left="160" w:right="539"/>
        <w:spacing w:after="0" w:line="265" w:lineRule="auto"/>
        <w:rPr>
          <w:sz w:val="20"/>
          <w:szCs w:val="20"/>
          <w:color w:val="auto"/>
        </w:rPr>
      </w:pPr>
      <w:r>
        <w:rPr>
          <w:rFonts w:ascii="Arial" w:cs="Arial" w:eastAsia="Arial" w:hAnsi="Arial"/>
          <w:sz w:val="20"/>
          <w:szCs w:val="20"/>
          <w:color w:val="404040"/>
        </w:rPr>
        <w:t xml:space="preserve">Transactions in put options, call options or other derivative securities on an exchange or in any other organized market. </w:t>
      </w:r>
      <w:r>
        <w:rPr>
          <w:rFonts w:ascii="Arial" w:cs="Arial" w:eastAsia="Arial" w:hAnsi="Arial"/>
          <w:sz w:val="20"/>
          <w:szCs w:val="20"/>
          <w:i w:val="1"/>
          <w:iCs w:val="1"/>
          <w:color w:val="404040"/>
        </w:rPr>
        <w:t>For positions arising from certain types of hedging transactions, see the</w:t>
      </w:r>
      <w:r>
        <w:rPr>
          <w:rFonts w:ascii="Arial" w:cs="Arial" w:eastAsia="Arial" w:hAnsi="Arial"/>
          <w:sz w:val="20"/>
          <w:szCs w:val="20"/>
          <w:color w:val="404040"/>
        </w:rPr>
        <w:t xml:space="preserve"> </w:t>
      </w:r>
      <w:r>
        <w:rPr>
          <w:rFonts w:ascii="Arial" w:cs="Arial" w:eastAsia="Arial" w:hAnsi="Arial"/>
          <w:sz w:val="20"/>
          <w:szCs w:val="20"/>
          <w:i w:val="1"/>
          <w:iCs w:val="1"/>
          <w:color w:val="404040"/>
        </w:rPr>
        <w:t>“Hedging Transactions” section.</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Hedging Transactions</w:t>
      </w:r>
    </w:p>
    <w:p>
      <w:pPr>
        <w:spacing w:after="0" w:line="39" w:lineRule="exact"/>
        <w:rPr>
          <w:sz w:val="20"/>
          <w:szCs w:val="20"/>
          <w:color w:val="auto"/>
        </w:rPr>
      </w:pPr>
    </w:p>
    <w:p>
      <w:pPr>
        <w:jc w:val="both"/>
        <w:ind w:left="160" w:right="199"/>
        <w:spacing w:after="0" w:line="265" w:lineRule="auto"/>
        <w:rPr>
          <w:sz w:val="20"/>
          <w:szCs w:val="20"/>
          <w:color w:val="auto"/>
        </w:rPr>
      </w:pPr>
      <w:r>
        <w:rPr>
          <w:rFonts w:ascii="Arial" w:cs="Arial" w:eastAsia="Arial" w:hAnsi="Arial"/>
          <w:sz w:val="20"/>
          <w:szCs w:val="20"/>
          <w:color w:val="404040"/>
        </w:rPr>
        <w:t>Transactions including those involving options, puts, calls, prepaid variable forward contracts, equity swaps, collars and exchange funds or other derivatives, that are designed to hedge or speculate on any change in the market value of the Company’s Stock.</w:t>
      </w: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SPECIAL CONDITIONS FOR SPECIFIC TRANSACTIONS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Margin Accounts and Pledged Stock</w:t>
      </w:r>
    </w:p>
    <w:p>
      <w:pPr>
        <w:spacing w:after="0" w:line="19" w:lineRule="exact"/>
        <w:rPr>
          <w:sz w:val="20"/>
          <w:szCs w:val="20"/>
          <w:color w:val="auto"/>
        </w:rPr>
      </w:pPr>
    </w:p>
    <w:p>
      <w:pPr>
        <w:ind w:left="160" w:right="359"/>
        <w:spacing w:after="0" w:line="259" w:lineRule="auto"/>
        <w:rPr>
          <w:sz w:val="20"/>
          <w:szCs w:val="20"/>
          <w:color w:val="auto"/>
        </w:rPr>
      </w:pPr>
      <w:r>
        <w:rPr>
          <w:rFonts w:ascii="Arial" w:cs="Arial" w:eastAsia="Arial" w:hAnsi="Arial"/>
          <w:sz w:val="20"/>
          <w:szCs w:val="20"/>
          <w:color w:val="404040"/>
        </w:rPr>
        <w:t>As noted in the Company’s Corporate Governance Guidelines, a director or officer may not pledge Company Stock (including by purchasing Company Stock on margin or holding Company Stock in a margin account) until they have achieved the requisite stock ownership target specified in the Company’s stock ownership guidelines. Once such stock ownership target has been achieved, a director or officer is permitted to pledge Company Stock in compliance with applicable law (including disclosure of such pledging in the Company’s proxy statement as required by SEC regulations), provided, that Company Stock required to meet the applicable ownership target remains unpledged. Pledging of shares should be disclosed to the General Counsel before the pledges take place.</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Standing and Limit Orders</w:t>
      </w:r>
    </w:p>
    <w:p>
      <w:pPr>
        <w:spacing w:after="0" w:line="39" w:lineRule="exact"/>
        <w:rPr>
          <w:sz w:val="20"/>
          <w:szCs w:val="20"/>
          <w:color w:val="auto"/>
        </w:rPr>
      </w:pPr>
    </w:p>
    <w:p>
      <w:pPr>
        <w:ind w:left="160" w:right="339"/>
        <w:spacing w:after="0" w:line="265" w:lineRule="auto"/>
        <w:rPr>
          <w:sz w:val="20"/>
          <w:szCs w:val="20"/>
          <w:color w:val="auto"/>
        </w:rPr>
      </w:pPr>
      <w:r>
        <w:rPr>
          <w:rFonts w:ascii="Arial" w:cs="Arial" w:eastAsia="Arial" w:hAnsi="Arial"/>
          <w:sz w:val="20"/>
          <w:szCs w:val="20"/>
          <w:color w:val="404040"/>
        </w:rPr>
        <w:t xml:space="preserve">Except for standing or limit orders under approved Rule 10b5-1 Plans, the Company discourages placing standing or limit orders on Company Stock. If an Employee desires to use a standing order or limit order, the order should be limited to short duration and should otherwise comply with the </w:t>
      </w:r>
      <w:r>
        <w:rPr>
          <w:rFonts w:ascii="Arial" w:cs="Arial" w:eastAsia="Arial" w:hAnsi="Arial"/>
          <w:sz w:val="20"/>
          <w:szCs w:val="20"/>
          <w:i w:val="1"/>
          <w:iCs w:val="1"/>
          <w:color w:val="404040"/>
        </w:rPr>
        <w:t xml:space="preserve">Pre-Clearance procedures </w:t>
      </w:r>
      <w:r>
        <w:rPr>
          <w:rFonts w:ascii="Arial" w:cs="Arial" w:eastAsia="Arial" w:hAnsi="Arial"/>
          <w:sz w:val="20"/>
          <w:szCs w:val="20"/>
          <w:color w:val="404040"/>
        </w:rPr>
        <w:t>outlined in this Policy.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10b5-1 Plans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17"/>
          <w:szCs w:val="17"/>
          <w:color w:val="6D6D6D"/>
        </w:rPr>
        <w:t>4 | Murphy Oil Corporation Last Modified: December 6, 2023</w:t>
      </w:r>
    </w:p>
    <w:p>
      <w:pPr>
        <w:sectPr>
          <w:pgSz w:w="11900" w:h="16838" w:orient="portrait"/>
          <w:cols w:equalWidth="0" w:num="1">
            <w:col w:w="9019"/>
          </w:cols>
          <w:pgMar w:left="1440" w:top="1440" w:right="1440" w:bottom="144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right="239"/>
        <w:spacing w:after="0" w:line="265" w:lineRule="auto"/>
        <w:rPr>
          <w:sz w:val="20"/>
          <w:szCs w:val="20"/>
          <w:color w:val="auto"/>
        </w:rPr>
      </w:pPr>
      <w:r>
        <w:rPr>
          <w:rFonts w:ascii="Arial" w:cs="Arial" w:eastAsia="Arial" w:hAnsi="Arial"/>
          <w:sz w:val="20"/>
          <w:szCs w:val="20"/>
          <w:color w:val="404040"/>
        </w:rPr>
        <w:t>Rule 10b5-1 under the Exchange Act provides an affirmative defense from insider trading liability. In order for this defense to be available, a person must enter into a written plan (a “10b5-1 Plan”) that meets the criteria specified in Rule 10b5-1. If the 10b5-1 Plan meets these requirements, the Employee may Transact in Company Stock pursuant to the 10b5-1 Plan while in possession of MNPI and during a Blackout Period or other Non-Trading Window.</w:t>
      </w:r>
    </w:p>
    <w:p>
      <w:pPr>
        <w:spacing w:after="0" w:line="106" w:lineRule="exact"/>
        <w:rPr>
          <w:sz w:val="20"/>
          <w:szCs w:val="20"/>
          <w:color w:val="auto"/>
        </w:rPr>
      </w:pPr>
    </w:p>
    <w:p>
      <w:pPr>
        <w:ind w:left="160" w:right="399"/>
        <w:spacing w:after="0" w:line="265" w:lineRule="auto"/>
        <w:rPr>
          <w:sz w:val="20"/>
          <w:szCs w:val="20"/>
          <w:color w:val="auto"/>
        </w:rPr>
      </w:pPr>
      <w:r>
        <w:rPr>
          <w:rFonts w:ascii="Arial" w:cs="Arial" w:eastAsia="Arial" w:hAnsi="Arial"/>
          <w:sz w:val="20"/>
          <w:szCs w:val="20"/>
          <w:color w:val="404040"/>
        </w:rPr>
        <w:t>Entry into a Rule 10b5-1 Plan is subject to the Pre-Clearance procedures outlined in this Policy and, to the extent applicable, compliance with the Company’s stock ownership guidelines. All Pre-Clearance requests must be made outside of a Blackout Period and at a time when the requestor is not in possession of MNPI.</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10b5-1 Plan Requirements</w:t>
      </w:r>
    </w:p>
    <w:p>
      <w:pPr>
        <w:spacing w:after="0" w:line="39" w:lineRule="exact"/>
        <w:rPr>
          <w:sz w:val="20"/>
          <w:szCs w:val="20"/>
          <w:color w:val="auto"/>
        </w:rPr>
      </w:pPr>
    </w:p>
    <w:p>
      <w:pPr>
        <w:ind w:left="160" w:right="339"/>
        <w:spacing w:after="0" w:line="260" w:lineRule="auto"/>
        <w:rPr>
          <w:sz w:val="20"/>
          <w:szCs w:val="20"/>
          <w:color w:val="auto"/>
        </w:rPr>
      </w:pPr>
      <w:r>
        <w:rPr>
          <w:rFonts w:ascii="Arial" w:cs="Arial" w:eastAsia="Arial" w:hAnsi="Arial"/>
          <w:sz w:val="20"/>
          <w:szCs w:val="20"/>
          <w:color w:val="404040"/>
        </w:rPr>
        <w:t>Each 10b5-1 Plan must be in writing and signed by the Employee, and the Employee must provide a copy to the Company. A 10b5-1 Plan must not permit an Employee to exercise any subsequent influence over how, when or whether to effect purchases or sales. The Employee must act in good faith at the time the 10b5-1 Plan is adopted and with respect to the 10b5-1 Plan through its duration. In addition, each 10b5-1 Plan entered into by a director or officer must include a representation certifying that (a) such person is not in possession of material non- public information about the Company or Company Stock, and (b) the 10b5-1 Plan is being adopted in good faith and not as part of a plan to evade the prohibitions of Rule 10b-5.</w:t>
      </w:r>
    </w:p>
    <w:p>
      <w:pPr>
        <w:spacing w:after="0" w:line="104" w:lineRule="exact"/>
        <w:rPr>
          <w:sz w:val="20"/>
          <w:szCs w:val="20"/>
          <w:color w:val="auto"/>
        </w:rPr>
      </w:pPr>
    </w:p>
    <w:p>
      <w:pPr>
        <w:ind w:left="160" w:right="199"/>
        <w:spacing w:after="0" w:line="262" w:lineRule="auto"/>
        <w:rPr>
          <w:sz w:val="20"/>
          <w:szCs w:val="20"/>
          <w:color w:val="auto"/>
        </w:rPr>
      </w:pPr>
      <w:r>
        <w:rPr>
          <w:rFonts w:ascii="Arial" w:cs="Arial" w:eastAsia="Arial" w:hAnsi="Arial"/>
          <w:sz w:val="20"/>
          <w:szCs w:val="20"/>
          <w:color w:val="404040"/>
        </w:rPr>
        <w:t>Each 10b5-1 Plan must provide for delayed effectiveness after adoption or amendment (a “Cooling-Off Period”). For directors or officers, the 10b5-1 Plan must specify that trades cannot begin until the later of (a) 90 days after the date of adoption or amendment under the 10b5-1 Plan and (b) 2 business days following the Company’s filing of a quarterly or annual report covering the financial reporting period in which the 10b5-1 Plan was adopted or amended (but in no event later than 120 days after the adoption or amendment of the 10b5-1 Plan).</w:t>
      </w:r>
    </w:p>
    <w:p>
      <w:pPr>
        <w:spacing w:after="0" w:line="9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Amendment, Suspension and Termination</w:t>
      </w:r>
    </w:p>
    <w:p>
      <w:pPr>
        <w:spacing w:after="0" w:line="39" w:lineRule="exact"/>
        <w:rPr>
          <w:sz w:val="20"/>
          <w:szCs w:val="20"/>
          <w:color w:val="auto"/>
        </w:rPr>
      </w:pPr>
    </w:p>
    <w:p>
      <w:pPr>
        <w:ind w:left="160" w:right="299"/>
        <w:spacing w:after="0" w:line="265" w:lineRule="auto"/>
        <w:rPr>
          <w:sz w:val="20"/>
          <w:szCs w:val="20"/>
          <w:color w:val="auto"/>
        </w:rPr>
      </w:pPr>
      <w:r>
        <w:rPr>
          <w:rFonts w:ascii="Arial" w:cs="Arial" w:eastAsia="Arial" w:hAnsi="Arial"/>
          <w:sz w:val="20"/>
          <w:szCs w:val="20"/>
          <w:color w:val="404040"/>
        </w:rPr>
        <w:t>Amendments, suspensions, and terminations of 10b5-1 Plans must be approved in advance by the General Counsel or his or her designee. In addition, an Employee may not voluntarily amend a 10b5-1 Plan during a Blackout Period or other Non-Trading Window or while in possession of MNPI.</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Mandatory Suspension</w:t>
      </w:r>
    </w:p>
    <w:p>
      <w:pPr>
        <w:spacing w:after="0" w:line="39" w:lineRule="exact"/>
        <w:rPr>
          <w:sz w:val="20"/>
          <w:szCs w:val="20"/>
          <w:color w:val="auto"/>
        </w:rPr>
      </w:pPr>
    </w:p>
    <w:p>
      <w:pPr>
        <w:ind w:left="160" w:right="379"/>
        <w:spacing w:after="0" w:line="265" w:lineRule="auto"/>
        <w:rPr>
          <w:sz w:val="20"/>
          <w:szCs w:val="20"/>
          <w:color w:val="auto"/>
        </w:rPr>
      </w:pPr>
      <w:r>
        <w:rPr>
          <w:rFonts w:ascii="Arial" w:cs="Arial" w:eastAsia="Arial" w:hAnsi="Arial"/>
          <w:sz w:val="20"/>
          <w:szCs w:val="20"/>
          <w:color w:val="404040"/>
        </w:rPr>
        <w:t>Each 10b5-1 Plan must provide for suspension of trades under such plan if legal, regulatory or contractual restrictions are imposed on the Employee, or if this Policy is amended, or other events occur, that would prohibit sales under the 10b5-1 Plan.</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Only One Plan in Effect at Any Time</w:t>
      </w:r>
    </w:p>
    <w:p>
      <w:pPr>
        <w:spacing w:after="0" w:line="39" w:lineRule="exact"/>
        <w:rPr>
          <w:sz w:val="20"/>
          <w:szCs w:val="20"/>
          <w:color w:val="auto"/>
        </w:rPr>
      </w:pPr>
    </w:p>
    <w:p>
      <w:pPr>
        <w:ind w:left="160" w:right="479"/>
        <w:spacing w:after="0" w:line="352" w:lineRule="auto"/>
        <w:rPr>
          <w:sz w:val="20"/>
          <w:szCs w:val="20"/>
          <w:color w:val="auto"/>
        </w:rPr>
      </w:pPr>
      <w:r>
        <w:rPr>
          <w:rFonts w:ascii="Arial" w:cs="Arial" w:eastAsia="Arial" w:hAnsi="Arial"/>
          <w:sz w:val="18"/>
          <w:szCs w:val="18"/>
          <w:color w:val="404040"/>
        </w:rPr>
        <w:t>Subject to certain exceptions, an Employee may have only one 10b5-1 Plan in effect at any time. An Employee may adopt a new 10b5-1 Plan to replace an existing 10b5-1 Plan before the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7"/>
          <w:szCs w:val="17"/>
          <w:color w:val="6D6D6D"/>
        </w:rPr>
        <w:t>5 | Murphy Oil Corporation Last Modified: December 6, 2023</w:t>
      </w:r>
    </w:p>
    <w:p>
      <w:pPr>
        <w:sectPr>
          <w:pgSz w:w="11900" w:h="16838" w:orient="portrait"/>
          <w:cols w:equalWidth="0" w:num="1">
            <w:col w:w="9019"/>
          </w:cols>
          <w:pgMar w:left="1440" w:top="1440" w:right="1440" w:bottom="144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right="279"/>
        <w:spacing w:after="0" w:line="272" w:lineRule="auto"/>
        <w:rPr>
          <w:sz w:val="20"/>
          <w:szCs w:val="20"/>
          <w:color w:val="auto"/>
        </w:rPr>
      </w:pPr>
      <w:r>
        <w:rPr>
          <w:rFonts w:ascii="Arial" w:cs="Arial" w:eastAsia="Arial" w:hAnsi="Arial"/>
          <w:sz w:val="20"/>
          <w:szCs w:val="20"/>
          <w:color w:val="404040"/>
        </w:rPr>
        <w:t>scheduled termination date of such existing 10b5-1 Plan, so long as the first scheduled trade under the new 10b5-1 Plan does not occur until after all trades under the existing 10b5-1 Plan are completed or expire without execution (subject to any Cooling-Off Periods).</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Notice of Trades</w:t>
      </w:r>
    </w:p>
    <w:p>
      <w:pPr>
        <w:spacing w:after="0" w:line="39" w:lineRule="exact"/>
        <w:rPr>
          <w:sz w:val="20"/>
          <w:szCs w:val="20"/>
          <w:color w:val="auto"/>
        </w:rPr>
      </w:pPr>
    </w:p>
    <w:p>
      <w:pPr>
        <w:ind w:left="160" w:right="439"/>
        <w:spacing w:after="0" w:line="265" w:lineRule="auto"/>
        <w:rPr>
          <w:sz w:val="20"/>
          <w:szCs w:val="20"/>
          <w:color w:val="auto"/>
        </w:rPr>
      </w:pPr>
      <w:r>
        <w:rPr>
          <w:rFonts w:ascii="Arial" w:cs="Arial" w:eastAsia="Arial" w:hAnsi="Arial"/>
          <w:sz w:val="20"/>
          <w:szCs w:val="20"/>
          <w:color w:val="404040"/>
        </w:rPr>
        <w:t>Each 10b5-1 Plan entered into by an Employee subject to Section 16 filing requirements must provide that the broker will provide notice of any trades under the 10b5-1 Plan to the Employee in sufficient time to allow for the Employee to make timely filings under the Exchange Act.</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Company Disclosures</w:t>
      </w:r>
    </w:p>
    <w:p>
      <w:pPr>
        <w:spacing w:after="0" w:line="39" w:lineRule="exact"/>
        <w:rPr>
          <w:sz w:val="20"/>
          <w:szCs w:val="20"/>
          <w:color w:val="auto"/>
        </w:rPr>
      </w:pPr>
    </w:p>
    <w:p>
      <w:pPr>
        <w:ind w:left="160" w:right="199"/>
        <w:spacing w:after="0" w:line="265" w:lineRule="auto"/>
        <w:rPr>
          <w:sz w:val="20"/>
          <w:szCs w:val="20"/>
          <w:color w:val="auto"/>
        </w:rPr>
      </w:pPr>
      <w:r>
        <w:rPr>
          <w:rFonts w:ascii="Arial" w:cs="Arial" w:eastAsia="Arial" w:hAnsi="Arial"/>
          <w:sz w:val="20"/>
          <w:szCs w:val="20"/>
          <w:color w:val="404040"/>
        </w:rPr>
        <w:t>The Company will disclose in its quarterly and annual reports the material terms of the 10b5-1 Plans adopted or terminated (which includes modifications) by directors or officers, including the identity of the person, the date of adoption or termination, the duration of the trading arrangement and the aggregate number of Company Stock covered under the 10b5-1 Plan.</w:t>
      </w: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EXCEPTIONS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This Policy does not apply to the following Transactions: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Restricted Stock Awards</w:t>
      </w:r>
    </w:p>
    <w:p>
      <w:pPr>
        <w:spacing w:after="0" w:line="39" w:lineRule="exact"/>
        <w:rPr>
          <w:sz w:val="20"/>
          <w:szCs w:val="20"/>
          <w:color w:val="auto"/>
        </w:rPr>
      </w:pPr>
    </w:p>
    <w:p>
      <w:pPr>
        <w:ind w:left="160" w:right="219"/>
        <w:spacing w:after="0" w:line="265" w:lineRule="auto"/>
        <w:rPr>
          <w:sz w:val="20"/>
          <w:szCs w:val="20"/>
          <w:color w:val="auto"/>
        </w:rPr>
      </w:pPr>
      <w:r>
        <w:rPr>
          <w:rFonts w:ascii="Arial" w:cs="Arial" w:eastAsia="Arial" w:hAnsi="Arial"/>
          <w:sz w:val="20"/>
          <w:szCs w:val="20"/>
          <w:color w:val="404040"/>
        </w:rPr>
        <w:t>This Policy does not apply to the vesting of restricted stock, or the exercise of a tax withholding right pursuant to which an Employee elects to have the Company withhold shares of stock to satisfy tax withholding requirements upon the vesting of any restricted stock. The Policy does apply; however, to any market sale of restricted stock.</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401(k) Plan</w:t>
      </w:r>
    </w:p>
    <w:p>
      <w:pPr>
        <w:spacing w:after="0" w:line="39" w:lineRule="exact"/>
        <w:rPr>
          <w:sz w:val="20"/>
          <w:szCs w:val="20"/>
          <w:color w:val="auto"/>
        </w:rPr>
      </w:pPr>
    </w:p>
    <w:p>
      <w:pPr>
        <w:ind w:left="160" w:right="299"/>
        <w:spacing w:after="0" w:line="258" w:lineRule="auto"/>
        <w:rPr>
          <w:sz w:val="20"/>
          <w:szCs w:val="20"/>
          <w:color w:val="auto"/>
        </w:rPr>
      </w:pPr>
      <w:r>
        <w:rPr>
          <w:rFonts w:ascii="Arial" w:cs="Arial" w:eastAsia="Arial" w:hAnsi="Arial"/>
          <w:sz w:val="20"/>
          <w:szCs w:val="20"/>
          <w:color w:val="404040"/>
        </w:rPr>
        <w:t>This Policy does not apply to purchases of Company Stock in the Company’s 401(k) plan resulting from a payroll deduction election. This Policy does apply; however, to other elections made under the 401(k) plan, including: (a) an election to increase or decrease the percentage of periodic contributions that will be allocated to the Company stock fund; (b) an election to make an intra-plan transfer of an existing account balance into or out of the Company stock fund; (c) an election to borrow money against a 401(k) plan account if the loan will result in a liquidation of some or all of a Company stock fund balance; and (d) an election to pre-pay a plan loan if the pre-payment will result in allocation of loan proceeds to the Company stock fund.</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Gifts</w:t>
      </w:r>
    </w:p>
    <w:p>
      <w:pPr>
        <w:spacing w:after="0" w:line="39" w:lineRule="exact"/>
        <w:rPr>
          <w:sz w:val="20"/>
          <w:szCs w:val="20"/>
          <w:color w:val="auto"/>
        </w:rPr>
      </w:pPr>
    </w:p>
    <w:p>
      <w:pPr>
        <w:ind w:left="160" w:right="199"/>
        <w:spacing w:after="0" w:line="261" w:lineRule="auto"/>
        <w:rPr>
          <w:sz w:val="20"/>
          <w:szCs w:val="20"/>
          <w:color w:val="auto"/>
        </w:rPr>
      </w:pPr>
      <w:r>
        <w:rPr>
          <w:rFonts w:ascii="Arial" w:cs="Arial" w:eastAsia="Arial" w:hAnsi="Arial"/>
          <w:sz w:val="20"/>
          <w:szCs w:val="20"/>
          <w:color w:val="404040"/>
        </w:rPr>
        <w:t>Bona fide gifts are permissible, subject to the Pre-Clearance requirements of this Policy. Gifts are prohibited in circumstances where the grantor making the gift has reason to believe that the recipient intends to sell the Company Stock while the grantor is aware of MNPI, or the grantor is aware that the recipient intends to sell the Company Stock during a Blackout Period or Non- Trading Window.</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6D6D6D"/>
        </w:rPr>
        <w:t>6 | Murphy Oil Corporation Last Modified: December 6, 2023</w:t>
      </w:r>
    </w:p>
    <w:p>
      <w:pPr>
        <w:sectPr>
          <w:pgSz w:w="11900" w:h="16838" w:orient="portrait"/>
          <w:cols w:equalWidth="0" w:num="1">
            <w:col w:w="9019"/>
          </w:cols>
          <w:pgMar w:left="1440" w:top="1440" w:right="1440" w:bottom="1440" w:gutter="0" w:footer="0" w:header="0"/>
          <w:type w:val="continuous"/>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Mutual Funds</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Transactions in mutual funds invested in Company Stock are not subject to this Policy.</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2"/>
        </w:rPr>
        <w:t>COMPANY TRADING</w:t>
      </w:r>
    </w:p>
    <w:p>
      <w:pPr>
        <w:spacing w:after="0" w:line="54" w:lineRule="exact"/>
        <w:rPr>
          <w:sz w:val="20"/>
          <w:szCs w:val="20"/>
          <w:color w:val="auto"/>
        </w:rPr>
      </w:pPr>
    </w:p>
    <w:p>
      <w:pPr>
        <w:ind w:left="160" w:right="439"/>
        <w:spacing w:after="0" w:line="262" w:lineRule="auto"/>
        <w:rPr>
          <w:sz w:val="20"/>
          <w:szCs w:val="20"/>
          <w:color w:val="auto"/>
        </w:rPr>
      </w:pPr>
      <w:r>
        <w:rPr>
          <w:rFonts w:ascii="Arial" w:cs="Arial" w:eastAsia="Arial" w:hAnsi="Arial"/>
          <w:sz w:val="20"/>
          <w:szCs w:val="20"/>
          <w:color w:val="404040"/>
        </w:rPr>
        <w:t>The Company must comply with U.S. securities laws applicable to its own trading activities, and it will not effect transactions in respect of Company Stock, or adopt any repurchase plans with respect to Company Stock, when it is in possession of MNPI, other than in compliance with applicable law.</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ADMINISTRATION, INQUIRIES</w:t>
      </w:r>
    </w:p>
    <w:p>
      <w:pPr>
        <w:spacing w:after="0" w:line="54" w:lineRule="exact"/>
        <w:rPr>
          <w:sz w:val="20"/>
          <w:szCs w:val="20"/>
          <w:color w:val="auto"/>
        </w:rPr>
      </w:pPr>
    </w:p>
    <w:p>
      <w:pPr>
        <w:ind w:left="160" w:right="639"/>
        <w:spacing w:after="0" w:line="260" w:lineRule="auto"/>
        <w:rPr>
          <w:sz w:val="20"/>
          <w:szCs w:val="20"/>
          <w:color w:val="auto"/>
        </w:rPr>
      </w:pPr>
      <w:r>
        <w:rPr>
          <w:rFonts w:ascii="Arial" w:cs="Arial" w:eastAsia="Arial" w:hAnsi="Arial"/>
          <w:sz w:val="20"/>
          <w:szCs w:val="20"/>
          <w:color w:val="404040"/>
        </w:rPr>
        <w:t>The General Counsel shall serve as the compliance officer for this Policy and is responsible for addressing any questions or inquiries. All determinations and interpretations by the General Counsel shall be final and not subject to further review.</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CAUTIONARY WARNINGS</w:t>
      </w:r>
    </w:p>
    <w:p>
      <w:pPr>
        <w:spacing w:after="0" w:line="51" w:lineRule="exact"/>
        <w:rPr>
          <w:sz w:val="20"/>
          <w:szCs w:val="20"/>
          <w:color w:val="auto"/>
        </w:rPr>
      </w:pPr>
    </w:p>
    <w:p>
      <w:pPr>
        <w:ind w:left="160" w:right="499"/>
        <w:spacing w:after="0" w:line="258" w:lineRule="auto"/>
        <w:rPr>
          <w:sz w:val="20"/>
          <w:szCs w:val="20"/>
          <w:color w:val="auto"/>
        </w:rPr>
      </w:pPr>
      <w:r>
        <w:rPr>
          <w:rFonts w:ascii="Arial" w:cs="Arial" w:eastAsia="Arial" w:hAnsi="Arial"/>
          <w:sz w:val="20"/>
          <w:szCs w:val="20"/>
          <w:color w:val="404040"/>
        </w:rPr>
        <w:t>The purchase and sale of securities while aware of material nonpublic information, or the disclosure of material nonpublic information to others who then trade in the security, is prohibited by state and federal law. These requirements apply not just to the entity issuing a security but also to the individuals involved in a transaction.</w:t>
      </w:r>
    </w:p>
    <w:p>
      <w:pPr>
        <w:spacing w:after="0" w:line="115" w:lineRule="exact"/>
        <w:rPr>
          <w:sz w:val="20"/>
          <w:szCs w:val="20"/>
          <w:color w:val="auto"/>
        </w:rPr>
      </w:pPr>
    </w:p>
    <w:p>
      <w:pPr>
        <w:ind w:left="160" w:right="279"/>
        <w:spacing w:after="0" w:line="262" w:lineRule="auto"/>
        <w:rPr>
          <w:sz w:val="20"/>
          <w:szCs w:val="20"/>
          <w:color w:val="auto"/>
        </w:rPr>
      </w:pPr>
      <w:r>
        <w:rPr>
          <w:rFonts w:ascii="Arial" w:cs="Arial" w:eastAsia="Arial" w:hAnsi="Arial"/>
          <w:sz w:val="20"/>
          <w:szCs w:val="20"/>
          <w:color w:val="404040"/>
        </w:rPr>
        <w:t>Except as specifically noted herein, there are no exceptions to this Policy. Transactions that may seem necessary, logical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should be avoided to avoid a possible violation of the Company’s Code of Conduct or Reg FD Policy.</w:t>
      </w:r>
    </w:p>
    <w:p>
      <w:pPr>
        <w:spacing w:after="0" w:line="110" w:lineRule="exact"/>
        <w:rPr>
          <w:sz w:val="20"/>
          <w:szCs w:val="20"/>
          <w:color w:val="auto"/>
        </w:rPr>
      </w:pPr>
    </w:p>
    <w:p>
      <w:pPr>
        <w:ind w:left="160" w:right="259"/>
        <w:spacing w:after="0" w:line="265" w:lineRule="auto"/>
        <w:rPr>
          <w:sz w:val="20"/>
          <w:szCs w:val="20"/>
          <w:color w:val="auto"/>
        </w:rPr>
      </w:pPr>
      <w:r>
        <w:rPr>
          <w:rFonts w:ascii="Arial" w:cs="Arial" w:eastAsia="Arial" w:hAnsi="Arial"/>
          <w:sz w:val="20"/>
          <w:szCs w:val="20"/>
          <w:color w:val="404040"/>
        </w:rPr>
        <w:t>In all cases, the consequences for trading while in possession of MNPI rest with that individual, and any action on the part of the Company or any other Employee pursuant to this Policy, or otherwise, does not in any way constitute legal advice to an individual or insulate such individual from liability under applicable securities laws.</w:t>
      </w:r>
    </w:p>
    <w:p>
      <w:pPr>
        <w:spacing w:after="0" w:line="106" w:lineRule="exact"/>
        <w:rPr>
          <w:sz w:val="20"/>
          <w:szCs w:val="20"/>
          <w:color w:val="auto"/>
        </w:rPr>
      </w:pPr>
    </w:p>
    <w:p>
      <w:pPr>
        <w:ind w:left="160" w:right="959"/>
        <w:spacing w:after="0" w:line="279" w:lineRule="auto"/>
        <w:rPr>
          <w:sz w:val="20"/>
          <w:szCs w:val="20"/>
          <w:color w:val="auto"/>
        </w:rPr>
      </w:pPr>
      <w:r>
        <w:rPr>
          <w:rFonts w:ascii="Arial" w:cs="Arial" w:eastAsia="Arial" w:hAnsi="Arial"/>
          <w:sz w:val="20"/>
          <w:szCs w:val="20"/>
          <w:i w:val="1"/>
          <w:iCs w:val="1"/>
          <w:color w:val="404040"/>
        </w:rPr>
        <w:t>Every Employee is responsible for their conduct, the Company will not provide a defense or indemnity for any violations or investigations related to individual conduct.</w:t>
      </w:r>
    </w:p>
    <w:p>
      <w:pPr>
        <w:spacing w:after="0" w:line="93" w:lineRule="exact"/>
        <w:rPr>
          <w:sz w:val="20"/>
          <w:szCs w:val="20"/>
          <w:color w:val="auto"/>
        </w:rPr>
      </w:pPr>
    </w:p>
    <w:p>
      <w:pPr>
        <w:ind w:left="160" w:right="279"/>
        <w:spacing w:after="0" w:line="272" w:lineRule="auto"/>
        <w:rPr>
          <w:sz w:val="20"/>
          <w:szCs w:val="20"/>
          <w:color w:val="auto"/>
        </w:rPr>
      </w:pPr>
      <w:r>
        <w:rPr>
          <w:rFonts w:ascii="Arial" w:cs="Arial" w:eastAsia="Arial" w:hAnsi="Arial"/>
          <w:sz w:val="20"/>
          <w:szCs w:val="20"/>
          <w:color w:val="404040"/>
        </w:rPr>
        <w:t>Insider trading violations are pursued vigorously by the SEC, U.S. Attorneys and state enforcement authorities as well as the laws of foreign jurisdictions. Violations can be severe and include surrender of profits as well as civil penalties and imprisonment.</w:t>
      </w:r>
    </w:p>
    <w:p>
      <w:pPr>
        <w:spacing w:after="0" w:line="100" w:lineRule="exact"/>
        <w:rPr>
          <w:sz w:val="20"/>
          <w:szCs w:val="20"/>
          <w:color w:val="auto"/>
        </w:rPr>
      </w:pPr>
    </w:p>
    <w:p>
      <w:pPr>
        <w:ind w:left="160" w:right="599"/>
        <w:spacing w:after="0" w:line="279" w:lineRule="auto"/>
        <w:rPr>
          <w:sz w:val="20"/>
          <w:szCs w:val="20"/>
          <w:color w:val="auto"/>
        </w:rPr>
      </w:pPr>
      <w:r>
        <w:rPr>
          <w:rFonts w:ascii="Arial" w:cs="Arial" w:eastAsia="Arial" w:hAnsi="Arial"/>
          <w:sz w:val="20"/>
          <w:szCs w:val="20"/>
          <w:color w:val="404040"/>
        </w:rPr>
        <w:t>Violations of this Policy must be immediately reported to the General Counsel and may result in disciplinary action up to and including termination.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
        <w:spacing w:after="0"/>
        <w:rPr>
          <w:sz w:val="20"/>
          <w:szCs w:val="20"/>
          <w:color w:val="auto"/>
        </w:rPr>
      </w:pPr>
      <w:r>
        <w:rPr>
          <w:rFonts w:ascii="Arial" w:cs="Arial" w:eastAsia="Arial" w:hAnsi="Arial"/>
          <w:sz w:val="17"/>
          <w:szCs w:val="17"/>
          <w:color w:val="6D6D6D"/>
        </w:rPr>
        <w:t>7 | Murphy Oil Corporation Last Modified: December 6, 2023</w:t>
      </w:r>
    </w:p>
    <w:p>
      <w:pPr>
        <w:sectPr>
          <w:pgSz w:w="11900" w:h="16838" w:orient="portrait"/>
          <w:cols w:equalWidth="0" w:num="1">
            <w:col w:w="9019"/>
          </w:cols>
          <w:pgMar w:left="1440" w:top="1440" w:right="1440" w:bottom="1440"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DEFINITIONS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Blackout Period</w:t>
      </w:r>
    </w:p>
    <w:p>
      <w:pPr>
        <w:spacing w:after="0" w:line="19" w:lineRule="exact"/>
        <w:rPr>
          <w:sz w:val="20"/>
          <w:szCs w:val="20"/>
          <w:color w:val="auto"/>
        </w:rPr>
      </w:pPr>
    </w:p>
    <w:p>
      <w:pPr>
        <w:ind w:left="160" w:right="1039"/>
        <w:spacing w:after="0" w:line="272" w:lineRule="auto"/>
        <w:rPr>
          <w:sz w:val="20"/>
          <w:szCs w:val="20"/>
          <w:color w:val="auto"/>
        </w:rPr>
      </w:pPr>
      <w:r>
        <w:rPr>
          <w:rFonts w:ascii="Arial" w:cs="Arial" w:eastAsia="Arial" w:hAnsi="Arial"/>
          <w:sz w:val="20"/>
          <w:szCs w:val="20"/>
          <w:color w:val="404040"/>
        </w:rPr>
        <w:t>The period beginning on the 15th calendar day of the last month of the then current fiscal quarter and ending two (2) business days following the date of the Public Disclosure of the Company’s earnings results for that quarter.</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Confidential Information</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Any Company information that is Confidential as set forth in the Company Code of Conduct.</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Confidential Information includes MNPI.</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Controlled Entity</w:t>
      </w:r>
    </w:p>
    <w:p>
      <w:pPr>
        <w:spacing w:after="0" w:line="39" w:lineRule="exact"/>
        <w:rPr>
          <w:sz w:val="20"/>
          <w:szCs w:val="20"/>
          <w:color w:val="auto"/>
        </w:rPr>
      </w:pPr>
    </w:p>
    <w:p>
      <w:pPr>
        <w:ind w:left="160" w:right="379"/>
        <w:spacing w:after="0" w:line="265" w:lineRule="auto"/>
        <w:rPr>
          <w:sz w:val="20"/>
          <w:szCs w:val="20"/>
          <w:color w:val="auto"/>
        </w:rPr>
      </w:pPr>
      <w:r>
        <w:rPr>
          <w:rFonts w:ascii="Arial" w:cs="Arial" w:eastAsia="Arial" w:hAnsi="Arial"/>
          <w:sz w:val="20"/>
          <w:szCs w:val="20"/>
          <w:color w:val="404040"/>
        </w:rPr>
        <w:t>Any entity that an Employee controls, including any corporations, partnerships or trusts, except those for which the Employee has provided the Company with written notice expressly disclaiming beneficial ownership.</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Employee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Everyone included as defined in the Scope.</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Family Member</w:t>
      </w:r>
    </w:p>
    <w:p>
      <w:pPr>
        <w:spacing w:after="0" w:line="39" w:lineRule="exact"/>
        <w:rPr>
          <w:sz w:val="20"/>
          <w:szCs w:val="20"/>
          <w:color w:val="auto"/>
        </w:rPr>
      </w:pPr>
    </w:p>
    <w:p>
      <w:pPr>
        <w:ind w:left="160" w:right="279"/>
        <w:spacing w:after="0" w:line="259" w:lineRule="auto"/>
        <w:rPr>
          <w:sz w:val="20"/>
          <w:szCs w:val="20"/>
          <w:color w:val="auto"/>
        </w:rPr>
      </w:pPr>
      <w:r>
        <w:rPr>
          <w:rFonts w:ascii="Arial" w:cs="Arial" w:eastAsia="Arial" w:hAnsi="Arial"/>
          <w:sz w:val="20"/>
          <w:szCs w:val="20"/>
          <w:color w:val="404040"/>
        </w:rPr>
        <w:t>Any relative that resides with an Employee (including a spouse, a child, a child away at college, stepchildren, grandchildren, parents, stepparents, grandparents, siblings and in-laws), anyone else who lives in the same household with an Employee, and any family members who do not live in the household with an Employee but whose transactions in Company Stock are directed by the Employee or are subject to the Employee’s influence or control, such as parents or children who consult with the Employee before they trade in Company Stock.</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Material Information</w:t>
      </w:r>
    </w:p>
    <w:p>
      <w:pPr>
        <w:spacing w:after="0" w:line="39" w:lineRule="exact"/>
        <w:rPr>
          <w:sz w:val="20"/>
          <w:szCs w:val="20"/>
          <w:color w:val="auto"/>
        </w:rPr>
      </w:pPr>
    </w:p>
    <w:p>
      <w:pPr>
        <w:ind w:left="160" w:right="259"/>
        <w:spacing w:after="0" w:line="265" w:lineRule="auto"/>
        <w:rPr>
          <w:sz w:val="20"/>
          <w:szCs w:val="20"/>
          <w:color w:val="auto"/>
        </w:rPr>
      </w:pPr>
      <w:r>
        <w:rPr>
          <w:rFonts w:ascii="Arial" w:cs="Arial" w:eastAsia="Arial" w:hAnsi="Arial"/>
          <w:sz w:val="20"/>
          <w:szCs w:val="20"/>
          <w:color w:val="404040"/>
        </w:rPr>
        <w:t>Information for which there is a substantial likelihood that a reasonable investor would consider important in deciding to buy, sell or hold a security or could reasonably be expected to have an effect on the price of the Company’s Stock. Both positive and negative information may be material. Material information includes, but is not limited to:</w:t>
      </w:r>
    </w:p>
    <w:p>
      <w:pPr>
        <w:spacing w:after="0" w:line="106" w:lineRule="exact"/>
        <w:rPr>
          <w:sz w:val="20"/>
          <w:szCs w:val="20"/>
          <w:color w:val="auto"/>
        </w:rPr>
      </w:pPr>
    </w:p>
    <w:p>
      <w:pPr>
        <w:ind w:left="800" w:right="499" w:hanging="312"/>
        <w:spacing w:after="0" w:line="259" w:lineRule="auto"/>
        <w:tabs>
          <w:tab w:leader="none" w:pos="787" w:val="left"/>
        </w:tabs>
        <w:numPr>
          <w:ilvl w:val="0"/>
          <w:numId w:val="94"/>
        </w:numPr>
        <w:rPr>
          <w:rFonts w:ascii="Times New Roman" w:cs="Times New Roman" w:eastAsia="Times New Roman" w:hAnsi="Times New Roman"/>
          <w:sz w:val="20"/>
          <w:szCs w:val="20"/>
          <w:color w:val="404040"/>
        </w:rPr>
      </w:pPr>
      <w:r>
        <w:rPr>
          <w:rFonts w:ascii="Arial" w:cs="Arial" w:eastAsia="Arial" w:hAnsi="Arial"/>
          <w:sz w:val="20"/>
          <w:szCs w:val="20"/>
          <w:color w:val="404040"/>
        </w:rPr>
        <w:t>Financial information, such as revenue and earnings, including whether the Company will meet guidance or expectations,</w:t>
      </w:r>
    </w:p>
    <w:p>
      <w:pPr>
        <w:ind w:left="800" w:hanging="311"/>
        <w:spacing w:after="0"/>
        <w:tabs>
          <w:tab w:leader="none" w:pos="800" w:val="left"/>
        </w:tabs>
        <w:numPr>
          <w:ilvl w:val="0"/>
          <w:numId w:val="94"/>
        </w:numPr>
        <w:rPr>
          <w:rFonts w:ascii="Times New Roman" w:cs="Times New Roman" w:eastAsia="Times New Roman" w:hAnsi="Times New Roman"/>
          <w:sz w:val="20"/>
          <w:szCs w:val="20"/>
          <w:color w:val="404040"/>
        </w:rPr>
      </w:pPr>
      <w:r>
        <w:rPr>
          <w:rFonts w:ascii="Arial" w:cs="Arial" w:eastAsia="Arial" w:hAnsi="Arial"/>
          <w:sz w:val="20"/>
          <w:szCs w:val="20"/>
          <w:color w:val="404040"/>
        </w:rPr>
        <w:t>Mergers, acquisitions, tender offers, joint ventures or changes in assets,</w:t>
      </w:r>
    </w:p>
    <w:p>
      <w:pPr>
        <w:spacing w:after="0" w:line="9" w:lineRule="exact"/>
        <w:rPr>
          <w:rFonts w:ascii="Times New Roman" w:cs="Times New Roman" w:eastAsia="Times New Roman" w:hAnsi="Times New Roman"/>
          <w:sz w:val="20"/>
          <w:szCs w:val="20"/>
          <w:color w:val="404040"/>
        </w:rPr>
      </w:pPr>
    </w:p>
    <w:p>
      <w:pPr>
        <w:ind w:left="800" w:hanging="310"/>
        <w:spacing w:after="0"/>
        <w:tabs>
          <w:tab w:leader="none" w:pos="800" w:val="left"/>
        </w:tabs>
        <w:numPr>
          <w:ilvl w:val="0"/>
          <w:numId w:val="94"/>
        </w:numPr>
        <w:rPr>
          <w:rFonts w:ascii="Times New Roman" w:cs="Times New Roman" w:eastAsia="Times New Roman" w:hAnsi="Times New Roman"/>
          <w:sz w:val="20"/>
          <w:szCs w:val="20"/>
          <w:color w:val="404040"/>
        </w:rPr>
      </w:pPr>
      <w:r>
        <w:rPr>
          <w:rFonts w:ascii="Arial" w:cs="Arial" w:eastAsia="Arial" w:hAnsi="Arial"/>
          <w:sz w:val="20"/>
          <w:szCs w:val="20"/>
          <w:color w:val="404040"/>
        </w:rPr>
        <w:t>Developments regarding projects or operations,</w:t>
      </w:r>
    </w:p>
    <w:p>
      <w:pPr>
        <w:spacing w:after="0" w:line="9" w:lineRule="exact"/>
        <w:rPr>
          <w:rFonts w:ascii="Times New Roman" w:cs="Times New Roman" w:eastAsia="Times New Roman" w:hAnsi="Times New Roman"/>
          <w:sz w:val="20"/>
          <w:szCs w:val="20"/>
          <w:color w:val="404040"/>
        </w:rPr>
      </w:pPr>
    </w:p>
    <w:p>
      <w:pPr>
        <w:ind w:left="800" w:hanging="310"/>
        <w:spacing w:after="0"/>
        <w:tabs>
          <w:tab w:leader="none" w:pos="800" w:val="left"/>
        </w:tabs>
        <w:numPr>
          <w:ilvl w:val="0"/>
          <w:numId w:val="94"/>
        </w:numPr>
        <w:rPr>
          <w:rFonts w:ascii="Times New Roman" w:cs="Times New Roman" w:eastAsia="Times New Roman" w:hAnsi="Times New Roman"/>
          <w:sz w:val="20"/>
          <w:szCs w:val="20"/>
          <w:color w:val="404040"/>
        </w:rPr>
      </w:pPr>
      <w:r>
        <w:rPr>
          <w:rFonts w:ascii="Arial" w:cs="Arial" w:eastAsia="Arial" w:hAnsi="Arial"/>
          <w:sz w:val="20"/>
          <w:szCs w:val="20"/>
          <w:color w:val="404040"/>
        </w:rPr>
        <w:t>Changes in senior management,</w:t>
      </w:r>
    </w:p>
    <w:p>
      <w:pPr>
        <w:spacing w:after="0" w:line="22" w:lineRule="exact"/>
        <w:rPr>
          <w:rFonts w:ascii="Times New Roman" w:cs="Times New Roman" w:eastAsia="Times New Roman" w:hAnsi="Times New Roman"/>
          <w:sz w:val="20"/>
          <w:szCs w:val="20"/>
          <w:color w:val="404040"/>
        </w:rPr>
      </w:pPr>
    </w:p>
    <w:p>
      <w:pPr>
        <w:ind w:left="800" w:hanging="310"/>
        <w:spacing w:after="0"/>
        <w:tabs>
          <w:tab w:leader="none" w:pos="800" w:val="left"/>
        </w:tabs>
        <w:numPr>
          <w:ilvl w:val="0"/>
          <w:numId w:val="94"/>
        </w:numPr>
        <w:rPr>
          <w:rFonts w:ascii="Times New Roman" w:cs="Times New Roman" w:eastAsia="Times New Roman" w:hAnsi="Times New Roman"/>
          <w:sz w:val="20"/>
          <w:szCs w:val="20"/>
          <w:color w:val="404040"/>
        </w:rPr>
      </w:pPr>
      <w:r>
        <w:rPr>
          <w:rFonts w:ascii="Arial" w:cs="Arial" w:eastAsia="Arial" w:hAnsi="Arial"/>
          <w:sz w:val="20"/>
          <w:szCs w:val="20"/>
          <w:color w:val="404040"/>
        </w:rPr>
        <w:t>Financings and other events regarding the Company’s Stock,</w:t>
      </w:r>
    </w:p>
    <w:p>
      <w:pPr>
        <w:spacing w:after="0" w:line="22" w:lineRule="exact"/>
        <w:rPr>
          <w:rFonts w:ascii="Times New Roman" w:cs="Times New Roman" w:eastAsia="Times New Roman" w:hAnsi="Times New Roman"/>
          <w:sz w:val="20"/>
          <w:szCs w:val="20"/>
          <w:color w:val="404040"/>
        </w:rPr>
      </w:pPr>
    </w:p>
    <w:p>
      <w:pPr>
        <w:ind w:left="800" w:hanging="310"/>
        <w:spacing w:after="0"/>
        <w:tabs>
          <w:tab w:leader="none" w:pos="800" w:val="left"/>
        </w:tabs>
        <w:numPr>
          <w:ilvl w:val="0"/>
          <w:numId w:val="94"/>
        </w:numPr>
        <w:rPr>
          <w:rFonts w:ascii="Times New Roman" w:cs="Times New Roman" w:eastAsia="Times New Roman" w:hAnsi="Times New Roman"/>
          <w:sz w:val="20"/>
          <w:szCs w:val="20"/>
          <w:color w:val="404040"/>
        </w:rPr>
      </w:pPr>
      <w:r>
        <w:rPr>
          <w:rFonts w:ascii="Arial" w:cs="Arial" w:eastAsia="Arial" w:hAnsi="Arial"/>
          <w:sz w:val="20"/>
          <w:szCs w:val="20"/>
          <w:color w:val="404040"/>
        </w:rPr>
        <w:t>Significant litigation, and</w:t>
      </w:r>
    </w:p>
    <w:p>
      <w:pPr>
        <w:spacing w:after="0" w:line="22" w:lineRule="exact"/>
        <w:rPr>
          <w:rFonts w:ascii="Times New Roman" w:cs="Times New Roman" w:eastAsia="Times New Roman" w:hAnsi="Times New Roman"/>
          <w:sz w:val="20"/>
          <w:szCs w:val="20"/>
          <w:color w:val="404040"/>
        </w:rPr>
      </w:pPr>
    </w:p>
    <w:p>
      <w:pPr>
        <w:ind w:left="800" w:hanging="310"/>
        <w:spacing w:after="0"/>
        <w:tabs>
          <w:tab w:leader="none" w:pos="800" w:val="left"/>
        </w:tabs>
        <w:numPr>
          <w:ilvl w:val="0"/>
          <w:numId w:val="94"/>
        </w:numPr>
        <w:rPr>
          <w:rFonts w:ascii="Times New Roman" w:cs="Times New Roman" w:eastAsia="Times New Roman" w:hAnsi="Times New Roman"/>
          <w:sz w:val="20"/>
          <w:szCs w:val="20"/>
          <w:color w:val="404040"/>
        </w:rPr>
      </w:pPr>
      <w:r>
        <w:rPr>
          <w:rFonts w:ascii="Arial" w:cs="Arial" w:eastAsia="Arial" w:hAnsi="Arial"/>
          <w:sz w:val="20"/>
          <w:szCs w:val="20"/>
          <w:color w:val="404040"/>
        </w:rPr>
        <w:t>Bankruptcy, restructuring or receivership.</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7"/>
          <w:szCs w:val="17"/>
          <w:color w:val="6D6D6D"/>
        </w:rPr>
        <w:t>8 | Murphy Oil Corporation Last Modified: December 6, 2023</w:t>
      </w:r>
    </w:p>
    <w:p>
      <w:pPr>
        <w:sectPr>
          <w:pgSz w:w="11900" w:h="16838" w:orient="portrait"/>
          <w:cols w:equalWidth="0" w:num="1">
            <w:col w:w="9019"/>
          </w:cols>
          <w:pgMar w:left="1440" w:top="1440" w:right="1440" w:bottom="1440" w:gutter="0" w:footer="0" w:header="0"/>
          <w:type w:val="continuous"/>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Material Nonpublic Information (MNPI)</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Means information that is both Material Information and Nonpublic Information.</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Nonpublic Information</w:t>
      </w:r>
    </w:p>
    <w:p>
      <w:pPr>
        <w:spacing w:after="0" w:line="39" w:lineRule="exact"/>
        <w:rPr>
          <w:sz w:val="20"/>
          <w:szCs w:val="20"/>
          <w:color w:val="auto"/>
        </w:rPr>
      </w:pPr>
    </w:p>
    <w:p>
      <w:pPr>
        <w:ind w:left="160" w:right="799"/>
        <w:spacing w:after="0" w:line="279" w:lineRule="auto"/>
        <w:rPr>
          <w:sz w:val="20"/>
          <w:szCs w:val="20"/>
          <w:color w:val="auto"/>
        </w:rPr>
      </w:pPr>
      <w:r>
        <w:rPr>
          <w:rFonts w:ascii="Arial" w:cs="Arial" w:eastAsia="Arial" w:hAnsi="Arial"/>
          <w:sz w:val="20"/>
          <w:szCs w:val="20"/>
          <w:color w:val="404040"/>
        </w:rPr>
        <w:t>Information that has not been previously disclosed to the general public by means of a media release, SEC filing or other means for broad public access.</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Non-Trading Window</w:t>
      </w:r>
    </w:p>
    <w:p>
      <w:pPr>
        <w:spacing w:after="0" w:line="39" w:lineRule="exact"/>
        <w:rPr>
          <w:sz w:val="20"/>
          <w:szCs w:val="20"/>
          <w:color w:val="auto"/>
        </w:rPr>
      </w:pPr>
    </w:p>
    <w:p>
      <w:pPr>
        <w:ind w:left="160" w:right="619"/>
        <w:spacing w:after="0" w:line="297" w:lineRule="auto"/>
        <w:rPr>
          <w:sz w:val="20"/>
          <w:szCs w:val="20"/>
          <w:color w:val="auto"/>
        </w:rPr>
      </w:pPr>
      <w:r>
        <w:rPr>
          <w:rFonts w:ascii="Arial" w:cs="Arial" w:eastAsia="Arial" w:hAnsi="Arial"/>
          <w:sz w:val="18"/>
          <w:szCs w:val="18"/>
          <w:color w:val="404040"/>
        </w:rPr>
        <w:t>Any time period involving an event that is material to the Company and is known by a limited number of Employees. So long as the event remains material and nonpublic, any Employee designated by the General Counsel may not trade Company Stock. The existence of an event-specific trading restriction period or extension of a Blackout Period will not be announced to the Company as a whole and should not be communicated to any other Employee.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Pre-Clearance</w:t>
      </w:r>
    </w:p>
    <w:p>
      <w:pPr>
        <w:spacing w:after="0" w:line="39" w:lineRule="exact"/>
        <w:rPr>
          <w:sz w:val="20"/>
          <w:szCs w:val="20"/>
          <w:color w:val="auto"/>
        </w:rPr>
      </w:pPr>
    </w:p>
    <w:p>
      <w:pPr>
        <w:ind w:left="160" w:right="579"/>
        <w:spacing w:after="0" w:line="279" w:lineRule="auto"/>
        <w:rPr>
          <w:sz w:val="20"/>
          <w:szCs w:val="20"/>
          <w:color w:val="auto"/>
        </w:rPr>
      </w:pPr>
      <w:r>
        <w:rPr>
          <w:rFonts w:ascii="Arial" w:cs="Arial" w:eastAsia="Arial" w:hAnsi="Arial"/>
          <w:sz w:val="20"/>
          <w:szCs w:val="20"/>
          <w:color w:val="404040"/>
        </w:rPr>
        <w:t>Approval by the General Counsel or the General Counsel’s designee to enter into a Transaction involving any Company Stock.</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Public Disclosure</w:t>
      </w:r>
    </w:p>
    <w:p>
      <w:pPr>
        <w:spacing w:after="0" w:line="39" w:lineRule="exact"/>
        <w:rPr>
          <w:sz w:val="20"/>
          <w:szCs w:val="20"/>
          <w:color w:val="auto"/>
        </w:rPr>
      </w:pPr>
    </w:p>
    <w:p>
      <w:pPr>
        <w:ind w:left="160" w:right="679"/>
        <w:spacing w:after="0" w:line="272" w:lineRule="auto"/>
        <w:rPr>
          <w:sz w:val="20"/>
          <w:szCs w:val="20"/>
          <w:color w:val="auto"/>
        </w:rPr>
      </w:pPr>
      <w:r>
        <w:rPr>
          <w:rFonts w:ascii="Arial" w:cs="Arial" w:eastAsia="Arial" w:hAnsi="Arial"/>
          <w:sz w:val="20"/>
          <w:szCs w:val="20"/>
          <w:color w:val="404040"/>
        </w:rPr>
        <w:t>Dissemination of information by: (1) filing a Form 8-K with the SEC, or (2) another method, approved by the General Counsel for a specific communication, that is reasonably designed to provide broad, non-exclusionary distribution of the information to the public.</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Securities, (Stock)</w:t>
      </w:r>
    </w:p>
    <w:p>
      <w:pPr>
        <w:spacing w:after="0" w:line="39" w:lineRule="exact"/>
        <w:rPr>
          <w:sz w:val="20"/>
          <w:szCs w:val="20"/>
          <w:color w:val="auto"/>
        </w:rPr>
      </w:pPr>
    </w:p>
    <w:p>
      <w:pPr>
        <w:ind w:left="160" w:right="419"/>
        <w:spacing w:after="0" w:line="265" w:lineRule="auto"/>
        <w:rPr>
          <w:sz w:val="20"/>
          <w:szCs w:val="20"/>
          <w:color w:val="auto"/>
        </w:rPr>
      </w:pPr>
      <w:r>
        <w:rPr>
          <w:rFonts w:ascii="Arial" w:cs="Arial" w:eastAsia="Arial" w:hAnsi="Arial"/>
          <w:sz w:val="20"/>
          <w:szCs w:val="20"/>
          <w:color w:val="404040"/>
        </w:rPr>
        <w:t>Include common and preferred stock, options to purchase stock, or other instruments that may be issued by an entity including, but not limited to, bonds, debentures, and warrants as well as derivative securities that are not issued directly by an entity such as exchange traded put or call options or swaps.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Transaction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Any exchange for value involving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18"/>
          <w:szCs w:val="18"/>
          <w:color w:val="6D6D6D"/>
        </w:rPr>
        <w:t>9 | Murphy Oil Corporation Last Modified: December 6, 2023</w:t>
      </w:r>
    </w:p>
    <w:p>
      <w:pPr>
        <w:sectPr>
          <w:pgSz w:w="11900" w:h="16838" w:orient="portrait"/>
          <w:cols w:equalWidth="0" w:num="1">
            <w:col w:w="9019"/>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F3863"/>
        </w:rPr>
        <w:t>CERTIFICATION</w:t>
      </w:r>
    </w:p>
    <w:p>
      <w:pPr>
        <w:spacing w:after="0" w:line="54" w:lineRule="exact"/>
        <w:rPr>
          <w:sz w:val="20"/>
          <w:szCs w:val="20"/>
          <w:color w:val="auto"/>
        </w:rPr>
      </w:pPr>
    </w:p>
    <w:p>
      <w:pPr>
        <w:ind w:left="160" w:right="919"/>
        <w:spacing w:after="0" w:line="270" w:lineRule="auto"/>
        <w:rPr>
          <w:sz w:val="20"/>
          <w:szCs w:val="20"/>
          <w:color w:val="auto"/>
        </w:rPr>
      </w:pPr>
      <w:r>
        <w:rPr>
          <w:rFonts w:ascii="Arial" w:cs="Arial" w:eastAsia="Arial" w:hAnsi="Arial"/>
          <w:sz w:val="20"/>
          <w:szCs w:val="20"/>
          <w:color w:val="404040"/>
        </w:rPr>
        <w:t>All Employees subject to this Policy must certify their understanding of, and intent to comply with, this Policy.</w:t>
      </w:r>
    </w:p>
    <w:p>
      <w:pPr>
        <w:spacing w:after="0" w:line="200" w:lineRule="exact"/>
        <w:rPr>
          <w:sz w:val="20"/>
          <w:szCs w:val="20"/>
          <w:color w:val="auto"/>
        </w:rPr>
      </w:pPr>
    </w:p>
    <w:p>
      <w:pPr>
        <w:spacing w:after="0" w:line="30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04040"/>
        </w:rPr>
        <w:t>Certification</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color w:val="404040"/>
        </w:rPr>
        <w:t>I certify that:</w:t>
      </w:r>
    </w:p>
    <w:p>
      <w:pPr>
        <w:spacing w:after="0" w:line="171" w:lineRule="exact"/>
        <w:rPr>
          <w:sz w:val="20"/>
          <w:szCs w:val="20"/>
          <w:color w:val="auto"/>
        </w:rPr>
      </w:pPr>
    </w:p>
    <w:p>
      <w:pPr>
        <w:jc w:val="both"/>
        <w:ind w:left="820" w:right="839" w:hanging="331"/>
        <w:spacing w:after="0" w:line="256" w:lineRule="auto"/>
        <w:tabs>
          <w:tab w:leader="none" w:pos="808" w:val="left"/>
        </w:tabs>
        <w:numPr>
          <w:ilvl w:val="0"/>
          <w:numId w:val="95"/>
        </w:numPr>
        <w:rPr>
          <w:rFonts w:ascii="Times New Roman" w:cs="Times New Roman" w:eastAsia="Times New Roman" w:hAnsi="Times New Roman"/>
          <w:sz w:val="20"/>
          <w:szCs w:val="20"/>
          <w:color w:val="404040"/>
        </w:rPr>
      </w:pPr>
      <w:r>
        <w:rPr>
          <w:rFonts w:ascii="Arial" w:cs="Arial" w:eastAsia="Arial" w:hAnsi="Arial"/>
          <w:sz w:val="20"/>
          <w:szCs w:val="20"/>
          <w:color w:val="404040"/>
        </w:rPr>
        <w:t>I have read and understand the Company’s Insider Trading Policy (the “Policy”). I understand that the General Counsel is available to answer any questions I have regarding the Policy.</w:t>
      </w:r>
    </w:p>
    <w:p>
      <w:pPr>
        <w:spacing w:after="0" w:line="2" w:lineRule="exact"/>
        <w:rPr>
          <w:rFonts w:ascii="Times New Roman" w:cs="Times New Roman" w:eastAsia="Times New Roman" w:hAnsi="Times New Roman"/>
          <w:sz w:val="20"/>
          <w:szCs w:val="20"/>
          <w:color w:val="404040"/>
        </w:rPr>
      </w:pPr>
    </w:p>
    <w:p>
      <w:pPr>
        <w:ind w:left="800" w:hanging="310"/>
        <w:spacing w:after="0"/>
        <w:tabs>
          <w:tab w:leader="none" w:pos="800" w:val="left"/>
        </w:tabs>
        <w:numPr>
          <w:ilvl w:val="0"/>
          <w:numId w:val="95"/>
        </w:numPr>
        <w:rPr>
          <w:rFonts w:ascii="Times New Roman" w:cs="Times New Roman" w:eastAsia="Times New Roman" w:hAnsi="Times New Roman"/>
          <w:sz w:val="20"/>
          <w:szCs w:val="20"/>
          <w:color w:val="404040"/>
        </w:rPr>
      </w:pPr>
      <w:r>
        <w:rPr>
          <w:rFonts w:ascii="Arial" w:cs="Arial" w:eastAsia="Arial" w:hAnsi="Arial"/>
          <w:sz w:val="20"/>
          <w:szCs w:val="20"/>
          <w:color w:val="404040"/>
        </w:rPr>
        <w:t>Since I have been an employee of the Company, I have complied with the Policy.</w:t>
      </w:r>
    </w:p>
    <w:p>
      <w:pPr>
        <w:spacing w:after="0" w:line="8" w:lineRule="exact"/>
        <w:rPr>
          <w:rFonts w:ascii="Times New Roman" w:cs="Times New Roman" w:eastAsia="Times New Roman" w:hAnsi="Times New Roman"/>
          <w:sz w:val="20"/>
          <w:szCs w:val="20"/>
          <w:color w:val="404040"/>
        </w:rPr>
      </w:pPr>
    </w:p>
    <w:p>
      <w:pPr>
        <w:ind w:left="800" w:hanging="310"/>
        <w:spacing w:after="0"/>
        <w:tabs>
          <w:tab w:leader="none" w:pos="800" w:val="left"/>
        </w:tabs>
        <w:numPr>
          <w:ilvl w:val="0"/>
          <w:numId w:val="95"/>
        </w:numPr>
        <w:rPr>
          <w:rFonts w:ascii="Times New Roman" w:cs="Times New Roman" w:eastAsia="Times New Roman" w:hAnsi="Times New Roman"/>
          <w:sz w:val="20"/>
          <w:szCs w:val="20"/>
          <w:color w:val="404040"/>
        </w:rPr>
      </w:pPr>
      <w:r>
        <w:rPr>
          <w:rFonts w:ascii="Arial" w:cs="Arial" w:eastAsia="Arial" w:hAnsi="Arial"/>
          <w:sz w:val="20"/>
          <w:szCs w:val="20"/>
          <w:color w:val="404040"/>
        </w:rPr>
        <w:t>I will continue to comply with the Policy for as long as I am subject to the Policy.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tabs>
          <w:tab w:leader="none" w:pos="1700" w:val="left"/>
          <w:tab w:leader="none" w:pos="3140" w:val="left"/>
        </w:tabs>
        <w:rPr>
          <w:sz w:val="20"/>
          <w:szCs w:val="20"/>
          <w:color w:val="auto"/>
        </w:rPr>
      </w:pPr>
      <w:r>
        <w:rPr>
          <w:rFonts w:ascii="Arial" w:cs="Arial" w:eastAsia="Arial" w:hAnsi="Arial"/>
          <w:sz w:val="20"/>
          <w:szCs w:val="20"/>
          <w:color w:val="404040"/>
        </w:rPr>
        <w:t>Print name:</w:t>
      </w:r>
      <w:r>
        <w:rPr>
          <w:sz w:val="20"/>
          <w:szCs w:val="20"/>
          <w:color w:val="auto"/>
        </w:rPr>
        <w:tab/>
      </w:r>
      <w:r>
        <w:rPr>
          <w:rFonts w:ascii="Arial" w:cs="Arial" w:eastAsia="Arial" w:hAnsi="Arial"/>
          <w:sz w:val="20"/>
          <w:szCs w:val="20"/>
          <w:color w:val="404040"/>
        </w:rPr>
        <w:t>Signature:</w:t>
      </w:r>
      <w:r>
        <w:rPr>
          <w:sz w:val="20"/>
          <w:szCs w:val="20"/>
          <w:color w:val="auto"/>
        </w:rPr>
        <w:tab/>
      </w:r>
      <w:r>
        <w:rPr>
          <w:rFonts w:ascii="Arial" w:cs="Arial" w:eastAsia="Arial" w:hAnsi="Arial"/>
          <w:sz w:val="18"/>
          <w:szCs w:val="18"/>
          <w:color w:val="40404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-12700</wp:posOffset>
            </wp:positionV>
            <wp:extent cx="276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276225" cy="8255"/>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-12700</wp:posOffset>
            </wp:positionV>
            <wp:extent cx="276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276225" cy="8255"/>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-12700</wp:posOffset>
            </wp:positionV>
            <wp:extent cx="2762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6D6D6D"/>
        </w:rPr>
        <w:t>10 | Murphy Oil Corporation Last Modified: December 6, 2023</w:t>
      </w:r>
    </w:p>
    <w:p>
      <w:pPr>
        <w:sectPr>
          <w:pgSz w:w="11900" w:h="16838" w:orient="portrait"/>
          <w:cols w:equalWidth="0" w:num="1">
            <w:col w:w="9019"/>
          </w:cols>
          <w:pgMar w:left="1440" w:top="1440"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MURPHY OIL CORPORATION</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THE REGISTRANT AS OF DECEMBER 31,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Percentage of</w:t>
            </w:r>
          </w:p>
        </w:tc>
      </w:tr>
      <w:tr>
        <w:trPr>
          <w:trHeight w:val="174"/>
        </w:trPr>
        <w:tc>
          <w:tcPr>
            <w:tcW w:w="5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line="174" w:lineRule="exact"/>
              <w:rPr>
                <w:sz w:val="20"/>
                <w:szCs w:val="20"/>
                <w:color w:val="auto"/>
              </w:rPr>
            </w:pPr>
            <w:r>
              <w:rPr>
                <w:rFonts w:ascii="Arial" w:cs="Arial" w:eastAsia="Arial" w:hAnsi="Arial"/>
                <w:sz w:val="18"/>
                <w:szCs w:val="18"/>
                <w:color w:val="auto"/>
                <w:w w:val="97"/>
              </w:rPr>
              <w:t>Voting Securities</w:t>
            </w:r>
          </w:p>
        </w:tc>
      </w:tr>
      <w:tr>
        <w:trPr>
          <w:trHeight w:val="187"/>
        </w:trPr>
        <w:tc>
          <w:tcPr>
            <w:tcW w:w="52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2"/>
          </w:tcPr>
          <w:p>
            <w:pPr>
              <w:jc w:val="center"/>
              <w:ind w:right="100"/>
              <w:spacing w:after="0" w:line="187" w:lineRule="exact"/>
              <w:rPr>
                <w:sz w:val="20"/>
                <w:szCs w:val="20"/>
                <w:color w:val="auto"/>
              </w:rPr>
            </w:pPr>
            <w:r>
              <w:rPr>
                <w:rFonts w:ascii="Arial" w:cs="Arial" w:eastAsia="Arial" w:hAnsi="Arial"/>
                <w:sz w:val="18"/>
                <w:szCs w:val="18"/>
                <w:color w:val="auto"/>
                <w:w w:val="99"/>
              </w:rPr>
              <w:t>State or Other</w:t>
            </w:r>
          </w:p>
        </w:tc>
        <w:tc>
          <w:tcPr>
            <w:tcW w:w="1440" w:type="dxa"/>
            <w:vAlign w:val="bottom"/>
          </w:tcPr>
          <w:p>
            <w:pPr>
              <w:jc w:val="center"/>
              <w:spacing w:after="0" w:line="187" w:lineRule="exact"/>
              <w:rPr>
                <w:sz w:val="20"/>
                <w:szCs w:val="20"/>
                <w:color w:val="auto"/>
              </w:rPr>
            </w:pPr>
            <w:r>
              <w:rPr>
                <w:rFonts w:ascii="Arial" w:cs="Arial" w:eastAsia="Arial" w:hAnsi="Arial"/>
                <w:sz w:val="18"/>
                <w:szCs w:val="18"/>
                <w:color w:val="auto"/>
                <w:w w:val="98"/>
              </w:rPr>
              <w:t>Owned by</w:t>
            </w:r>
          </w:p>
        </w:tc>
      </w:tr>
      <w:tr>
        <w:trPr>
          <w:trHeight w:val="174"/>
        </w:trPr>
        <w:tc>
          <w:tcPr>
            <w:tcW w:w="5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98"/>
              </w:rPr>
              <w:t>Jurisdiction of</w:t>
            </w:r>
          </w:p>
        </w:tc>
        <w:tc>
          <w:tcPr>
            <w:tcW w:w="1440" w:type="dxa"/>
            <w:vAlign w:val="bottom"/>
          </w:tcPr>
          <w:p>
            <w:pPr>
              <w:jc w:val="center"/>
              <w:spacing w:after="0" w:line="174" w:lineRule="exact"/>
              <w:rPr>
                <w:sz w:val="20"/>
                <w:szCs w:val="20"/>
                <w:color w:val="auto"/>
              </w:rPr>
            </w:pPr>
            <w:r>
              <w:rPr>
                <w:rFonts w:ascii="Arial" w:cs="Arial" w:eastAsia="Arial" w:hAnsi="Arial"/>
                <w:sz w:val="18"/>
                <w:szCs w:val="18"/>
                <w:color w:val="auto"/>
                <w:w w:val="97"/>
              </w:rPr>
              <w:t>Immediate</w:t>
            </w:r>
          </w:p>
        </w:tc>
      </w:tr>
      <w:tr>
        <w:trPr>
          <w:trHeight w:val="240"/>
        </w:trPr>
        <w:tc>
          <w:tcPr>
            <w:tcW w:w="520" w:type="dxa"/>
            <w:vAlign w:val="bottom"/>
          </w:tcPr>
          <w:p>
            <w:pPr>
              <w:spacing w:after="0"/>
              <w:rPr>
                <w:sz w:val="20"/>
                <w:szCs w:val="20"/>
                <w:color w:val="auto"/>
              </w:rPr>
            </w:pPr>
          </w:p>
        </w:tc>
        <w:tc>
          <w:tcPr>
            <w:tcW w:w="7200" w:type="dxa"/>
            <w:vAlign w:val="bottom"/>
            <w:gridSpan w:val="2"/>
          </w:tcPr>
          <w:p>
            <w:pPr>
              <w:ind w:left="2560"/>
              <w:spacing w:after="0"/>
              <w:rPr>
                <w:sz w:val="20"/>
                <w:szCs w:val="20"/>
                <w:color w:val="auto"/>
              </w:rPr>
            </w:pPr>
            <w:r>
              <w:rPr>
                <w:rFonts w:ascii="Arial" w:cs="Arial" w:eastAsia="Arial" w:hAnsi="Arial"/>
                <w:sz w:val="18"/>
                <w:szCs w:val="18"/>
                <w:color w:val="auto"/>
              </w:rPr>
              <w:t>Name of Company</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Incorporation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Parent</w:t>
            </w:r>
          </w:p>
        </w:tc>
      </w:tr>
      <w:tr>
        <w:trPr>
          <w:trHeight w:val="220"/>
        </w:trPr>
        <w:tc>
          <w:tcPr>
            <w:tcW w:w="7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Murphy Oil Corporation (REGISTRANT)</w:t>
            </w:r>
          </w:p>
        </w:tc>
        <w:tc>
          <w:tcPr>
            <w:tcW w:w="8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7"/>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  Arkansas Oil Company</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ind w:left="280"/>
              <w:spacing w:after="0"/>
              <w:rPr>
                <w:sz w:val="20"/>
                <w:szCs w:val="20"/>
                <w:color w:val="auto"/>
              </w:rPr>
            </w:pPr>
            <w:r>
              <w:rPr>
                <w:rFonts w:ascii="Arial" w:cs="Arial" w:eastAsia="Arial" w:hAnsi="Arial"/>
                <w:sz w:val="18"/>
                <w:szCs w:val="18"/>
                <w:color w:val="auto"/>
              </w:rPr>
              <w:t>B.</w:t>
            </w:r>
          </w:p>
        </w:tc>
        <w:tc>
          <w:tcPr>
            <w:tcW w:w="7200" w:type="dxa"/>
            <w:vAlign w:val="bottom"/>
            <w:gridSpan w:val="2"/>
          </w:tcPr>
          <w:p>
            <w:pPr>
              <w:ind w:left="80"/>
              <w:spacing w:after="0"/>
              <w:rPr>
                <w:sz w:val="20"/>
                <w:szCs w:val="20"/>
                <w:color w:val="auto"/>
              </w:rPr>
            </w:pPr>
            <w:r>
              <w:rPr>
                <w:rFonts w:ascii="Arial" w:cs="Arial" w:eastAsia="Arial" w:hAnsi="Arial"/>
                <w:sz w:val="18"/>
                <w:szCs w:val="18"/>
                <w:color w:val="auto"/>
              </w:rPr>
              <w:t>Caledonia Land Company</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  El Dorado Engineering Inc.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60"/>
              <w:spacing w:after="0"/>
              <w:rPr>
                <w:sz w:val="20"/>
                <w:szCs w:val="20"/>
                <w:color w:val="auto"/>
              </w:rPr>
            </w:pPr>
            <w:r>
              <w:rPr>
                <w:rFonts w:ascii="Arial" w:cs="Arial" w:eastAsia="Arial" w:hAnsi="Arial"/>
                <w:sz w:val="18"/>
                <w:szCs w:val="18"/>
                <w:color w:val="auto"/>
              </w:rPr>
              <w:t>1.  El Dorado Contractors</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74"/>
        </w:trPr>
        <w:tc>
          <w:tcPr>
            <w:tcW w:w="520" w:type="dxa"/>
            <w:vAlign w:val="bottom"/>
            <w:shd w:val="clear" w:color="auto" w:fill="CCEEFF"/>
          </w:tcPr>
          <w:p>
            <w:pPr>
              <w:spacing w:after="0"/>
              <w:rPr>
                <w:sz w:val="15"/>
                <w:szCs w:val="15"/>
                <w:color w:val="auto"/>
              </w:rPr>
            </w:pPr>
          </w:p>
        </w:tc>
        <w:tc>
          <w:tcPr>
            <w:tcW w:w="7200" w:type="dxa"/>
            <w:vAlign w:val="bottom"/>
            <w:gridSpan w:val="2"/>
            <w:shd w:val="clear" w:color="auto" w:fill="CCEEFF"/>
          </w:tcPr>
          <w:p>
            <w:pPr>
              <w:ind w:left="60"/>
              <w:spacing w:after="0" w:line="174" w:lineRule="exact"/>
              <w:rPr>
                <w:sz w:val="20"/>
                <w:szCs w:val="20"/>
                <w:color w:val="auto"/>
              </w:rPr>
            </w:pPr>
            <w:r>
              <w:rPr>
                <w:rFonts w:ascii="Arial" w:cs="Arial" w:eastAsia="Arial" w:hAnsi="Arial"/>
                <w:sz w:val="18"/>
                <w:szCs w:val="18"/>
                <w:color w:val="auto"/>
              </w:rPr>
              <w:t>2.  El Dorado Exploracion y Produccion, S. de. R.L. de C.V.</w:t>
            </w: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0"/>
        </w:trPr>
        <w:tc>
          <w:tcPr>
            <w:tcW w:w="520" w:type="dxa"/>
            <w:vAlign w:val="bottom"/>
            <w:shd w:val="clear" w:color="auto" w:fill="CCEEFF"/>
          </w:tcPr>
          <w:p>
            <w:pPr>
              <w:spacing w:after="0"/>
              <w:rPr>
                <w:sz w:val="20"/>
                <w:szCs w:val="20"/>
                <w:color w:val="auto"/>
              </w:rPr>
            </w:pPr>
          </w:p>
        </w:tc>
        <w:tc>
          <w:tcPr>
            <w:tcW w:w="7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(see company F.2.b(1) below)</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7"/>
        </w:trPr>
        <w:tc>
          <w:tcPr>
            <w:tcW w:w="520" w:type="dxa"/>
            <w:vAlign w:val="bottom"/>
          </w:tcPr>
          <w:p>
            <w:pPr>
              <w:ind w:left="280"/>
              <w:spacing w:after="0"/>
              <w:rPr>
                <w:sz w:val="20"/>
                <w:szCs w:val="20"/>
                <w:color w:val="auto"/>
              </w:rPr>
            </w:pPr>
            <w:r>
              <w:rPr>
                <w:rFonts w:ascii="Arial" w:cs="Arial" w:eastAsia="Arial" w:hAnsi="Arial"/>
                <w:sz w:val="18"/>
                <w:szCs w:val="18"/>
                <w:color w:val="auto"/>
              </w:rPr>
              <w:t>D.</w:t>
            </w:r>
          </w:p>
        </w:tc>
        <w:tc>
          <w:tcPr>
            <w:tcW w:w="7200" w:type="dxa"/>
            <w:vAlign w:val="bottom"/>
            <w:gridSpan w:val="2"/>
          </w:tcPr>
          <w:p>
            <w:pPr>
              <w:ind w:left="100"/>
              <w:spacing w:after="0"/>
              <w:rPr>
                <w:sz w:val="20"/>
                <w:szCs w:val="20"/>
                <w:color w:val="auto"/>
              </w:rPr>
            </w:pPr>
            <w:r>
              <w:rPr>
                <w:rFonts w:ascii="Arial" w:cs="Arial" w:eastAsia="Arial" w:hAnsi="Arial"/>
                <w:sz w:val="18"/>
                <w:szCs w:val="18"/>
                <w:color w:val="auto"/>
              </w:rPr>
              <w:t>Marine Land Company</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  Murphy Eastern Oil Company</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7720" w:type="dxa"/>
            <w:vAlign w:val="bottom"/>
            <w:gridSpan w:val="3"/>
          </w:tcPr>
          <w:p>
            <w:pPr>
              <w:ind w:left="280"/>
              <w:spacing w:after="0"/>
              <w:rPr>
                <w:sz w:val="20"/>
                <w:szCs w:val="20"/>
                <w:color w:val="auto"/>
              </w:rPr>
            </w:pPr>
            <w:r>
              <w:rPr>
                <w:rFonts w:ascii="Arial" w:cs="Arial" w:eastAsia="Arial" w:hAnsi="Arial"/>
                <w:sz w:val="18"/>
                <w:szCs w:val="18"/>
                <w:color w:val="auto"/>
              </w:rPr>
              <w:t>F.  Murphy Exploration &amp; Production Company</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  Murphy Building Corporation</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60"/>
              <w:spacing w:after="0"/>
              <w:rPr>
                <w:sz w:val="20"/>
                <w:szCs w:val="20"/>
                <w:color w:val="auto"/>
              </w:rPr>
            </w:pPr>
            <w:r>
              <w:rPr>
                <w:rFonts w:ascii="Arial" w:cs="Arial" w:eastAsia="Arial" w:hAnsi="Arial"/>
                <w:sz w:val="18"/>
                <w:szCs w:val="18"/>
                <w:color w:val="auto"/>
              </w:rPr>
              <w:t>2.  Murphy Exploration &amp; Production Company - International</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  Canam Offshore LLC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540"/>
              <w:spacing w:after="0"/>
              <w:rPr>
                <w:sz w:val="20"/>
                <w:szCs w:val="20"/>
                <w:color w:val="auto"/>
              </w:rPr>
            </w:pPr>
            <w:r>
              <w:rPr>
                <w:rFonts w:ascii="Arial" w:cs="Arial" w:eastAsia="Arial" w:hAnsi="Arial"/>
                <w:sz w:val="18"/>
                <w:szCs w:val="18"/>
                <w:color w:val="auto"/>
              </w:rPr>
              <w:t>(1) Canam Offshore Limited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a. Canam Brunei Oil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1120"/>
              <w:spacing w:after="0"/>
              <w:rPr>
                <w:sz w:val="20"/>
                <w:szCs w:val="20"/>
                <w:color w:val="auto"/>
              </w:rPr>
            </w:pPr>
            <w:r>
              <w:rPr>
                <w:rFonts w:ascii="Arial" w:cs="Arial" w:eastAsia="Arial" w:hAnsi="Arial"/>
                <w:sz w:val="18"/>
                <w:szCs w:val="18"/>
                <w:color w:val="auto"/>
              </w:rPr>
              <w:t>b. Murphy Peninsular Malaysia Oil Co.,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c. Murphy Cuu Long Tay Oil Co.,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b.  El Dorado Exploration, S.A.</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 El Dorado Exploracion y Produccion, S. de. R.L. de C.V.</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c.  Murphy Asia Oil Co.,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74"/>
        </w:trPr>
        <w:tc>
          <w:tcPr>
            <w:tcW w:w="520" w:type="dxa"/>
            <w:vAlign w:val="bottom"/>
            <w:shd w:val="clear" w:color="auto" w:fill="CCEEFF"/>
          </w:tcPr>
          <w:p>
            <w:pPr>
              <w:spacing w:after="0"/>
              <w:rPr>
                <w:sz w:val="15"/>
                <w:szCs w:val="15"/>
                <w:color w:val="auto"/>
              </w:rPr>
            </w:pPr>
          </w:p>
        </w:tc>
        <w:tc>
          <w:tcPr>
            <w:tcW w:w="7200" w:type="dxa"/>
            <w:vAlign w:val="bottom"/>
            <w:gridSpan w:val="2"/>
            <w:shd w:val="clear" w:color="auto" w:fill="CCEEFF"/>
          </w:tcPr>
          <w:p>
            <w:pPr>
              <w:ind w:left="340"/>
              <w:spacing w:after="0" w:line="174" w:lineRule="exact"/>
              <w:rPr>
                <w:sz w:val="20"/>
                <w:szCs w:val="20"/>
                <w:color w:val="auto"/>
              </w:rPr>
            </w:pPr>
            <w:r>
              <w:rPr>
                <w:rFonts w:ascii="Arial" w:cs="Arial" w:eastAsia="Arial" w:hAnsi="Arial"/>
                <w:sz w:val="18"/>
                <w:szCs w:val="18"/>
                <w:color w:val="auto"/>
              </w:rPr>
              <w:t>d.  Murphy Brasil Exploracao e Producao de Petroleo e Gas Ltda.</w:t>
            </w: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0"/>
        </w:trPr>
        <w:tc>
          <w:tcPr>
            <w:tcW w:w="520" w:type="dxa"/>
            <w:vAlign w:val="bottom"/>
            <w:shd w:val="clear" w:color="auto" w:fill="CCEEFF"/>
          </w:tcPr>
          <w:p>
            <w:pPr>
              <w:spacing w:after="0"/>
              <w:rPr>
                <w:sz w:val="20"/>
                <w:szCs w:val="20"/>
                <w:color w:val="auto"/>
              </w:rPr>
            </w:pPr>
          </w:p>
        </w:tc>
        <w:tc>
          <w:tcPr>
            <w:tcW w:w="7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(see company j.(1) below)</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e.  Murphy Cuu Long Bac Oil Co.,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  Murphy Dai Nam Oil Co.,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g.  Murphy Equatorial Guinea Oil Co.,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  Murphy Luderitz Oil Co.,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i.  Murphy Nha Trang Oil Co.,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  Murphy Overseas Ventures Inc.</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540"/>
              <w:spacing w:after="0"/>
              <w:rPr>
                <w:sz w:val="20"/>
                <w:szCs w:val="20"/>
                <w:color w:val="auto"/>
              </w:rPr>
            </w:pPr>
            <w:r>
              <w:rPr>
                <w:rFonts w:ascii="Arial" w:cs="Arial" w:eastAsia="Arial" w:hAnsi="Arial"/>
                <w:sz w:val="18"/>
                <w:szCs w:val="18"/>
                <w:color w:val="auto"/>
              </w:rPr>
              <w:t>(1) Murphy Brasil Exploracao e Producao de Petroleo e Gas Ltda.</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Brazil</w:t>
            </w: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k. Murphy Phuong Nam Oil Co.,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l.  Murphy-Spain Oil Company</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  Murphy West Africa,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n.  Murphy Worldwide, Inc.</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  Murphy Offshore Oil Co.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p.  Murphy Netherlands Holdings B.V.</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174"/>
        </w:trPr>
        <w:tc>
          <w:tcPr>
            <w:tcW w:w="520" w:type="dxa"/>
            <w:vAlign w:val="bottom"/>
            <w:shd w:val="clear" w:color="auto" w:fill="CCEEFF"/>
          </w:tcPr>
          <w:p>
            <w:pPr>
              <w:spacing w:after="0"/>
              <w:rPr>
                <w:sz w:val="15"/>
                <w:szCs w:val="15"/>
                <w:color w:val="auto"/>
              </w:rPr>
            </w:pPr>
          </w:p>
        </w:tc>
        <w:tc>
          <w:tcPr>
            <w:tcW w:w="7200" w:type="dxa"/>
            <w:vAlign w:val="bottom"/>
            <w:gridSpan w:val="2"/>
            <w:shd w:val="clear" w:color="auto" w:fill="CCEEFF"/>
          </w:tcPr>
          <w:p>
            <w:pPr>
              <w:ind w:left="540"/>
              <w:spacing w:after="0" w:line="174" w:lineRule="exact"/>
              <w:rPr>
                <w:sz w:val="20"/>
                <w:szCs w:val="20"/>
                <w:color w:val="auto"/>
              </w:rPr>
            </w:pPr>
            <w:r>
              <w:rPr>
                <w:rFonts w:ascii="Arial" w:cs="Arial" w:eastAsia="Arial" w:hAnsi="Arial"/>
                <w:sz w:val="18"/>
                <w:szCs w:val="18"/>
                <w:color w:val="auto"/>
              </w:rPr>
              <w:t>(1) Murphy Sur, S. de R. L. de C.V.</w:t>
            </w: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0"/>
        </w:trPr>
        <w:tc>
          <w:tcPr>
            <w:tcW w:w="520" w:type="dxa"/>
            <w:vAlign w:val="bottom"/>
            <w:shd w:val="clear" w:color="auto" w:fill="CCEEFF"/>
          </w:tcPr>
          <w:p>
            <w:pPr>
              <w:spacing w:after="0"/>
              <w:rPr>
                <w:sz w:val="20"/>
                <w:szCs w:val="20"/>
                <w:color w:val="auto"/>
              </w:rPr>
            </w:pPr>
          </w:p>
        </w:tc>
        <w:tc>
          <w:tcPr>
            <w:tcW w:w="7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(see company p(2)a. below)</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7"/>
        </w:trPr>
        <w:tc>
          <w:tcPr>
            <w:tcW w:w="520" w:type="dxa"/>
            <w:vAlign w:val="bottom"/>
          </w:tcPr>
          <w:p>
            <w:pPr>
              <w:spacing w:after="0"/>
              <w:rPr>
                <w:sz w:val="19"/>
                <w:szCs w:val="19"/>
                <w:color w:val="auto"/>
              </w:rPr>
            </w:pPr>
          </w:p>
        </w:tc>
        <w:tc>
          <w:tcPr>
            <w:tcW w:w="7200" w:type="dxa"/>
            <w:vAlign w:val="bottom"/>
            <w:gridSpan w:val="2"/>
          </w:tcPr>
          <w:p>
            <w:pPr>
              <w:ind w:left="540"/>
              <w:spacing w:after="0"/>
              <w:rPr>
                <w:sz w:val="20"/>
                <w:szCs w:val="20"/>
                <w:color w:val="auto"/>
              </w:rPr>
            </w:pPr>
            <w:r>
              <w:rPr>
                <w:rFonts w:ascii="Arial" w:cs="Arial" w:eastAsia="Arial" w:hAnsi="Arial"/>
                <w:sz w:val="18"/>
                <w:szCs w:val="18"/>
                <w:color w:val="auto"/>
              </w:rPr>
              <w:t>(2)  Murphy Netherlands Holdings II B.V.</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7"/>
        </w:trPr>
        <w:tc>
          <w:tcPr>
            <w:tcW w:w="5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a. Murphy Sur, S. de R. L. de C.V.</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r>
      <w:tr>
        <w:trPr>
          <w:trHeight w:val="233"/>
        </w:trPr>
        <w:tc>
          <w:tcPr>
            <w:tcW w:w="520" w:type="dxa"/>
            <w:vAlign w:val="bottom"/>
          </w:tcPr>
          <w:p>
            <w:pPr>
              <w:spacing w:after="0"/>
              <w:rPr>
                <w:sz w:val="20"/>
                <w:szCs w:val="20"/>
                <w:color w:val="auto"/>
              </w:rPr>
            </w:pPr>
          </w:p>
        </w:tc>
        <w:tc>
          <w:tcPr>
            <w:tcW w:w="7200" w:type="dxa"/>
            <w:vAlign w:val="bottom"/>
            <w:gridSpan w:val="2"/>
          </w:tcPr>
          <w:p>
            <w:pPr>
              <w:ind w:left="340"/>
              <w:spacing w:after="0"/>
              <w:rPr>
                <w:sz w:val="20"/>
                <w:szCs w:val="20"/>
                <w:color w:val="auto"/>
              </w:rPr>
            </w:pPr>
            <w:r>
              <w:rPr>
                <w:rFonts w:ascii="Arial" w:cs="Arial" w:eastAsia="Arial" w:hAnsi="Arial"/>
                <w:sz w:val="18"/>
                <w:szCs w:val="18"/>
                <w:color w:val="auto"/>
              </w:rPr>
              <w:t>q.  Murphy Exploration Holdings, LLC</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r>
    </w:tbl>
    <w:p>
      <w:pPr>
        <w:sectPr>
          <w:pgSz w:w="11900" w:h="16838" w:orient="portrait"/>
          <w:cols w:equalWidth="0" w:num="1">
            <w:col w:w="11200"/>
          </w:cols>
          <w:pgMar w:left="360" w:top="122" w:right="33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w w:val="97"/>
              </w:rPr>
              <w:t>EXHIBIT 21.1</w:t>
            </w:r>
          </w:p>
        </w:tc>
      </w:tr>
      <w:tr>
        <w:trPr>
          <w:trHeight w:val="829"/>
        </w:trPr>
        <w:tc>
          <w:tcPr>
            <w:tcW w:w="13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Percentage of</w:t>
            </w:r>
          </w:p>
        </w:tc>
      </w:tr>
      <w:tr>
        <w:trPr>
          <w:trHeight w:val="174"/>
        </w:trPr>
        <w:tc>
          <w:tcPr>
            <w:tcW w:w="13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20"/>
              <w:spacing w:after="0" w:line="174" w:lineRule="exact"/>
              <w:rPr>
                <w:sz w:val="20"/>
                <w:szCs w:val="20"/>
                <w:color w:val="auto"/>
              </w:rPr>
            </w:pPr>
            <w:r>
              <w:rPr>
                <w:rFonts w:ascii="Arial" w:cs="Arial" w:eastAsia="Arial" w:hAnsi="Arial"/>
                <w:sz w:val="18"/>
                <w:szCs w:val="18"/>
                <w:color w:val="auto"/>
                <w:w w:val="97"/>
              </w:rPr>
              <w:t>Voting Securities</w:t>
            </w:r>
          </w:p>
        </w:tc>
      </w:tr>
      <w:tr>
        <w:trPr>
          <w:trHeight w:val="187"/>
        </w:trPr>
        <w:tc>
          <w:tcPr>
            <w:tcW w:w="13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2"/>
          </w:tcPr>
          <w:p>
            <w:pPr>
              <w:jc w:val="center"/>
              <w:ind w:right="100"/>
              <w:spacing w:after="0" w:line="187" w:lineRule="exact"/>
              <w:rPr>
                <w:sz w:val="20"/>
                <w:szCs w:val="20"/>
                <w:color w:val="auto"/>
              </w:rPr>
            </w:pPr>
            <w:r>
              <w:rPr>
                <w:rFonts w:ascii="Arial" w:cs="Arial" w:eastAsia="Arial" w:hAnsi="Arial"/>
                <w:sz w:val="18"/>
                <w:szCs w:val="18"/>
                <w:color w:val="auto"/>
                <w:w w:val="99"/>
              </w:rPr>
              <w:t>State or Other</w:t>
            </w:r>
          </w:p>
        </w:tc>
        <w:tc>
          <w:tcPr>
            <w:tcW w:w="1460" w:type="dxa"/>
            <w:vAlign w:val="bottom"/>
            <w:gridSpan w:val="2"/>
          </w:tcPr>
          <w:p>
            <w:pPr>
              <w:jc w:val="center"/>
              <w:ind w:right="20"/>
              <w:spacing w:after="0" w:line="187" w:lineRule="exact"/>
              <w:rPr>
                <w:sz w:val="20"/>
                <w:szCs w:val="20"/>
                <w:color w:val="auto"/>
              </w:rPr>
            </w:pPr>
            <w:r>
              <w:rPr>
                <w:rFonts w:ascii="Arial" w:cs="Arial" w:eastAsia="Arial" w:hAnsi="Arial"/>
                <w:sz w:val="18"/>
                <w:szCs w:val="18"/>
                <w:color w:val="auto"/>
                <w:w w:val="98"/>
              </w:rPr>
              <w:t>Owned by</w:t>
            </w:r>
          </w:p>
        </w:tc>
      </w:tr>
      <w:tr>
        <w:trPr>
          <w:trHeight w:val="174"/>
        </w:trPr>
        <w:tc>
          <w:tcPr>
            <w:tcW w:w="13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98"/>
              </w:rPr>
              <w:t>Jurisdiction of</w:t>
            </w:r>
          </w:p>
        </w:tc>
        <w:tc>
          <w:tcPr>
            <w:tcW w:w="1460" w:type="dxa"/>
            <w:vAlign w:val="bottom"/>
            <w:gridSpan w:val="2"/>
          </w:tcPr>
          <w:p>
            <w:pPr>
              <w:jc w:val="center"/>
              <w:ind w:right="40"/>
              <w:spacing w:after="0" w:line="174" w:lineRule="exact"/>
              <w:rPr>
                <w:sz w:val="20"/>
                <w:szCs w:val="20"/>
                <w:color w:val="auto"/>
              </w:rPr>
            </w:pPr>
            <w:r>
              <w:rPr>
                <w:rFonts w:ascii="Arial" w:cs="Arial" w:eastAsia="Arial" w:hAnsi="Arial"/>
                <w:sz w:val="18"/>
                <w:szCs w:val="18"/>
                <w:color w:val="auto"/>
                <w:w w:val="97"/>
              </w:rPr>
              <w:t>Immediate</w:t>
            </w:r>
          </w:p>
        </w:tc>
      </w:tr>
      <w:tr>
        <w:trPr>
          <w:trHeight w:val="240"/>
        </w:trPr>
        <w:tc>
          <w:tcPr>
            <w:tcW w:w="1320" w:type="dxa"/>
            <w:vAlign w:val="bottom"/>
          </w:tcPr>
          <w:p>
            <w:pPr>
              <w:spacing w:after="0"/>
              <w:rPr>
                <w:sz w:val="20"/>
                <w:szCs w:val="20"/>
                <w:color w:val="auto"/>
              </w:rPr>
            </w:pPr>
          </w:p>
        </w:tc>
        <w:tc>
          <w:tcPr>
            <w:tcW w:w="6400" w:type="dxa"/>
            <w:vAlign w:val="bottom"/>
            <w:gridSpan w:val="2"/>
          </w:tcPr>
          <w:p>
            <w:pPr>
              <w:ind w:left="1760"/>
              <w:spacing w:after="0"/>
              <w:rPr>
                <w:sz w:val="20"/>
                <w:szCs w:val="20"/>
                <w:color w:val="auto"/>
              </w:rPr>
            </w:pPr>
            <w:r>
              <w:rPr>
                <w:rFonts w:ascii="Arial" w:cs="Arial" w:eastAsia="Arial" w:hAnsi="Arial"/>
                <w:sz w:val="18"/>
                <w:szCs w:val="18"/>
                <w:color w:val="auto"/>
              </w:rPr>
              <w:t>Name of Company</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Incorporation</w:t>
            </w:r>
          </w:p>
        </w:tc>
        <w:tc>
          <w:tcPr>
            <w:tcW w:w="14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Parent</w:t>
            </w:r>
          </w:p>
        </w:tc>
      </w:tr>
      <w:tr>
        <w:trPr>
          <w:trHeight w:val="220"/>
        </w:trPr>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(1)</w:t>
            </w:r>
          </w:p>
        </w:tc>
        <w:tc>
          <w:tcPr>
            <w:tcW w:w="6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Murphy Australia Oil Pty. Ltd.</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Western Australia</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1320" w:type="dxa"/>
            <w:vAlign w:val="bottom"/>
          </w:tcPr>
          <w:p>
            <w:pPr>
              <w:spacing w:after="0"/>
              <w:rPr>
                <w:sz w:val="19"/>
                <w:szCs w:val="19"/>
                <w:color w:val="auto"/>
              </w:rPr>
            </w:pPr>
          </w:p>
        </w:tc>
        <w:tc>
          <w:tcPr>
            <w:tcW w:w="6400" w:type="dxa"/>
            <w:vAlign w:val="bottom"/>
            <w:gridSpan w:val="2"/>
          </w:tcPr>
          <w:p>
            <w:pPr>
              <w:ind w:left="320"/>
              <w:spacing w:after="0"/>
              <w:rPr>
                <w:sz w:val="20"/>
                <w:szCs w:val="20"/>
                <w:color w:val="auto"/>
              </w:rPr>
            </w:pPr>
            <w:r>
              <w:rPr>
                <w:rFonts w:ascii="Arial" w:cs="Arial" w:eastAsia="Arial" w:hAnsi="Arial"/>
                <w:sz w:val="18"/>
                <w:szCs w:val="18"/>
                <w:color w:val="auto"/>
              </w:rPr>
              <w:t>a. Murphy Australia AC/P 36 Oil Pty. Limited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Western Australia</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w:t>
            </w:r>
          </w:p>
        </w:tc>
        <w:tc>
          <w:tcPr>
            <w:tcW w:w="6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Murphy Australia AC/P 57 Oil Pty.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Western Australia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1320" w:type="dxa"/>
            <w:vAlign w:val="bottom"/>
          </w:tcPr>
          <w:p>
            <w:pPr>
              <w:ind w:left="1060"/>
              <w:spacing w:after="0"/>
              <w:rPr>
                <w:sz w:val="20"/>
                <w:szCs w:val="20"/>
                <w:color w:val="auto"/>
              </w:rPr>
            </w:pPr>
            <w:r>
              <w:rPr>
                <w:rFonts w:ascii="Arial" w:cs="Arial" w:eastAsia="Arial" w:hAnsi="Arial"/>
                <w:sz w:val="18"/>
                <w:szCs w:val="18"/>
                <w:color w:val="auto"/>
              </w:rPr>
              <w:t>(3)</w:t>
            </w:r>
          </w:p>
        </w:tc>
        <w:tc>
          <w:tcPr>
            <w:tcW w:w="6400" w:type="dxa"/>
            <w:vAlign w:val="bottom"/>
            <w:gridSpan w:val="2"/>
          </w:tcPr>
          <w:p>
            <w:pPr>
              <w:ind w:left="60"/>
              <w:spacing w:after="0"/>
              <w:rPr>
                <w:sz w:val="20"/>
                <w:szCs w:val="20"/>
                <w:color w:val="auto"/>
              </w:rPr>
            </w:pPr>
            <w:r>
              <w:rPr>
                <w:rFonts w:ascii="Arial" w:cs="Arial" w:eastAsia="Arial" w:hAnsi="Arial"/>
                <w:sz w:val="18"/>
                <w:szCs w:val="18"/>
                <w:color w:val="auto"/>
              </w:rPr>
              <w:t>Murphy Australia AC/P 58 Oil Pty.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Western Australia</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(4)</w:t>
            </w:r>
          </w:p>
        </w:tc>
        <w:tc>
          <w:tcPr>
            <w:tcW w:w="6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Murphy Australia AC/P 59 Oil Pty.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Western Australia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1320" w:type="dxa"/>
            <w:vAlign w:val="bottom"/>
          </w:tcPr>
          <w:p>
            <w:pPr>
              <w:ind w:left="1060"/>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60"/>
              <w:spacing w:after="0"/>
              <w:rPr>
                <w:sz w:val="20"/>
                <w:szCs w:val="20"/>
                <w:color w:val="auto"/>
              </w:rPr>
            </w:pPr>
            <w:r>
              <w:rPr>
                <w:rFonts w:ascii="Arial" w:cs="Arial" w:eastAsia="Arial" w:hAnsi="Arial"/>
                <w:sz w:val="18"/>
                <w:szCs w:val="18"/>
                <w:color w:val="auto"/>
              </w:rPr>
              <w:t>Murphy Australia EPP43 Oil Pty.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Western Australia</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(6)</w:t>
            </w: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Murphy Australia WA-481-P Oil Pty.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Western Australia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tcPr>
          <w:p>
            <w:pPr>
              <w:ind w:left="860"/>
              <w:spacing w:after="0"/>
              <w:rPr>
                <w:sz w:val="20"/>
                <w:szCs w:val="20"/>
                <w:color w:val="auto"/>
              </w:rPr>
            </w:pPr>
            <w:r>
              <w:rPr>
                <w:rFonts w:ascii="Arial" w:cs="Arial" w:eastAsia="Arial" w:hAnsi="Arial"/>
                <w:sz w:val="18"/>
                <w:szCs w:val="18"/>
                <w:color w:val="auto"/>
              </w:rPr>
              <w:t>t.  Murphy CI-102 Oil Co.,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u.  Murphy CI-103 Oil Co.,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tcPr>
          <w:p>
            <w:pPr>
              <w:ind w:left="860"/>
              <w:spacing w:after="0"/>
              <w:rPr>
                <w:sz w:val="20"/>
                <w:szCs w:val="20"/>
                <w:color w:val="auto"/>
              </w:rPr>
            </w:pPr>
            <w:r>
              <w:rPr>
                <w:rFonts w:ascii="Arial" w:cs="Arial" w:eastAsia="Arial" w:hAnsi="Arial"/>
                <w:sz w:val="18"/>
                <w:szCs w:val="18"/>
                <w:color w:val="auto"/>
              </w:rPr>
              <w:t>v.  Murphy CI-502 Oil Co.,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  Murphy CI-531 Oil Co.,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tcPr>
          <w:p>
            <w:pPr>
              <w:ind w:left="860"/>
              <w:spacing w:after="0"/>
              <w:rPr>
                <w:sz w:val="20"/>
                <w:szCs w:val="20"/>
                <w:color w:val="auto"/>
              </w:rPr>
            </w:pPr>
            <w:r>
              <w:rPr>
                <w:rFonts w:ascii="Arial" w:cs="Arial" w:eastAsia="Arial" w:hAnsi="Arial"/>
                <w:sz w:val="18"/>
                <w:szCs w:val="18"/>
                <w:color w:val="auto"/>
              </w:rPr>
              <w:t>x. Murphy CI-709 Oil Co., Ltd.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Bahamas</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 Murphy Exploration &amp; Production Company - USA</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tcPr>
          <w:p>
            <w:pPr>
              <w:ind w:left="860"/>
              <w:spacing w:after="0"/>
              <w:rPr>
                <w:sz w:val="20"/>
                <w:szCs w:val="20"/>
                <w:color w:val="auto"/>
              </w:rPr>
            </w:pPr>
            <w:r>
              <w:rPr>
                <w:rFonts w:ascii="Arial" w:cs="Arial" w:eastAsia="Arial" w:hAnsi="Arial"/>
                <w:sz w:val="18"/>
                <w:szCs w:val="18"/>
                <w:color w:val="auto"/>
              </w:rPr>
              <w:t>a. MP Gulf of Mexico, LLC</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9"/>
                <w:szCs w:val="19"/>
                <w:color w:val="auto"/>
              </w:rPr>
            </w:pPr>
          </w:p>
        </w:tc>
      </w:tr>
      <w:tr>
        <w:trPr>
          <w:trHeight w:val="227"/>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G.  Murphy Oil Company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tcPr>
          <w:p>
            <w:pPr>
              <w:ind w:left="620"/>
              <w:spacing w:after="0"/>
              <w:rPr>
                <w:sz w:val="20"/>
                <w:szCs w:val="20"/>
                <w:color w:val="auto"/>
              </w:rPr>
            </w:pPr>
            <w:r>
              <w:rPr>
                <w:rFonts w:ascii="Arial" w:cs="Arial" w:eastAsia="Arial" w:hAnsi="Arial"/>
                <w:sz w:val="18"/>
                <w:szCs w:val="18"/>
                <w:color w:val="auto"/>
              </w:rPr>
              <w:t>1.  Murphy Canada Holding ULC</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AULC</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2.  Murphy Canada, Ltd.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tcPr>
          <w:p>
            <w:pPr>
              <w:ind w:left="280"/>
              <w:spacing w:after="0"/>
              <w:rPr>
                <w:sz w:val="20"/>
                <w:szCs w:val="20"/>
                <w:color w:val="auto"/>
              </w:rPr>
            </w:pPr>
            <w:r>
              <w:rPr>
                <w:rFonts w:ascii="Arial" w:cs="Arial" w:eastAsia="Arial" w:hAnsi="Arial"/>
                <w:sz w:val="18"/>
                <w:szCs w:val="18"/>
                <w:color w:val="auto"/>
              </w:rPr>
              <w:t>H.  New Murphy Oil (UK) Corporation</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27"/>
        </w:trPr>
        <w:tc>
          <w:tcPr>
            <w:tcW w:w="77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1. Murphy Petroleum Limited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England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r>
      <w:tr>
        <w:trPr>
          <w:trHeight w:val="233"/>
        </w:trPr>
        <w:tc>
          <w:tcPr>
            <w:tcW w:w="7720" w:type="dxa"/>
            <w:vAlign w:val="bottom"/>
            <w:gridSpan w:val="3"/>
          </w:tcPr>
          <w:p>
            <w:pPr>
              <w:ind w:left="860"/>
              <w:spacing w:after="0"/>
              <w:rPr>
                <w:sz w:val="20"/>
                <w:szCs w:val="20"/>
                <w:color w:val="auto"/>
              </w:rPr>
            </w:pPr>
            <w:r>
              <w:rPr>
                <w:rFonts w:ascii="Arial" w:cs="Arial" w:eastAsia="Arial" w:hAnsi="Arial"/>
                <w:sz w:val="18"/>
                <w:szCs w:val="18"/>
                <w:color w:val="auto"/>
              </w:rPr>
              <w:t>a.  Murco Petroleum Limited</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England</w:t>
            </w:r>
          </w:p>
        </w:tc>
        <w:tc>
          <w:tcPr>
            <w:tcW w:w="144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0"/>
                <w:szCs w:val="20"/>
                <w:color w:val="auto"/>
              </w:rPr>
            </w:pPr>
          </w:p>
        </w:tc>
      </w:tr>
    </w:tbl>
    <w:p>
      <w:pPr>
        <w:sectPr>
          <w:pgSz w:w="11900" w:h="16838" w:orient="portrait"/>
          <w:cols w:equalWidth="0" w:num="1">
            <w:col w:w="11200"/>
          </w:cols>
          <w:pgMar w:left="360" w:top="227"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We consent to the incorporation by reference in the registration statements (No. 333-282615, 333-256048, and 333-241837) on Form S-8 and in the registration statement (No. 333-282655) on Form S-3 of our reports dated February 27, 2025, with respect to the consolidated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financial statement Schedule II of Murphy Oil Corporation and the effectiveness of internal control over financial reporting</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ectPr>
          <w:pgSz w:w="11900" w:h="16838" w:orient="portrait"/>
          <w:cols w:equalWidth="0" w:num="1">
            <w:col w:w="11240"/>
          </w:cols>
          <w:pgMar w:left="320" w:top="121"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2349500" cy="5600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2349500" cy="56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TBPELS REGISTERED ENGINEERING FIRM F-1580</w:t>
      </w:r>
    </w:p>
    <w:p>
      <w:pPr>
        <w:spacing w:after="0" w:line="27" w:lineRule="exact"/>
        <w:rPr>
          <w:sz w:val="20"/>
          <w:szCs w:val="20"/>
          <w:color w:val="auto"/>
        </w:rPr>
      </w:pPr>
    </w:p>
    <w:p>
      <w:pPr>
        <w:ind w:left="160"/>
        <w:spacing w:after="0"/>
        <w:tabs>
          <w:tab w:leader="none" w:pos="2220" w:val="left"/>
          <w:tab w:leader="none" w:pos="4440" w:val="left"/>
        </w:tabs>
        <w:rPr>
          <w:sz w:val="20"/>
          <w:szCs w:val="20"/>
          <w:color w:val="auto"/>
        </w:rPr>
      </w:pPr>
      <w:r>
        <w:rPr>
          <w:rFonts w:ascii="Arial" w:cs="Arial" w:eastAsia="Arial" w:hAnsi="Arial"/>
          <w:sz w:val="14"/>
          <w:szCs w:val="14"/>
          <w:color w:val="auto"/>
        </w:rPr>
        <w:t>1100 LOUISIANA SUITE 4600</w:t>
        <w:tab/>
        <w:t>HOUSTON, TEXAS 77002-5294</w:t>
        <w:tab/>
        <w:t>TELEPHONE (713) 651-9191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RYDER SCOTT COMPANY, L.P.</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1"/>
        <w:spacing w:after="0" w:line="239" w:lineRule="exact"/>
        <w:rPr>
          <w:sz w:val="20"/>
          <w:szCs w:val="20"/>
          <w:color w:val="auto"/>
        </w:rPr>
      </w:pPr>
      <w:r>
        <w:rPr>
          <w:rFonts w:ascii="Arial" w:cs="Arial" w:eastAsia="Arial" w:hAnsi="Arial"/>
          <w:sz w:val="20"/>
          <w:szCs w:val="20"/>
          <w:color w:val="auto"/>
        </w:rPr>
        <w:t>We hereby consent to the incorporation by reference in the Registration Statement (File Nos. 333-282615, 333</w:t>
      </w:r>
      <w:r>
        <w:rPr>
          <w:rFonts w:ascii="MS PGothic" w:cs="MS PGothic" w:eastAsia="MS PGothic" w:hAnsi="MS PGothic"/>
          <w:sz w:val="20"/>
          <w:szCs w:val="20"/>
          <w:color w:val="auto"/>
        </w:rPr>
        <w:t>‑</w:t>
      </w:r>
      <w:r>
        <w:rPr>
          <w:rFonts w:ascii="Arial" w:cs="Arial" w:eastAsia="Arial" w:hAnsi="Arial"/>
          <w:sz w:val="20"/>
          <w:szCs w:val="20"/>
          <w:color w:val="auto"/>
        </w:rPr>
        <w:t>256048 and 333-241837) on Form S-8, the Registration Statement (File No. 333-282655) on Form S-3 of Murphy Oil Corporation, and of the reference to our reports regarding certain assets in the United States effective December 31, 2024 and dated January 24, 2025 for Murphy Oil Corporation, which appears in the December 31, 2024 annual report on Form 10-K of Murphy Oil Corporation, including any reference to our firm under the heading “Experts”.</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 RYDER SCOTT COMPANY, L.P.</w:t>
      </w:r>
    </w:p>
    <w:p>
      <w:pPr>
        <w:spacing w:after="0" w:line="289"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RYDER SCOTT COMPANY, L.P.</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right="5440" w:hanging="14"/>
        <w:spacing w:after="0" w:line="298" w:lineRule="auto"/>
        <w:rPr>
          <w:sz w:val="20"/>
          <w:szCs w:val="20"/>
          <w:color w:val="auto"/>
        </w:rPr>
      </w:pPr>
      <w:r>
        <w:rPr>
          <w:rFonts w:ascii="Arial" w:cs="Arial" w:eastAsia="Arial" w:hAnsi="Arial"/>
          <w:sz w:val="13"/>
          <w:szCs w:val="13"/>
          <w:color w:val="auto"/>
        </w:rPr>
        <w:t>SUITE 2800, 350 7TH AVENUE, S.W.</w:t>
      </w:r>
      <w:r>
        <w:rPr>
          <w:sz w:val="20"/>
          <w:szCs w:val="20"/>
          <w:color w:val="auto"/>
        </w:rPr>
        <w:t xml:space="preserve"> </w:t>
      </w:r>
      <w:r>
        <w:rPr>
          <w:rFonts w:ascii="Arial" w:cs="Arial" w:eastAsia="Arial" w:hAnsi="Arial"/>
          <w:sz w:val="13"/>
          <w:szCs w:val="13"/>
          <w:color w:val="auto"/>
        </w:rPr>
        <w:t>CALGARY, ALBERTA T2P 3N9 TEL (403) 262-2799 633 17TH STREET, SUITE 1700 DENVER, COLORADO 80202 TEL (303) 339-8110</w:t>
      </w:r>
    </w:p>
    <w:p>
      <w:pPr>
        <w:sectPr>
          <w:pgSz w:w="11900" w:h="16838" w:orient="portrait"/>
          <w:cols w:equalWidth="0" w:num="1">
            <w:col w:w="11240"/>
          </w:cols>
          <w:pgMar w:left="320" w:top="122"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186055</wp:posOffset>
            </wp:positionV>
            <wp:extent cx="2256155" cy="11283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2256155" cy="1128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Jeffrey Wilson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General Manager - Corporate Reserves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Murphy Oil Corporation</w:t>
      </w:r>
    </w:p>
    <w:p>
      <w:pPr>
        <w:spacing w:after="0"/>
        <w:rPr>
          <w:sz w:val="20"/>
          <w:szCs w:val="20"/>
          <w:color w:val="auto"/>
        </w:rPr>
      </w:pPr>
      <w:r>
        <w:rPr>
          <w:rFonts w:ascii="Arial" w:cs="Arial" w:eastAsia="Arial" w:hAnsi="Arial"/>
          <w:sz w:val="20"/>
          <w:szCs w:val="20"/>
          <w:color w:val="auto"/>
        </w:rPr>
        <w:t>9805 Katy Freeway, Suite G-200</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Houston, TX 77024</w:t>
      </w:r>
    </w:p>
    <w:p>
      <w:pPr>
        <w:spacing w:after="0" w:line="234" w:lineRule="exact"/>
        <w:rPr>
          <w:sz w:val="20"/>
          <w:szCs w:val="20"/>
          <w:color w:val="auto"/>
        </w:rPr>
      </w:pPr>
    </w:p>
    <w:p>
      <w:pPr>
        <w:jc w:val="both"/>
        <w:ind w:firstLine="641"/>
        <w:spacing w:after="0" w:line="230" w:lineRule="exact"/>
        <w:rPr>
          <w:sz w:val="20"/>
          <w:szCs w:val="20"/>
          <w:color w:val="auto"/>
        </w:rPr>
      </w:pPr>
      <w:r>
        <w:rPr>
          <w:rFonts w:ascii="Arial" w:cs="Arial" w:eastAsia="Arial" w:hAnsi="Arial"/>
          <w:sz w:val="20"/>
          <w:szCs w:val="20"/>
          <w:color w:val="auto"/>
        </w:rPr>
        <w:t>We hereby consent to the reference of our firm and to the use of our report conducting an audit of the Canadian Oil and Gas Properties for the Kaybob Duvernay and Greater Tupper Montney Projects located within the Province of British Columbia and Alberta, Canada, effective December 31, 2024 and dated January 23, 2025 in the Murphy Oil Corporation Form 10-K for the year ended December 31, 2024, Registration Statement Form S</w:t>
      </w:r>
      <w:r>
        <w:rPr>
          <w:rFonts w:ascii="MS PGothic" w:cs="MS PGothic" w:eastAsia="MS PGothic" w:hAnsi="MS PGothic"/>
          <w:sz w:val="20"/>
          <w:szCs w:val="20"/>
          <w:color w:val="auto"/>
        </w:rPr>
        <w:t>‑</w:t>
      </w:r>
      <w:r>
        <w:rPr>
          <w:rFonts w:ascii="Arial" w:cs="Arial" w:eastAsia="Arial" w:hAnsi="Arial"/>
          <w:sz w:val="20"/>
          <w:szCs w:val="20"/>
          <w:color w:val="auto"/>
        </w:rPr>
        <w:t>8, No. 333-282615, 333-256048 and 333-241837 and Registration Statement Form S</w:t>
      </w:r>
      <w:r>
        <w:rPr>
          <w:rFonts w:ascii="MS PGothic" w:cs="MS PGothic" w:eastAsia="MS PGothic" w:hAnsi="MS PGothic"/>
          <w:sz w:val="20"/>
          <w:szCs w:val="20"/>
          <w:color w:val="auto"/>
        </w:rPr>
        <w:t>‑</w:t>
      </w:r>
      <w:r>
        <w:rPr>
          <w:rFonts w:ascii="Arial" w:cs="Arial" w:eastAsia="Arial" w:hAnsi="Arial"/>
          <w:sz w:val="20"/>
          <w:szCs w:val="20"/>
          <w:color w:val="auto"/>
        </w:rPr>
        <w:t>3, No. 333-282655 and in any related prospectus, including any reference to our firm under the heading “Experts” in such prospectus.</w:t>
      </w:r>
    </w:p>
    <w:p>
      <w:pPr>
        <w:spacing w:after="0" w:line="200" w:lineRule="exact"/>
        <w:rPr>
          <w:sz w:val="20"/>
          <w:szCs w:val="20"/>
          <w:color w:val="auto"/>
        </w:rPr>
      </w:pPr>
    </w:p>
    <w:p>
      <w:pPr>
        <w:spacing w:after="0" w:line="25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McDaniel &amp; Associates Consultants Ltd.</w:t>
      </w:r>
    </w:p>
    <w:p>
      <w:pPr>
        <w:spacing w:after="0" w:line="200" w:lineRule="exact"/>
        <w:rPr>
          <w:sz w:val="20"/>
          <w:szCs w:val="20"/>
          <w:color w:val="auto"/>
        </w:rPr>
      </w:pPr>
    </w:p>
    <w:p>
      <w:pPr>
        <w:spacing w:after="0" w:line="27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Jared Wynveen</w:t>
      </w:r>
    </w:p>
    <w:p>
      <w:pPr>
        <w:spacing w:after="0" w:line="200" w:lineRule="exact"/>
        <w:rPr>
          <w:sz w:val="20"/>
          <w:szCs w:val="20"/>
          <w:color w:val="auto"/>
        </w:rPr>
      </w:pPr>
    </w:p>
    <w:p>
      <w:pPr>
        <w:spacing w:after="0" w:line="29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Jared Wynveen, P. Eng.</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Executive Vice President</w:t>
      </w:r>
    </w:p>
    <w:p>
      <w:pPr>
        <w:spacing w:after="0" w:line="200" w:lineRule="exact"/>
        <w:rPr>
          <w:sz w:val="20"/>
          <w:szCs w:val="20"/>
          <w:color w:val="auto"/>
        </w:rPr>
      </w:pPr>
    </w:p>
    <w:p>
      <w:pPr>
        <w:spacing w:after="0" w:line="26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February 24, 2025</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20"/>
          <w:szCs w:val="20"/>
          <w:color w:val="auto"/>
        </w:rPr>
        <w:t>APEGA PERMIT NUMBER: P3145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2000, Eighth Avenue Place, East Tower, 525 - 8 Avenue SW, Calgary, AB, T2P 1G1 Tel: (403) 262-5506 www.mcdan.com</w:t>
      </w:r>
    </w:p>
    <w:p>
      <w:pPr>
        <w:sectPr>
          <w:pgSz w:w="11900" w:h="16838" w:orient="portrait"/>
          <w:cols w:equalWidth="0" w:num="1">
            <w:col w:w="10880"/>
          </w:cols>
          <w:pgMar w:left="680" w:top="601" w:right="33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88900</wp:posOffset>
            </wp:positionV>
            <wp:extent cx="6268720" cy="720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6268720" cy="720725"/>
                    </a:xfrm>
                    <a:prstGeom prst="rect">
                      <a:avLst/>
                    </a:prstGeom>
                    <a:noFill/>
                  </pic:spPr>
                </pic:pic>
              </a:graphicData>
            </a:graphic>
          </wp:anchor>
        </w:drawing>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PETROLEUM ENGINEERS AND GEOLOGISTS</w:t>
      </w:r>
    </w:p>
    <w:p>
      <w:pPr>
        <w:spacing w:after="0" w:line="180" w:lineRule="exact"/>
        <w:rPr>
          <w:sz w:val="20"/>
          <w:szCs w:val="20"/>
          <w:color w:val="auto"/>
        </w:rPr>
      </w:pPr>
    </w:p>
    <w:p>
      <w:pPr>
        <w:jc w:val="both"/>
        <w:spacing w:after="0" w:line="239" w:lineRule="exact"/>
        <w:rPr>
          <w:sz w:val="20"/>
          <w:szCs w:val="20"/>
          <w:color w:val="auto"/>
        </w:rPr>
      </w:pPr>
      <w:r>
        <w:rPr>
          <w:rFonts w:ascii="Arial" w:cs="Arial" w:eastAsia="Arial" w:hAnsi="Arial"/>
          <w:sz w:val="20"/>
          <w:szCs w:val="20"/>
          <w:color w:val="auto"/>
        </w:rPr>
        <w:t>We hereby consent to the incorporation by reference in the Registration Statement (File Nos. 333-282615, 333</w:t>
      </w:r>
      <w:r>
        <w:rPr>
          <w:rFonts w:ascii="MS PGothic" w:cs="MS PGothic" w:eastAsia="MS PGothic" w:hAnsi="MS PGothic"/>
          <w:sz w:val="20"/>
          <w:szCs w:val="20"/>
          <w:color w:val="auto"/>
        </w:rPr>
        <w:t>‑</w:t>
      </w:r>
      <w:r>
        <w:rPr>
          <w:rFonts w:ascii="Arial" w:cs="Arial" w:eastAsia="Arial" w:hAnsi="Arial"/>
          <w:sz w:val="20"/>
          <w:szCs w:val="20"/>
          <w:color w:val="auto"/>
        </w:rPr>
        <w:t>256048 and 333-241837) on Form S-8 and the Registration Statement (File No. 333-282655) on Form S-3 of Murphy Oil Corporation, as well as to the reference in the December 31, 2024, annual report on Form 10-K of Murphy Oil Corporation, of our reports regarding certain assets in the United States located in federal waters in the Gulf of Mexico, effective December 31, 2024, and dated February 11, 2025, including any reference to our firm under the heading “Experts”.</w:t>
      </w:r>
    </w:p>
    <w:p>
      <w:pPr>
        <w:spacing w:after="0" w:line="200" w:lineRule="exact"/>
        <w:rPr>
          <w:sz w:val="20"/>
          <w:szCs w:val="20"/>
          <w:color w:val="auto"/>
        </w:rPr>
      </w:pPr>
    </w:p>
    <w:p>
      <w:pPr>
        <w:spacing w:after="0" w:line="306" w:lineRule="exact"/>
        <w:rPr>
          <w:sz w:val="20"/>
          <w:szCs w:val="20"/>
          <w:color w:val="auto"/>
        </w:rPr>
      </w:pPr>
    </w:p>
    <w:p>
      <w:pPr>
        <w:ind w:left="5680"/>
        <w:spacing w:after="0"/>
        <w:rPr>
          <w:sz w:val="20"/>
          <w:szCs w:val="20"/>
          <w:color w:val="auto"/>
        </w:rPr>
      </w:pPr>
      <w:r>
        <w:rPr>
          <w:rFonts w:ascii="Arial" w:cs="Arial" w:eastAsia="Arial" w:hAnsi="Arial"/>
          <w:sz w:val="20"/>
          <w:szCs w:val="20"/>
          <w:b w:val="1"/>
          <w:bCs w:val="1"/>
          <w:color w:val="auto"/>
        </w:rPr>
        <w:t>NETHERLAND, SEWELL &amp; ASSOCIATES, INC.</w:t>
      </w:r>
    </w:p>
    <w:p>
      <w:pPr>
        <w:spacing w:after="0" w:line="3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By: /s/ Richard B. Talley,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20320</wp:posOffset>
            </wp:positionV>
            <wp:extent cx="3231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7"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Richard B. Talley, Jr., P.E.</w:t>
      </w:r>
    </w:p>
    <w:p>
      <w:pPr>
        <w:spacing w:after="0" w:line="37"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2025</w:t>
      </w:r>
    </w:p>
    <w:p>
      <w:pPr>
        <w:sectPr>
          <w:pgSz w:w="11900" w:h="16838" w:orient="portrait"/>
          <w:cols w:equalWidth="0" w:num="1">
            <w:col w:w="11240"/>
          </w:cols>
          <w:pgMar w:left="320" w:top="1440"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Eric M. Hambly, certify that:</w:t>
      </w:r>
    </w:p>
    <w:p>
      <w:pPr>
        <w:spacing w:after="0" w:line="194" w:lineRule="exact"/>
        <w:rPr>
          <w:sz w:val="20"/>
          <w:szCs w:val="20"/>
          <w:color w:val="auto"/>
        </w:rPr>
      </w:pPr>
    </w:p>
    <w:p>
      <w:pPr>
        <w:ind w:left="320" w:hanging="313"/>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Murphy Oil Corporation;</w:t>
      </w:r>
    </w:p>
    <w:p>
      <w:pPr>
        <w:spacing w:after="0" w:line="180" w:lineRule="exact"/>
        <w:rPr>
          <w:rFonts w:ascii="Arial" w:cs="Arial" w:eastAsia="Arial" w:hAnsi="Arial"/>
          <w:sz w:val="18"/>
          <w:szCs w:val="18"/>
          <w:color w:val="auto"/>
        </w:rPr>
      </w:pPr>
    </w:p>
    <w:p>
      <w:pPr>
        <w:ind w:left="320" w:right="200" w:hanging="313"/>
        <w:spacing w:after="0" w:line="262" w:lineRule="auto"/>
        <w:tabs>
          <w:tab w:leader="none" w:pos="3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320" w:right="280" w:hanging="313"/>
        <w:spacing w:after="0" w:line="308" w:lineRule="auto"/>
        <w:tabs>
          <w:tab w:leader="none" w:pos="3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ind w:left="320" w:right="260" w:hanging="313"/>
        <w:spacing w:after="0" w:line="272" w:lineRule="auto"/>
        <w:tabs>
          <w:tab w:leader="none" w:pos="3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64" w:lineRule="exact"/>
        <w:rPr>
          <w:rFonts w:ascii="Arial" w:cs="Arial" w:eastAsia="Arial" w:hAnsi="Arial"/>
          <w:sz w:val="17"/>
          <w:szCs w:val="17"/>
          <w:color w:val="auto"/>
        </w:rPr>
      </w:pPr>
    </w:p>
    <w:p>
      <w:pPr>
        <w:ind w:left="640" w:right="180" w:hanging="313"/>
        <w:spacing w:after="0" w:line="262" w:lineRule="auto"/>
        <w:tabs>
          <w:tab w:leader="none" w:pos="63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640" w:right="300" w:hanging="313"/>
        <w:spacing w:after="0" w:line="262" w:lineRule="auto"/>
        <w:tabs>
          <w:tab w:leader="none" w:pos="62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8"/>
          <w:szCs w:val="18"/>
          <w:color w:val="auto"/>
        </w:rPr>
      </w:pPr>
    </w:p>
    <w:p>
      <w:pPr>
        <w:ind w:left="640" w:right="220" w:hanging="313"/>
        <w:spacing w:after="0" w:line="262" w:lineRule="auto"/>
        <w:tabs>
          <w:tab w:leader="none" w:pos="641"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8"/>
          <w:szCs w:val="18"/>
          <w:color w:val="auto"/>
        </w:rPr>
      </w:pPr>
    </w:p>
    <w:p>
      <w:pPr>
        <w:jc w:val="both"/>
        <w:ind w:left="640" w:right="120" w:hanging="313"/>
        <w:spacing w:after="0" w:line="262" w:lineRule="auto"/>
        <w:tabs>
          <w:tab w:leader="none" w:pos="625"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36" w:lineRule="exact"/>
        <w:rPr>
          <w:rFonts w:ascii="Arial" w:cs="Arial" w:eastAsia="Arial" w:hAnsi="Arial"/>
          <w:sz w:val="18"/>
          <w:szCs w:val="18"/>
          <w:color w:val="auto"/>
        </w:rPr>
      </w:pPr>
    </w:p>
    <w:p>
      <w:pPr>
        <w:ind w:left="320" w:right="260" w:hanging="313"/>
        <w:spacing w:after="0" w:line="262" w:lineRule="auto"/>
        <w:tabs>
          <w:tab w:leader="none" w:pos="3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8"/>
          <w:szCs w:val="18"/>
          <w:color w:val="auto"/>
        </w:rPr>
      </w:pPr>
    </w:p>
    <w:p>
      <w:pPr>
        <w:ind w:left="640" w:right="400" w:hanging="313"/>
        <w:spacing w:after="0" w:line="308" w:lineRule="auto"/>
        <w:tabs>
          <w:tab w:leader="none" w:pos="638"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7"/>
          <w:szCs w:val="17"/>
          <w:color w:val="auto"/>
        </w:rPr>
      </w:pPr>
    </w:p>
    <w:p>
      <w:pPr>
        <w:ind w:left="640" w:right="20" w:hanging="313"/>
        <w:spacing w:after="0" w:line="278" w:lineRule="auto"/>
        <w:tabs>
          <w:tab w:leader="none" w:pos="62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2025</w:t>
      </w: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17386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173863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M. Hambly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Thomas J. Mireles, certify that:</w:t>
      </w:r>
    </w:p>
    <w:p>
      <w:pPr>
        <w:spacing w:after="0" w:line="194" w:lineRule="exact"/>
        <w:rPr>
          <w:sz w:val="20"/>
          <w:szCs w:val="20"/>
          <w:color w:val="auto"/>
        </w:rPr>
      </w:pPr>
    </w:p>
    <w:p>
      <w:pPr>
        <w:ind w:left="320" w:hanging="313"/>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Murphy Oil Corporation;</w:t>
      </w:r>
    </w:p>
    <w:p>
      <w:pPr>
        <w:spacing w:after="0" w:line="113" w:lineRule="exact"/>
        <w:rPr>
          <w:rFonts w:ascii="Arial" w:cs="Arial" w:eastAsia="Arial" w:hAnsi="Arial"/>
          <w:sz w:val="18"/>
          <w:szCs w:val="18"/>
          <w:color w:val="auto"/>
        </w:rPr>
      </w:pPr>
    </w:p>
    <w:p>
      <w:pPr>
        <w:jc w:val="both"/>
        <w:ind w:right="20" w:firstLine="7"/>
        <w:spacing w:after="0" w:line="262" w:lineRule="auto"/>
        <w:tabs>
          <w:tab w:leader="none" w:pos="6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320" w:right="280" w:hanging="313"/>
        <w:spacing w:after="0" w:line="308" w:lineRule="auto"/>
        <w:tabs>
          <w:tab w:leader="none" w:pos="308"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7"/>
          <w:szCs w:val="17"/>
          <w:color w:val="auto"/>
        </w:rPr>
      </w:pPr>
    </w:p>
    <w:p>
      <w:pPr>
        <w:ind w:left="320" w:right="260" w:hanging="313"/>
        <w:spacing w:after="0" w:line="272" w:lineRule="auto"/>
        <w:tabs>
          <w:tab w:leader="none" w:pos="30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7" w:lineRule="exact"/>
        <w:rPr>
          <w:rFonts w:ascii="Arial" w:cs="Arial" w:eastAsia="Arial" w:hAnsi="Arial"/>
          <w:sz w:val="17"/>
          <w:szCs w:val="17"/>
          <w:color w:val="auto"/>
        </w:rPr>
      </w:pPr>
    </w:p>
    <w:p>
      <w:pPr>
        <w:ind w:left="640" w:right="180" w:hanging="313"/>
        <w:spacing w:after="0" w:line="262" w:lineRule="auto"/>
        <w:tabs>
          <w:tab w:leader="none" w:pos="638"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640" w:right="300" w:hanging="313"/>
        <w:spacing w:after="0" w:line="262" w:lineRule="auto"/>
        <w:tabs>
          <w:tab w:leader="none" w:pos="6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640" w:right="220" w:hanging="313"/>
        <w:spacing w:after="0" w:line="262" w:lineRule="auto"/>
        <w:tabs>
          <w:tab w:leader="none" w:pos="641"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8"/>
          <w:szCs w:val="18"/>
          <w:color w:val="auto"/>
        </w:rPr>
      </w:pPr>
    </w:p>
    <w:p>
      <w:pPr>
        <w:jc w:val="both"/>
        <w:ind w:left="640" w:right="120" w:hanging="313"/>
        <w:spacing w:after="0" w:line="262" w:lineRule="auto"/>
        <w:tabs>
          <w:tab w:leader="none" w:pos="6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spacing w:after="0" w:line="136" w:lineRule="exact"/>
        <w:rPr>
          <w:rFonts w:ascii="Arial" w:cs="Arial" w:eastAsia="Arial" w:hAnsi="Arial"/>
          <w:sz w:val="18"/>
          <w:szCs w:val="18"/>
          <w:color w:val="auto"/>
        </w:rPr>
      </w:pPr>
    </w:p>
    <w:p>
      <w:pPr>
        <w:ind w:left="320" w:right="260" w:hanging="313"/>
        <w:spacing w:after="0" w:line="262" w:lineRule="auto"/>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8"/>
          <w:szCs w:val="18"/>
          <w:color w:val="auto"/>
        </w:rPr>
      </w:pPr>
    </w:p>
    <w:p>
      <w:pPr>
        <w:ind w:left="640" w:right="400" w:hanging="313"/>
        <w:spacing w:after="0" w:line="308" w:lineRule="auto"/>
        <w:tabs>
          <w:tab w:leader="none" w:pos="638" w:val="left"/>
        </w:tabs>
        <w:numPr>
          <w:ilvl w:val="1"/>
          <w:numId w:val="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640" w:right="20" w:hanging="313"/>
        <w:spacing w:after="0" w:line="278" w:lineRule="auto"/>
        <w:tabs>
          <w:tab w:leader="none" w:pos="6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2025</w:t>
      </w: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16967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169672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J. Mireles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2"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annual report of Murphy Oil Corporation (the “Company”) on Form 10-K for the year ended December 31, 2024 as filed with the Securities and Exchange Commission on the date hereof (the “Report”), we, Eric M. Hambly and Thomas J. Mireles, Principal Executive Officer and Principal Financial Officer, respectively, of the Company, certify, pursuant to 18 U.S.C. § 1350, as adopted pursuant to § 906 of the Sarbanes-Oxley Act of 2002, that to our knowledge:</w:t>
      </w:r>
    </w:p>
    <w:p>
      <w:pPr>
        <w:spacing w:after="0" w:line="155" w:lineRule="exact"/>
        <w:rPr>
          <w:sz w:val="20"/>
          <w:szCs w:val="20"/>
          <w:color w:val="auto"/>
        </w:rPr>
      </w:pPr>
    </w:p>
    <w:p>
      <w:pPr>
        <w:ind w:left="500" w:hanging="333"/>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0" w:lineRule="exact"/>
        <w:rPr>
          <w:rFonts w:ascii="Arial" w:cs="Arial" w:eastAsia="Arial" w:hAnsi="Arial"/>
          <w:sz w:val="18"/>
          <w:szCs w:val="18"/>
          <w:color w:val="auto"/>
        </w:rPr>
      </w:pPr>
    </w:p>
    <w:p>
      <w:pPr>
        <w:ind w:left="480" w:right="280" w:hanging="313"/>
        <w:spacing w:after="0" w:line="278" w:lineRule="auto"/>
        <w:tabs>
          <w:tab w:leader="none" w:pos="48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2025</w:t>
      </w:r>
    </w:p>
    <w:p>
      <w:pPr>
        <w:spacing w:after="0" w:line="200" w:lineRule="exact"/>
        <w:rPr>
          <w:sz w:val="20"/>
          <w:szCs w:val="20"/>
          <w:color w:val="auto"/>
        </w:rPr>
      </w:pPr>
    </w:p>
    <w:p>
      <w:pPr>
        <w:spacing w:after="0" w:line="3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Eric M. Hambly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17386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173863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M. Hambly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Thomas J. Mireles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16967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169672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J. Mireles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2"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60"/>
        <w:spacing w:after="0"/>
        <w:rPr>
          <w:sz w:val="20"/>
          <w:szCs w:val="20"/>
          <w:color w:val="auto"/>
        </w:rPr>
      </w:pPr>
      <w:r>
        <w:rPr>
          <w:rFonts w:ascii="Arial" w:cs="Arial" w:eastAsia="Arial" w:hAnsi="Arial"/>
          <w:sz w:val="25"/>
          <w:szCs w:val="25"/>
          <w:b w:val="1"/>
          <w:bCs w:val="1"/>
          <w:color w:val="auto"/>
        </w:rPr>
        <w:t>MURPHY OIL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Estimated</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Future Reserves</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Attributable to the 100%</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Leasehold Interests of the</w:t>
      </w: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Murphy Petrobras GOM JV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As of</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/s/ Eric T.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20320</wp:posOffset>
            </wp:positionV>
            <wp:extent cx="18916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1891665" cy="8255"/>
                    </a:xfrm>
                    <a:prstGeom prst="rect">
                      <a:avLst/>
                    </a:prstGeom>
                    <a:noFill/>
                  </pic:spPr>
                </pic:pic>
              </a:graphicData>
            </a:graphic>
          </wp:anchor>
        </w:drawing>
      </w:r>
    </w:p>
    <w:p>
      <w:pPr>
        <w:spacing w:after="0" w:line="17"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Eric T. Nelson, P.E.</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TBPELS License No. 102286</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Executive Vice President</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jc w:val="center"/>
        <w:ind w:right="1120"/>
        <w:spacing w:after="0" w:line="195" w:lineRule="auto"/>
        <w:rPr>
          <w:sz w:val="20"/>
          <w:szCs w:val="20"/>
          <w:color w:val="auto"/>
        </w:rPr>
      </w:pPr>
      <w:r>
        <w:rPr>
          <w:rFonts w:ascii="Arial" w:cs="Arial" w:eastAsia="Arial" w:hAnsi="Arial"/>
          <w:sz w:val="20"/>
          <w:szCs w:val="20"/>
          <w:b w:val="1"/>
          <w:bCs w:val="1"/>
          <w:color w:val="auto"/>
        </w:rPr>
        <w:t>RYDER SCOTT COMPANY, L.P.</w:t>
      </w:r>
    </w:p>
    <w:p>
      <w:pPr>
        <w:jc w:val="center"/>
        <w:ind w:right="1120"/>
        <w:spacing w:after="0"/>
        <w:rPr>
          <w:sz w:val="20"/>
          <w:szCs w:val="20"/>
          <w:color w:val="auto"/>
        </w:rPr>
      </w:pPr>
      <w:r>
        <w:rPr>
          <w:rFonts w:ascii="Arial" w:cs="Arial" w:eastAsia="Arial" w:hAnsi="Arial"/>
          <w:sz w:val="20"/>
          <w:szCs w:val="20"/>
          <w:color w:val="auto"/>
        </w:rPr>
        <w:t>TBPELS Firm Registration No. F-1580</w:t>
      </w:r>
    </w:p>
    <w:p>
      <w:pPr>
        <w:sectPr>
          <w:pgSz w:w="11900" w:h="16838" w:orient="portrait"/>
          <w:cols w:equalWidth="0" w:num="1">
            <w:col w:w="10120"/>
          </w:cols>
          <w:pgMar w:left="1440" w:top="5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120"/>
          </w:cols>
          <w:pgMar w:left="1440" w:top="535" w:right="33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2773680" cy="5600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2773680" cy="560070"/>
                    </a:xfrm>
                    <a:prstGeom prst="rect">
                      <a:avLst/>
                    </a:prstGeom>
                    <a:noFill/>
                  </pic:spPr>
                </pic:pic>
              </a:graphicData>
            </a:graphic>
          </wp:anchor>
        </w:drawing>
        <w:t>TBPELS REGISTERED ENGINEERING FIRM F-1580</w:t>
      </w:r>
    </w:p>
    <w:p>
      <w:pPr>
        <w:jc w:val="right"/>
        <w:spacing w:after="0"/>
        <w:tabs>
          <w:tab w:leader="none" w:pos="4100" w:val="left"/>
          <w:tab w:leader="none" w:pos="1860" w:val="left"/>
        </w:tabs>
        <w:rPr>
          <w:sz w:val="20"/>
          <w:szCs w:val="20"/>
          <w:color w:val="auto"/>
        </w:rPr>
      </w:pPr>
      <w:r>
        <w:rPr>
          <w:rFonts w:ascii="Arial" w:cs="Arial" w:eastAsia="Arial" w:hAnsi="Arial"/>
          <w:sz w:val="14"/>
          <w:szCs w:val="14"/>
          <w:color w:val="auto"/>
        </w:rPr>
        <w:t>1100 LOUISIANA STREET SUITE 4600</w:t>
        <w:tab/>
        <w:t>HOUSTON, TEXAS 77002-5294</w:t>
        <w:tab/>
        <w:t>TELEPHONE (713) 651-9191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January 24,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Jeffrey Wilson</w:t>
      </w:r>
    </w:p>
    <w:p>
      <w:pPr>
        <w:spacing w:after="0" w:line="224" w:lineRule="auto"/>
        <w:rPr>
          <w:sz w:val="20"/>
          <w:szCs w:val="20"/>
          <w:color w:val="auto"/>
        </w:rPr>
      </w:pPr>
      <w:r>
        <w:rPr>
          <w:rFonts w:ascii="Arial" w:cs="Arial" w:eastAsia="Arial" w:hAnsi="Arial"/>
          <w:sz w:val="20"/>
          <w:szCs w:val="20"/>
          <w:color w:val="auto"/>
        </w:rPr>
        <w:t>General Manager - Corporate Reserves</w:t>
      </w:r>
    </w:p>
    <w:p>
      <w:pPr>
        <w:spacing w:after="0" w:line="237" w:lineRule="auto"/>
        <w:rPr>
          <w:sz w:val="20"/>
          <w:szCs w:val="20"/>
          <w:color w:val="auto"/>
        </w:rPr>
      </w:pPr>
      <w:r>
        <w:rPr>
          <w:rFonts w:ascii="Arial" w:cs="Arial" w:eastAsia="Arial" w:hAnsi="Arial"/>
          <w:sz w:val="20"/>
          <w:szCs w:val="20"/>
          <w:color w:val="auto"/>
        </w:rPr>
        <w:t>Murphy Oil Corporation</w:t>
      </w:r>
    </w:p>
    <w:p>
      <w:pPr>
        <w:spacing w:after="0" w:line="223" w:lineRule="auto"/>
        <w:rPr>
          <w:sz w:val="20"/>
          <w:szCs w:val="20"/>
          <w:color w:val="auto"/>
        </w:rPr>
      </w:pPr>
      <w:r>
        <w:rPr>
          <w:rFonts w:ascii="Arial" w:cs="Arial" w:eastAsia="Arial" w:hAnsi="Arial"/>
          <w:sz w:val="20"/>
          <w:szCs w:val="20"/>
          <w:color w:val="auto"/>
        </w:rPr>
        <w:t>9805 Katy Freeway, Suite G-200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Houston, TX 77024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Dear Mr. Wilson:</w:t>
      </w:r>
    </w:p>
    <w:p>
      <w:pPr>
        <w:spacing w:after="0" w:line="224" w:lineRule="exact"/>
        <w:rPr>
          <w:sz w:val="20"/>
          <w:szCs w:val="20"/>
          <w:color w:val="auto"/>
        </w:rPr>
      </w:pPr>
    </w:p>
    <w:p>
      <w:pPr>
        <w:jc w:val="both"/>
        <w:ind w:firstLine="641"/>
        <w:spacing w:after="0" w:line="234" w:lineRule="auto"/>
        <w:rPr>
          <w:sz w:val="20"/>
          <w:szCs w:val="20"/>
          <w:color w:val="auto"/>
        </w:rPr>
      </w:pPr>
      <w:r>
        <w:rPr>
          <w:rFonts w:ascii="Arial" w:cs="Arial" w:eastAsia="Arial" w:hAnsi="Arial"/>
          <w:sz w:val="20"/>
          <w:szCs w:val="20"/>
          <w:color w:val="auto"/>
        </w:rPr>
        <w:t>At the request of Murphy Oil Corporation (Murphy), Ryder Scott Company, L.P. (Ryder Scott) has conducted a reserves audit of the estimates of the proved reserves as of December 31, 2024 prepared by Murphy’s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10, 2025 and presented herein, was prepared for public disclosure by Murphy in filings made with the SEC in accordance with the disclosure requirements set forth in the SEC regulations. For the Gulf of Mexico properties, the estimated reserves shown herein represent the Murphy and Petrobras GOM JV (MPGOM) estimated net reserves attributable to Murphy’s leasehold interests in certain properties owned by MPGOM. The properties reviewed by Ryder Scott incorporate Murphy’s reserves determinations and are located in federal waters offshore Louisiana and Alabama</w:t>
      </w:r>
      <w:r>
        <w:rPr>
          <w:rFonts w:ascii="Arial" w:cs="Arial" w:eastAsia="Arial" w:hAnsi="Arial"/>
          <w:sz w:val="20"/>
          <w:szCs w:val="20"/>
          <w:b w:val="1"/>
          <w:bCs w:val="1"/>
          <w:color w:val="auto"/>
        </w:rPr>
        <w:t>.</w:t>
      </w:r>
    </w:p>
    <w:p>
      <w:pPr>
        <w:spacing w:after="0" w:line="189"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The properties reviewed by Ryder Scott account for a portion of Murphy’s total net proved reserves as of December 31, 2024. Based on the estimates of total net proved reserves prepared by Murphy, the reserves audit conducted by Ryder Scott in this report addresses 11.1 percent of the total proved net reserves of Murphy on a barrel of oil equivalent, BOE basis as of December 31, 2024. At Murphy’s request, this report presents the net reserves attributable to the 100% interests of the MPGOM, which includes the non-controlling interest of Petrobras.</w:t>
      </w:r>
    </w:p>
    <w:p>
      <w:pPr>
        <w:spacing w:after="0" w:line="200" w:lineRule="exact"/>
        <w:rPr>
          <w:sz w:val="20"/>
          <w:szCs w:val="20"/>
          <w:color w:val="auto"/>
        </w:rPr>
      </w:pPr>
    </w:p>
    <w:p>
      <w:pPr>
        <w:jc w:val="both"/>
        <w:ind w:firstLine="641"/>
        <w:spacing w:after="0" w:line="233" w:lineRule="auto"/>
        <w:rPr>
          <w:sz w:val="20"/>
          <w:szCs w:val="20"/>
          <w:color w:val="auto"/>
        </w:rPr>
      </w:pPr>
      <w:r>
        <w:rPr>
          <w:rFonts w:ascii="Arial" w:cs="Arial" w:eastAsia="Arial" w:hAnsi="Arial"/>
          <w:sz w:val="20"/>
          <w:szCs w:val="20"/>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spacing w:after="0" w:line="218" w:lineRule="exact"/>
        <w:rPr>
          <w:sz w:val="20"/>
          <w:szCs w:val="20"/>
          <w:color w:val="auto"/>
        </w:rPr>
      </w:pPr>
    </w:p>
    <w:p>
      <w:pPr>
        <w:jc w:val="both"/>
        <w:ind w:firstLine="641"/>
        <w:spacing w:after="0" w:line="234" w:lineRule="auto"/>
        <w:rPr>
          <w:sz w:val="20"/>
          <w:szCs w:val="20"/>
          <w:color w:val="auto"/>
        </w:rPr>
      </w:pPr>
      <w:r>
        <w:rPr>
          <w:rFonts w:ascii="Arial" w:cs="Arial" w:eastAsia="Arial" w:hAnsi="Arial"/>
          <w:sz w:val="20"/>
          <w:szCs w:val="20"/>
          <w:color w:val="auto"/>
        </w:rPr>
        <w:t>Based on our review, including the data, technical processes and interpretations presented by Murphy, it is our opinion that the overall procedures and methodologies utilized by Murphy in preparing their estimates of the proved reserves as of December 31, 2024 comply with the current SEC regulations and that the overall proved reserves for the reviewed properties as estimated by Murphy are reasonable within the established audit tolerance guidelines of 10 percent as set forth in the SPE auditing standards.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0"/>
        <w:spacing w:after="0"/>
        <w:tabs>
          <w:tab w:leader="none" w:pos="2520" w:val="left"/>
          <w:tab w:leader="none" w:pos="4520" w:val="left"/>
        </w:tabs>
        <w:rPr>
          <w:sz w:val="20"/>
          <w:szCs w:val="20"/>
          <w:color w:val="auto"/>
        </w:rPr>
      </w:pPr>
      <w:r>
        <w:rPr>
          <w:rFonts w:ascii="Arial" w:cs="Arial" w:eastAsia="Arial" w:hAnsi="Arial"/>
          <w:sz w:val="13"/>
          <w:szCs w:val="13"/>
          <w:color w:val="auto"/>
        </w:rPr>
        <w:t>SUITE 2800, 350 7TH AVENUE, S.W.</w:t>
        <w:tab/>
        <w:t>CALGARY, ALBERTA T2P 3N9</w:t>
        <w:tab/>
        <w:t>TEL (403) 262-2799</w:t>
      </w:r>
    </w:p>
    <w:p>
      <w:pPr>
        <w:ind w:left="160"/>
        <w:spacing w:after="0"/>
        <w:tabs>
          <w:tab w:leader="none" w:pos="2220" w:val="left"/>
          <w:tab w:leader="none" w:pos="4180" w:val="left"/>
        </w:tabs>
        <w:rPr>
          <w:sz w:val="20"/>
          <w:szCs w:val="20"/>
          <w:color w:val="auto"/>
        </w:rPr>
      </w:pPr>
      <w:r>
        <w:rPr>
          <w:rFonts w:ascii="Arial" w:cs="Arial" w:eastAsia="Arial" w:hAnsi="Arial"/>
          <w:sz w:val="13"/>
          <w:szCs w:val="13"/>
          <w:color w:val="auto"/>
        </w:rPr>
        <w:t>633 17TH STREET, SUITE 1700</w:t>
        <w:tab/>
        <w:t>DENVER, COLORADO 80202</w:t>
        <w:tab/>
        <w:t>TEL (303) 339-8110</w:t>
      </w:r>
    </w:p>
    <w:p>
      <w:pPr>
        <w:sectPr>
          <w:pgSz w:w="11900" w:h="16838" w:orient="portrait"/>
          <w:cols w:equalWidth="0" w:num="1">
            <w:col w:w="11240"/>
          </w:cols>
          <w:pgMar w:left="320" w:top="1079" w:right="33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Murphy Oil Corporation (Petrobras GOM JV)</w:t>
      </w:r>
    </w:p>
    <w:p>
      <w:pPr>
        <w:spacing w:after="0" w:line="195" w:lineRule="auto"/>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1"/>
        <w:spacing w:after="0" w:line="233" w:lineRule="auto"/>
        <w:rPr>
          <w:sz w:val="20"/>
          <w:szCs w:val="20"/>
          <w:color w:val="auto"/>
        </w:rPr>
      </w:pPr>
      <w:r>
        <w:rPr>
          <w:rFonts w:ascii="Arial" w:cs="Arial" w:eastAsia="Arial" w:hAnsi="Arial"/>
          <w:sz w:val="20"/>
          <w:szCs w:val="20"/>
          <w:color w:val="auto"/>
        </w:rPr>
        <w:t>The estimated reserves presented in this report are related to hydrocarbon prices. Murphy has informed us that in the preparation of their reserves and income projections, as of December 31, 2024,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as estimated by Murphy attributable to Murphy's interest and entitlement in properties that we reviewed are summarized below. The net reserves below represent 100 percent of the Murphy and Petrobras GOM JV (MPGOM) and include the non-controlling interest of Petrobras: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 PARAMETERS</w:t>
      </w:r>
    </w:p>
    <w:p>
      <w:pPr>
        <w:jc w:val="center"/>
        <w:spacing w:after="0" w:line="235" w:lineRule="auto"/>
        <w:rPr>
          <w:sz w:val="20"/>
          <w:szCs w:val="20"/>
          <w:color w:val="auto"/>
        </w:rPr>
      </w:pPr>
      <w:r>
        <w:rPr>
          <w:rFonts w:ascii="Arial" w:cs="Arial" w:eastAsia="Arial" w:hAnsi="Arial"/>
          <w:sz w:val="20"/>
          <w:szCs w:val="20"/>
          <w:color w:val="auto"/>
        </w:rPr>
        <w:t>Estimated Net Reserves</w:t>
      </w:r>
    </w:p>
    <w:p>
      <w:pPr>
        <w:jc w:val="center"/>
        <w:spacing w:after="0" w:line="226" w:lineRule="auto"/>
        <w:rPr>
          <w:sz w:val="20"/>
          <w:szCs w:val="20"/>
          <w:color w:val="auto"/>
        </w:rPr>
      </w:pPr>
      <w:r>
        <w:rPr>
          <w:rFonts w:ascii="Arial" w:cs="Arial" w:eastAsia="Arial" w:hAnsi="Arial"/>
          <w:sz w:val="19"/>
          <w:szCs w:val="19"/>
          <w:color w:val="auto"/>
        </w:rPr>
        <w:t>Attributable to the 100 Percent Leasehold Interests of the</w:t>
      </w:r>
    </w:p>
    <w:p>
      <w:pPr>
        <w:jc w:val="center"/>
        <w:spacing w:after="0"/>
        <w:rPr>
          <w:sz w:val="20"/>
          <w:szCs w:val="20"/>
          <w:color w:val="auto"/>
        </w:rPr>
      </w:pPr>
      <w:r>
        <w:rPr>
          <w:rFonts w:ascii="Arial" w:cs="Arial" w:eastAsia="Arial" w:hAnsi="Arial"/>
          <w:sz w:val="20"/>
          <w:szCs w:val="20"/>
          <w:b w:val="1"/>
          <w:bCs w:val="1"/>
          <w:color w:val="auto"/>
        </w:rPr>
        <w:t>Murphy Petrobras GOM JV (MPGOM)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20320</wp:posOffset>
            </wp:positionV>
            <wp:extent cx="45548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4554855" cy="8255"/>
                    </a:xfrm>
                    <a:prstGeom prst="rect">
                      <a:avLst/>
                    </a:prstGeom>
                    <a:noFill/>
                  </pic:spPr>
                </pic:pic>
              </a:graphicData>
            </a:graphic>
          </wp:anchor>
        </w:drawing>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Proved</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7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1"/>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Reserves to MPGOM</w:t>
            </w:r>
          </w:p>
        </w:tc>
        <w:tc>
          <w:tcPr>
            <w:tcW w:w="1920" w:type="dxa"/>
            <w:vAlign w:val="bottom"/>
            <w:gridSpan w:val="2"/>
          </w:tcPr>
          <w:p>
            <w:pPr>
              <w:ind w:left="380"/>
              <w:spacing w:after="0"/>
              <w:rPr>
                <w:sz w:val="20"/>
                <w:szCs w:val="20"/>
                <w:color w:val="auto"/>
              </w:rPr>
            </w:pPr>
            <w:r>
              <w:rPr>
                <w:rFonts w:ascii="Arial" w:cs="Arial" w:eastAsia="Arial" w:hAnsi="Arial"/>
                <w:sz w:val="18"/>
                <w:szCs w:val="18"/>
                <w:color w:val="auto"/>
              </w:rPr>
              <w:t>Developed</w:t>
            </w:r>
          </w:p>
        </w:tc>
        <w:tc>
          <w:tcPr>
            <w:tcW w:w="1980" w:type="dxa"/>
            <w:vAlign w:val="bottom"/>
            <w:gridSpan w:val="2"/>
          </w:tcPr>
          <w:p>
            <w:pPr>
              <w:ind w:left="300"/>
              <w:spacing w:after="0"/>
              <w:rPr>
                <w:sz w:val="20"/>
                <w:szCs w:val="20"/>
                <w:color w:val="auto"/>
              </w:rPr>
            </w:pPr>
            <w:r>
              <w:rPr>
                <w:rFonts w:ascii="Arial" w:cs="Arial" w:eastAsia="Arial" w:hAnsi="Arial"/>
                <w:sz w:val="18"/>
                <w:szCs w:val="18"/>
                <w:color w:val="auto"/>
              </w:rPr>
              <w:t>Undeveloped</w:t>
            </w:r>
          </w:p>
        </w:tc>
        <w:tc>
          <w:tcPr>
            <w:tcW w:w="1680" w:type="dxa"/>
            <w:vAlign w:val="bottom"/>
          </w:tcPr>
          <w:p>
            <w:pPr>
              <w:jc w:val="right"/>
              <w:ind w:right="471"/>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67"/>
        </w:trPr>
        <w:tc>
          <w:tcPr>
            <w:tcW w:w="3380" w:type="dxa"/>
            <w:vAlign w:val="bottom"/>
            <w:gridSpan w:val="2"/>
            <w:vMerge w:val="continue"/>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Oil/Condensate – Mbbl</w:t>
            </w:r>
          </w:p>
        </w:tc>
        <w:tc>
          <w:tcPr>
            <w:tcW w:w="1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66,718</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6,877</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73,595</w:t>
            </w:r>
          </w:p>
        </w:tc>
        <w:tc>
          <w:tcPr>
            <w:tcW w:w="0" w:type="dxa"/>
            <w:vAlign w:val="bottom"/>
          </w:tcPr>
          <w:p>
            <w:pPr>
              <w:spacing w:after="0"/>
              <w:rPr>
                <w:sz w:val="1"/>
                <w:szCs w:val="1"/>
                <w:color w:val="auto"/>
              </w:rPr>
            </w:pPr>
          </w:p>
        </w:tc>
      </w:tr>
      <w:tr>
        <w:trPr>
          <w:trHeight w:val="227"/>
        </w:trPr>
        <w:tc>
          <w:tcPr>
            <w:tcW w:w="3380" w:type="dxa"/>
            <w:vAlign w:val="bottom"/>
            <w:gridSpan w:val="2"/>
          </w:tcPr>
          <w:p>
            <w:pPr>
              <w:spacing w:after="0"/>
              <w:rPr>
                <w:sz w:val="20"/>
                <w:szCs w:val="20"/>
                <w:color w:val="auto"/>
              </w:rPr>
            </w:pPr>
            <w:r>
              <w:rPr>
                <w:rFonts w:ascii="Arial" w:cs="Arial" w:eastAsia="Arial" w:hAnsi="Arial"/>
                <w:sz w:val="18"/>
                <w:szCs w:val="18"/>
                <w:color w:val="auto"/>
              </w:rPr>
              <w:t>Plant Products – Mbbl</w:t>
            </w:r>
          </w:p>
        </w:tc>
        <w:tc>
          <w:tcPr>
            <w:tcW w:w="1620" w:type="dxa"/>
            <w:vAlign w:val="bottom"/>
          </w:tcPr>
          <w:p>
            <w:pPr>
              <w:jc w:val="right"/>
              <w:spacing w:after="0"/>
              <w:rPr>
                <w:sz w:val="20"/>
                <w:szCs w:val="20"/>
                <w:color w:val="auto"/>
              </w:rPr>
            </w:pPr>
            <w:r>
              <w:rPr>
                <w:rFonts w:ascii="Arial" w:cs="Arial" w:eastAsia="Arial" w:hAnsi="Arial"/>
                <w:sz w:val="18"/>
                <w:szCs w:val="18"/>
                <w:color w:val="auto"/>
              </w:rPr>
              <w:t>2,651</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27"/>
        </w:trPr>
        <w:tc>
          <w:tcPr>
            <w:tcW w:w="3380" w:type="dxa"/>
            <w:vAlign w:val="bottom"/>
            <w:gridSpan w:val="2"/>
          </w:tcPr>
          <w:p>
            <w:pPr>
              <w:spacing w:after="0"/>
              <w:rPr>
                <w:sz w:val="20"/>
                <w:szCs w:val="20"/>
                <w:color w:val="auto"/>
              </w:rPr>
            </w:pPr>
            <w:r>
              <w:rPr>
                <w:rFonts w:ascii="Arial" w:cs="Arial" w:eastAsia="Arial" w:hAnsi="Arial"/>
                <w:sz w:val="18"/>
                <w:szCs w:val="18"/>
                <w:color w:val="auto"/>
              </w:rPr>
              <w:t>Gas – MMcf*</w:t>
            </w:r>
          </w:p>
        </w:tc>
        <w:tc>
          <w:tcPr>
            <w:tcW w:w="1620" w:type="dxa"/>
            <w:vAlign w:val="bottom"/>
          </w:tcPr>
          <w:p>
            <w:pPr>
              <w:jc w:val="right"/>
              <w:spacing w:after="0"/>
              <w:rPr>
                <w:sz w:val="20"/>
                <w:szCs w:val="20"/>
                <w:color w:val="auto"/>
              </w:rPr>
            </w:pPr>
            <w:r>
              <w:rPr>
                <w:rFonts w:ascii="Arial" w:cs="Arial" w:eastAsia="Arial" w:hAnsi="Arial"/>
                <w:sz w:val="18"/>
                <w:szCs w:val="18"/>
                <w:color w:val="auto"/>
              </w:rPr>
              <w:t>21,825</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4,367</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26,192</w:t>
            </w:r>
          </w:p>
        </w:tc>
        <w:tc>
          <w:tcPr>
            <w:tcW w:w="0" w:type="dxa"/>
            <w:vAlign w:val="bottom"/>
          </w:tcPr>
          <w:p>
            <w:pPr>
              <w:spacing w:after="0"/>
              <w:rPr>
                <w:sz w:val="1"/>
                <w:szCs w:val="1"/>
                <w:color w:val="auto"/>
              </w:rPr>
            </w:pPr>
          </w:p>
        </w:tc>
      </w:tr>
      <w:tr>
        <w:trPr>
          <w:trHeight w:val="233"/>
        </w:trPr>
        <w:tc>
          <w:tcPr>
            <w:tcW w:w="3380" w:type="dxa"/>
            <w:vAlign w:val="bottom"/>
            <w:gridSpan w:val="2"/>
          </w:tcPr>
          <w:p>
            <w:pPr>
              <w:spacing w:after="0"/>
              <w:rPr>
                <w:sz w:val="20"/>
                <w:szCs w:val="20"/>
                <w:color w:val="auto"/>
              </w:rPr>
            </w:pPr>
            <w:r>
              <w:rPr>
                <w:rFonts w:ascii="Arial" w:cs="Arial" w:eastAsia="Arial" w:hAnsi="Arial"/>
                <w:sz w:val="18"/>
                <w:szCs w:val="18"/>
                <w:color w:val="auto"/>
              </w:rPr>
              <w:t>MBOE</w:t>
            </w:r>
          </w:p>
        </w:tc>
        <w:tc>
          <w:tcPr>
            <w:tcW w:w="1620" w:type="dxa"/>
            <w:vAlign w:val="bottom"/>
          </w:tcPr>
          <w:p>
            <w:pPr>
              <w:jc w:val="right"/>
              <w:spacing w:after="0"/>
              <w:rPr>
                <w:sz w:val="20"/>
                <w:szCs w:val="20"/>
                <w:color w:val="auto"/>
              </w:rPr>
            </w:pPr>
            <w:r>
              <w:rPr>
                <w:rFonts w:ascii="Arial" w:cs="Arial" w:eastAsia="Arial" w:hAnsi="Arial"/>
                <w:sz w:val="18"/>
                <w:szCs w:val="18"/>
                <w:color w:val="auto"/>
              </w:rPr>
              <w:t>73,007</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7,892</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*Includes fuel gas.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 PARAMETERS</w:t>
      </w:r>
    </w:p>
    <w:p>
      <w:pPr>
        <w:jc w:val="center"/>
        <w:spacing w:after="0" w:line="235" w:lineRule="auto"/>
        <w:rPr>
          <w:sz w:val="20"/>
          <w:szCs w:val="20"/>
          <w:color w:val="auto"/>
        </w:rPr>
      </w:pPr>
      <w:r>
        <w:rPr>
          <w:rFonts w:ascii="Arial" w:cs="Arial" w:eastAsia="Arial" w:hAnsi="Arial"/>
          <w:sz w:val="20"/>
          <w:szCs w:val="20"/>
          <w:color w:val="auto"/>
        </w:rPr>
        <w:t>Estimated Net Reserves</w:t>
      </w:r>
    </w:p>
    <w:p>
      <w:pPr>
        <w:jc w:val="center"/>
        <w:spacing w:after="0"/>
        <w:rPr>
          <w:sz w:val="20"/>
          <w:szCs w:val="20"/>
          <w:color w:val="auto"/>
        </w:rPr>
      </w:pPr>
      <w:r>
        <w:rPr>
          <w:rFonts w:ascii="Arial" w:cs="Arial" w:eastAsia="Arial" w:hAnsi="Arial"/>
          <w:sz w:val="19"/>
          <w:szCs w:val="19"/>
          <w:color w:val="auto"/>
        </w:rPr>
        <w:t>Attributable to Murphy’s Leasehold Interests in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Murphy Petrobras GOM JV (MPGOM)</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12065</wp:posOffset>
            </wp:positionV>
            <wp:extent cx="45548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4554855" cy="8255"/>
                    </a:xfrm>
                    <a:prstGeom prst="rect">
                      <a:avLst/>
                    </a:prstGeom>
                    <a:noFill/>
                  </pic:spPr>
                </pic:pic>
              </a:graphicData>
            </a:graphic>
          </wp:anchor>
        </w:drawing>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Proved</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571"/>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1"/>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Reserves to MPGOM</w:t>
            </w:r>
          </w:p>
        </w:tc>
        <w:tc>
          <w:tcPr>
            <w:tcW w:w="1920" w:type="dxa"/>
            <w:vAlign w:val="bottom"/>
            <w:gridSpan w:val="2"/>
          </w:tcPr>
          <w:p>
            <w:pPr>
              <w:ind w:left="380"/>
              <w:spacing w:after="0"/>
              <w:rPr>
                <w:sz w:val="20"/>
                <w:szCs w:val="20"/>
                <w:color w:val="auto"/>
              </w:rPr>
            </w:pPr>
            <w:r>
              <w:rPr>
                <w:rFonts w:ascii="Arial" w:cs="Arial" w:eastAsia="Arial" w:hAnsi="Arial"/>
                <w:sz w:val="18"/>
                <w:szCs w:val="18"/>
                <w:color w:val="auto"/>
              </w:rPr>
              <w:t>Developed</w:t>
            </w:r>
          </w:p>
        </w:tc>
        <w:tc>
          <w:tcPr>
            <w:tcW w:w="1980" w:type="dxa"/>
            <w:vAlign w:val="bottom"/>
            <w:gridSpan w:val="2"/>
          </w:tcPr>
          <w:p>
            <w:pPr>
              <w:ind w:left="300"/>
              <w:spacing w:after="0"/>
              <w:rPr>
                <w:sz w:val="20"/>
                <w:szCs w:val="20"/>
                <w:color w:val="auto"/>
              </w:rPr>
            </w:pPr>
            <w:r>
              <w:rPr>
                <w:rFonts w:ascii="Arial" w:cs="Arial" w:eastAsia="Arial" w:hAnsi="Arial"/>
                <w:sz w:val="18"/>
                <w:szCs w:val="18"/>
                <w:color w:val="auto"/>
              </w:rPr>
              <w:t>Undeveloped</w:t>
            </w:r>
          </w:p>
        </w:tc>
        <w:tc>
          <w:tcPr>
            <w:tcW w:w="1680" w:type="dxa"/>
            <w:vAlign w:val="bottom"/>
          </w:tcPr>
          <w:p>
            <w:pPr>
              <w:jc w:val="right"/>
              <w:ind w:right="471"/>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67"/>
        </w:trPr>
        <w:tc>
          <w:tcPr>
            <w:tcW w:w="3380" w:type="dxa"/>
            <w:vAlign w:val="bottom"/>
            <w:gridSpan w:val="2"/>
            <w:vMerge w:val="continue"/>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Oil/Condensate – Mbbl</w:t>
            </w:r>
          </w:p>
        </w:tc>
        <w:tc>
          <w:tcPr>
            <w:tcW w:w="1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53,559</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5,584</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59,143</w:t>
            </w:r>
          </w:p>
        </w:tc>
        <w:tc>
          <w:tcPr>
            <w:tcW w:w="0" w:type="dxa"/>
            <w:vAlign w:val="bottom"/>
          </w:tcPr>
          <w:p>
            <w:pPr>
              <w:spacing w:after="0"/>
              <w:rPr>
                <w:sz w:val="1"/>
                <w:szCs w:val="1"/>
                <w:color w:val="auto"/>
              </w:rPr>
            </w:pPr>
          </w:p>
        </w:tc>
      </w:tr>
      <w:tr>
        <w:trPr>
          <w:trHeight w:val="227"/>
        </w:trPr>
        <w:tc>
          <w:tcPr>
            <w:tcW w:w="3380" w:type="dxa"/>
            <w:vAlign w:val="bottom"/>
            <w:gridSpan w:val="2"/>
          </w:tcPr>
          <w:p>
            <w:pPr>
              <w:spacing w:after="0"/>
              <w:rPr>
                <w:sz w:val="20"/>
                <w:szCs w:val="20"/>
                <w:color w:val="auto"/>
              </w:rPr>
            </w:pPr>
            <w:r>
              <w:rPr>
                <w:rFonts w:ascii="Arial" w:cs="Arial" w:eastAsia="Arial" w:hAnsi="Arial"/>
                <w:sz w:val="18"/>
                <w:szCs w:val="18"/>
                <w:color w:val="auto"/>
              </w:rPr>
              <w:t>Plant Products – Mbbl</w:t>
            </w:r>
          </w:p>
        </w:tc>
        <w:tc>
          <w:tcPr>
            <w:tcW w:w="1620" w:type="dxa"/>
            <w:vAlign w:val="bottom"/>
          </w:tcPr>
          <w:p>
            <w:pPr>
              <w:jc w:val="right"/>
              <w:spacing w:after="0"/>
              <w:rPr>
                <w:sz w:val="20"/>
                <w:szCs w:val="20"/>
                <w:color w:val="auto"/>
              </w:rPr>
            </w:pPr>
            <w:r>
              <w:rPr>
                <w:rFonts w:ascii="Arial" w:cs="Arial" w:eastAsia="Arial" w:hAnsi="Arial"/>
                <w:sz w:val="18"/>
                <w:szCs w:val="18"/>
                <w:color w:val="auto"/>
              </w:rPr>
              <w:t>2,134</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27"/>
        </w:trPr>
        <w:tc>
          <w:tcPr>
            <w:tcW w:w="3380" w:type="dxa"/>
            <w:vAlign w:val="bottom"/>
            <w:gridSpan w:val="2"/>
          </w:tcPr>
          <w:p>
            <w:pPr>
              <w:spacing w:after="0"/>
              <w:rPr>
                <w:sz w:val="20"/>
                <w:szCs w:val="20"/>
                <w:color w:val="auto"/>
              </w:rPr>
            </w:pPr>
            <w:r>
              <w:rPr>
                <w:rFonts w:ascii="Arial" w:cs="Arial" w:eastAsia="Arial" w:hAnsi="Arial"/>
                <w:sz w:val="18"/>
                <w:szCs w:val="18"/>
                <w:color w:val="auto"/>
              </w:rPr>
              <w:t>Gas – MMcf*</w:t>
            </w:r>
          </w:p>
        </w:tc>
        <w:tc>
          <w:tcPr>
            <w:tcW w:w="1620" w:type="dxa"/>
            <w:vAlign w:val="bottom"/>
          </w:tcPr>
          <w:p>
            <w:pPr>
              <w:jc w:val="right"/>
              <w:spacing w:after="0"/>
              <w:rPr>
                <w:sz w:val="20"/>
                <w:szCs w:val="20"/>
                <w:color w:val="auto"/>
              </w:rPr>
            </w:pPr>
            <w:r>
              <w:rPr>
                <w:rFonts w:ascii="Arial" w:cs="Arial" w:eastAsia="Arial" w:hAnsi="Arial"/>
                <w:sz w:val="18"/>
                <w:szCs w:val="18"/>
                <w:color w:val="auto"/>
              </w:rPr>
              <w:t>17,692</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3,547</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21,239</w:t>
            </w:r>
          </w:p>
        </w:tc>
        <w:tc>
          <w:tcPr>
            <w:tcW w:w="0" w:type="dxa"/>
            <w:vAlign w:val="bottom"/>
          </w:tcPr>
          <w:p>
            <w:pPr>
              <w:spacing w:after="0"/>
              <w:rPr>
                <w:sz w:val="1"/>
                <w:szCs w:val="1"/>
                <w:color w:val="auto"/>
              </w:rPr>
            </w:pPr>
          </w:p>
        </w:tc>
      </w:tr>
      <w:tr>
        <w:trPr>
          <w:trHeight w:val="233"/>
        </w:trPr>
        <w:tc>
          <w:tcPr>
            <w:tcW w:w="3380" w:type="dxa"/>
            <w:vAlign w:val="bottom"/>
            <w:gridSpan w:val="2"/>
          </w:tcPr>
          <w:p>
            <w:pPr>
              <w:spacing w:after="0"/>
              <w:rPr>
                <w:sz w:val="20"/>
                <w:szCs w:val="20"/>
                <w:color w:val="auto"/>
              </w:rPr>
            </w:pPr>
            <w:r>
              <w:rPr>
                <w:rFonts w:ascii="Arial" w:cs="Arial" w:eastAsia="Arial" w:hAnsi="Arial"/>
                <w:sz w:val="18"/>
                <w:szCs w:val="18"/>
                <w:color w:val="auto"/>
              </w:rPr>
              <w:t>MBOE</w:t>
            </w:r>
          </w:p>
        </w:tc>
        <w:tc>
          <w:tcPr>
            <w:tcW w:w="1620" w:type="dxa"/>
            <w:vAlign w:val="bottom"/>
          </w:tcPr>
          <w:p>
            <w:pPr>
              <w:jc w:val="right"/>
              <w:spacing w:after="0"/>
              <w:rPr>
                <w:sz w:val="20"/>
                <w:szCs w:val="20"/>
                <w:color w:val="auto"/>
              </w:rPr>
            </w:pPr>
            <w:r>
              <w:rPr>
                <w:rFonts w:ascii="Arial" w:cs="Arial" w:eastAsia="Arial" w:hAnsi="Arial"/>
                <w:sz w:val="18"/>
                <w:szCs w:val="18"/>
                <w:color w:val="auto"/>
              </w:rPr>
              <w:t>58,641</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6,407</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65,048</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*Includes fuel gas.</w:t>
      </w:r>
    </w:p>
    <w:p>
      <w:pPr>
        <w:spacing w:after="0" w:line="229"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 in which the gas reserves are located. Certain gas volumes that are consumed as fuel in operations are also included as net gas</w:t>
      </w:r>
    </w:p>
    <w:p>
      <w:pPr>
        <w:sectPr>
          <w:pgSz w:w="11900" w:h="16838" w:orient="portrait"/>
          <w:cols w:equalWidth="0" w:num="1">
            <w:col w:w="11240"/>
          </w:cols>
          <w:pgMar w:left="320" w:top="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20"/>
          <w:szCs w:val="20"/>
          <w:color w:val="auto"/>
        </w:rPr>
        <w:t>Murphy Oil Corporation (Petrobras GOM JV)</w:t>
      </w:r>
    </w:p>
    <w:p>
      <w:pPr>
        <w:spacing w:after="0" w:line="195" w:lineRule="auto"/>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reserves; these volumes represent 4,474 MMcf at Murphy’s leasehold interests of MPGOM, or 1.1 percent of Murphy’s net MBOE. The net reserves are also shown herein on an equivalent unit basis wherein natural gas is converted to oil equivalent using a factor of 6,000 cubic feet of natural gas per one barrel of oil equivalent. MBOE means thousand barrels of oil equivalent.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11" w:lineRule="exact"/>
        <w:rPr>
          <w:sz w:val="20"/>
          <w:szCs w:val="20"/>
          <w:color w:val="auto"/>
        </w:rPr>
      </w:pPr>
    </w:p>
    <w:p>
      <w:pPr>
        <w:jc w:val="both"/>
        <w:ind w:firstLine="641"/>
        <w:spacing w:after="0" w:line="244" w:lineRule="auto"/>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07" w:lineRule="exact"/>
        <w:rPr>
          <w:sz w:val="20"/>
          <w:szCs w:val="20"/>
          <w:color w:val="auto"/>
        </w:rPr>
      </w:pPr>
    </w:p>
    <w:p>
      <w:pPr>
        <w:jc w:val="both"/>
        <w:ind w:firstLine="641"/>
        <w:spacing w:after="0" w:line="238" w:lineRule="auto"/>
        <w:rPr>
          <w:sz w:val="20"/>
          <w:szCs w:val="20"/>
          <w:color w:val="auto"/>
        </w:rPr>
      </w:pPr>
      <w:r>
        <w:rPr>
          <w:rFonts w:ascii="Arial" w:cs="Arial" w:eastAsia="Arial" w:hAnsi="Arial"/>
          <w:sz w:val="20"/>
          <w:szCs w:val="20"/>
          <w:color w:val="auto"/>
        </w:rPr>
        <w:t>The various proved reserves status categories are defined in the attachment entitled “PETROLEUM RESERVES STATUS DEFINITIONS AND GUIDELINES” in this report. The proved developed non-producing reserves included herein consist of the behind pipe status category.</w:t>
      </w:r>
    </w:p>
    <w:p>
      <w:pPr>
        <w:spacing w:after="0" w:line="211" w:lineRule="exact"/>
        <w:rPr>
          <w:sz w:val="20"/>
          <w:szCs w:val="20"/>
          <w:color w:val="auto"/>
        </w:rPr>
      </w:pPr>
    </w:p>
    <w:p>
      <w:pPr>
        <w:jc w:val="both"/>
        <w:ind w:firstLine="641"/>
        <w:spacing w:after="0" w:line="232" w:lineRule="auto"/>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Murphy’s request, this report addresses only the proved reserves attributable to the properties reviewed herein.</w:t>
      </w:r>
    </w:p>
    <w:p>
      <w:pPr>
        <w:spacing w:after="0" w:line="217"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0" w:lineRule="exact"/>
        <w:rPr>
          <w:sz w:val="20"/>
          <w:szCs w:val="20"/>
          <w:color w:val="auto"/>
        </w:rPr>
      </w:pPr>
    </w:p>
    <w:p>
      <w:pPr>
        <w:jc w:val="both"/>
        <w:ind w:firstLine="641"/>
        <w:spacing w:after="0" w:line="235" w:lineRule="auto"/>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24"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Murphy Oil Corporation (Petrobras GOM JV)</w:t>
      </w:r>
    </w:p>
    <w:p>
      <w:pPr>
        <w:spacing w:after="0" w:line="195" w:lineRule="auto"/>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00" w:lineRule="exact"/>
        <w:rPr>
          <w:sz w:val="20"/>
          <w:szCs w:val="20"/>
          <w:color w:val="auto"/>
        </w:rPr>
      </w:pPr>
    </w:p>
    <w:p>
      <w:pPr>
        <w:jc w:val="both"/>
        <w:ind w:firstLine="641"/>
        <w:spacing w:after="0" w:line="231"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08" w:lineRule="exact"/>
        <w:rPr>
          <w:sz w:val="20"/>
          <w:szCs w:val="20"/>
          <w:color w:val="auto"/>
        </w:rPr>
      </w:pPr>
    </w:p>
    <w:p>
      <w:pPr>
        <w:jc w:val="both"/>
        <w:ind w:firstLine="641"/>
        <w:spacing w:after="0" w:line="241"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198" w:lineRule="exact"/>
        <w:rPr>
          <w:sz w:val="20"/>
          <w:szCs w:val="20"/>
          <w:color w:val="auto"/>
        </w:rPr>
      </w:pPr>
    </w:p>
    <w:p>
      <w:pPr>
        <w:jc w:val="both"/>
        <w:ind w:firstLine="641"/>
        <w:spacing w:after="0" w:line="234" w:lineRule="auto"/>
        <w:rPr>
          <w:sz w:val="20"/>
          <w:szCs w:val="20"/>
          <w:color w:val="auto"/>
        </w:rPr>
      </w:pPr>
      <w:r>
        <w:rPr>
          <w:rFonts w:ascii="Arial" w:cs="Arial" w:eastAsia="Arial" w:hAnsi="Arial"/>
          <w:sz w:val="20"/>
          <w:szCs w:val="20"/>
          <w:color w:val="auto"/>
        </w:rPr>
        <w:t>The reserves, prepared by Murphy, for the properties that we reviewed were estimated by performance methods or the volumetric method. The proved producing reserves attributable to producing wells and/or reservoirs that we reviewed were primarily estimated by performance methods. These performance methods include, but may not be limited to, decline curve analysis, material balance and/or reservoir simulation which utilized extrapolations of historical production and pressure data available through November 2024, in those cases where such data were considered to be definitive. The data utilized in this analysis were furnished to Ryder Scott by Murphy or obtained from public data sources and were considered sufficient for the purpose thereof. Certain proved producing reserves that we reviewed were estimated by the volumetric method. This method was used where there were inadequate historical performance data to establish a definitive trend and where the use of production performance data as a basis for the reserves estimates was considered to be inappropriate.</w:t>
      </w:r>
    </w:p>
    <w:p>
      <w:pPr>
        <w:spacing w:after="0" w:line="199"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Most of the reserves prepared by Murphy attributable to the non-producing and the undeveloped status categories that we reviewed were estimated by performance methods, analogy, or a combination of methods. The volumetric analysis utilized pertinent well and seismic data furnished to Ryder Scott by Murphy for our review or which we have obtained from public data sources that were available through November 2024. The data utilized from the analogues in conjunction with well and seismic data incorporated into the volumetric analysis were considered sufficient for the purpose thereof.</w:t>
      </w:r>
    </w:p>
    <w:p>
      <w:pPr>
        <w:spacing w:after="0" w:line="200" w:lineRule="exact"/>
        <w:rPr>
          <w:sz w:val="20"/>
          <w:szCs w:val="20"/>
          <w:color w:val="auto"/>
        </w:rPr>
      </w:pPr>
    </w:p>
    <w:p>
      <w:pPr>
        <w:jc w:val="both"/>
        <w:ind w:firstLine="641"/>
        <w:spacing w:after="0" w:line="244" w:lineRule="auto"/>
        <w:rPr>
          <w:sz w:val="20"/>
          <w:szCs w:val="20"/>
          <w:color w:val="auto"/>
        </w:rPr>
      </w:pPr>
      <w:r>
        <w:rPr>
          <w:rFonts w:ascii="Arial" w:cs="Arial" w:eastAsia="Arial" w:hAnsi="Arial"/>
          <w:sz w:val="20"/>
          <w:szCs w:val="20"/>
          <w:color w:val="auto"/>
        </w:rPr>
        <w:t>To estimate economically producible proved oil and gas reserves, many factors and assumptions are considered including, but not limited to, the use of reservoir parameters derived from geological, geophysical and engineering data which cannot be measured directly, economic criteria based on current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color w:val="auto"/>
        </w:rPr>
        <w:t>Murphy Oil Corporation (Petrobras GOM JV)</w:t>
      </w:r>
    </w:p>
    <w:p>
      <w:pPr>
        <w:spacing w:after="0" w:line="195" w:lineRule="auto"/>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spacing w:after="0" w:line="200" w:lineRule="exact"/>
        <w:rPr>
          <w:sz w:val="20"/>
          <w:szCs w:val="20"/>
          <w:color w:val="auto"/>
        </w:rPr>
      </w:pPr>
    </w:p>
    <w:p>
      <w:pPr>
        <w:jc w:val="both"/>
        <w:ind w:right="100" w:firstLine="641"/>
        <w:spacing w:after="0" w:line="237" w:lineRule="auto"/>
        <w:rPr>
          <w:sz w:val="20"/>
          <w:szCs w:val="20"/>
          <w:color w:val="auto"/>
        </w:rPr>
      </w:pPr>
      <w:r>
        <w:rPr>
          <w:rFonts w:ascii="Arial" w:cs="Arial" w:eastAsia="Arial" w:hAnsi="Arial"/>
          <w:sz w:val="20"/>
          <w:szCs w:val="20"/>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Murphy relating to hydrocarbon prices and costs as noted herein.</w:t>
      </w:r>
    </w:p>
    <w:p>
      <w:pPr>
        <w:spacing w:after="0" w:line="214" w:lineRule="exact"/>
        <w:rPr>
          <w:sz w:val="20"/>
          <w:szCs w:val="20"/>
          <w:color w:val="auto"/>
        </w:rPr>
      </w:pPr>
    </w:p>
    <w:p>
      <w:pPr>
        <w:jc w:val="both"/>
        <w:ind w:right="100" w:firstLine="641"/>
        <w:spacing w:after="0" w:line="237" w:lineRule="auto"/>
        <w:rPr>
          <w:sz w:val="20"/>
          <w:szCs w:val="20"/>
          <w:color w:val="auto"/>
        </w:rPr>
      </w:pPr>
      <w:r>
        <w:rPr>
          <w:rFonts w:ascii="Arial" w:cs="Arial" w:eastAsia="Arial" w:hAnsi="Arial"/>
          <w:sz w:val="20"/>
          <w:szCs w:val="20"/>
          <w:color w:val="auto"/>
        </w:rPr>
        <w:t>The hydrocarbon prices furnished by Murphy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w:t>
      </w:r>
    </w:p>
    <w:p>
      <w:pPr>
        <w:spacing w:after="0" w:line="200" w:lineRule="exact"/>
        <w:rPr>
          <w:sz w:val="20"/>
          <w:szCs w:val="20"/>
          <w:color w:val="auto"/>
        </w:rPr>
      </w:pPr>
    </w:p>
    <w:p>
      <w:pPr>
        <w:jc w:val="both"/>
        <w:ind w:right="100" w:firstLine="641"/>
        <w:spacing w:after="0" w:line="237" w:lineRule="auto"/>
        <w:rPr>
          <w:sz w:val="20"/>
          <w:szCs w:val="20"/>
          <w:color w:val="auto"/>
        </w:rPr>
      </w:pPr>
      <w:r>
        <w:rPr>
          <w:rFonts w:ascii="Arial" w:cs="Arial" w:eastAsia="Arial" w:hAnsi="Arial"/>
          <w:sz w:val="20"/>
          <w:szCs w:val="20"/>
          <w:color w:val="auto"/>
        </w:rPr>
        <w:t>The initial SEC hydrocarbon benchmark prices in effect on December 31, 2024 for the properties reviewed by us were determined using the 12-month average first-day-of-the-month benchmark prices appropriate to the geographic area where the hydrocarbons are sold. These benchmark prices are prior to the adjustments for differentials as described herein. The following table summarizes the “benchmark prices” and “price reference” used by Murphy for the geographic area reviewed by us. For certain properties, the price reference and benchmark prices may be defined by contractual arrangements.</w:t>
      </w:r>
    </w:p>
    <w:p>
      <w:pPr>
        <w:spacing w:after="0" w:line="200" w:lineRule="exact"/>
        <w:rPr>
          <w:sz w:val="20"/>
          <w:szCs w:val="20"/>
          <w:color w:val="auto"/>
        </w:rPr>
      </w:pPr>
    </w:p>
    <w:p>
      <w:pPr>
        <w:jc w:val="both"/>
        <w:ind w:right="100" w:firstLine="641"/>
        <w:spacing w:after="0" w:line="241" w:lineRule="auto"/>
        <w:rPr>
          <w:sz w:val="20"/>
          <w:szCs w:val="20"/>
          <w:color w:val="auto"/>
        </w:rPr>
      </w:pPr>
      <w:r>
        <w:rPr>
          <w:rFonts w:ascii="Arial" w:cs="Arial" w:eastAsia="Arial" w:hAnsi="Arial"/>
          <w:sz w:val="20"/>
          <w:szCs w:val="20"/>
          <w:color w:val="auto"/>
        </w:rPr>
        <w:t>The product prices that were actually used by Murphy to determine the future gross revenue for each property reviewed by us reflect adjustments to the benchmark prices for gravity, quality, local conditions, gathering and transportation fees and/or distance from market, referred to herein as “differentials.” The differentials used by Murphy were reviewed by us for their reasonableness using information furnished by Murphy for this purpose.</w:t>
      </w:r>
    </w:p>
    <w:p>
      <w:pPr>
        <w:spacing w:after="0" w:line="198" w:lineRule="exact"/>
        <w:rPr>
          <w:sz w:val="20"/>
          <w:szCs w:val="20"/>
          <w:color w:val="auto"/>
        </w:rPr>
      </w:pPr>
    </w:p>
    <w:p>
      <w:pPr>
        <w:jc w:val="both"/>
        <w:ind w:right="100" w:firstLine="641"/>
        <w:spacing w:after="0" w:line="235" w:lineRule="auto"/>
        <w:rPr>
          <w:sz w:val="20"/>
          <w:szCs w:val="20"/>
          <w:color w:val="auto"/>
        </w:rPr>
      </w:pPr>
      <w:r>
        <w:rPr>
          <w:rFonts w:ascii="Arial" w:cs="Arial" w:eastAsia="Arial" w:hAnsi="Arial"/>
          <w:sz w:val="20"/>
          <w:szCs w:val="20"/>
          <w:color w:val="auto"/>
        </w:rPr>
        <w:t>The following table summarizes Murphy’s net volume weighted benchmark prices adjusted for differentials for the properties reviewed by us and referred to herein as Murphy’s “average realized prices.” The average realized prices shown in the table below were determined from Murphy’s estimate of the total future gross revenue before production taxes for the properties reviewed by us and Murphy’s estimate of the total net reserves for the properties reviewed by us for the geographic area. At Murphy’s request, also provided is the average realized gas price excluding fuel gas. The data shown in the table below is presented in accordance with SEC disclosure requirements for the geographic area reviewed by us.</w:t>
      </w:r>
    </w:p>
    <w:p>
      <w:pPr>
        <w:spacing w:after="0" w:line="200" w:lineRule="exact"/>
        <w:rPr>
          <w:sz w:val="20"/>
          <w:szCs w:val="20"/>
          <w:color w:val="auto"/>
        </w:rPr>
      </w:pPr>
    </w:p>
    <w:p>
      <w:pPr>
        <w:spacing w:after="0" w:line="281" w:lineRule="exact"/>
        <w:rPr>
          <w:sz w:val="20"/>
          <w:szCs w:val="20"/>
          <w:color w:val="auto"/>
        </w:rPr>
      </w:pPr>
    </w:p>
    <w:tbl>
      <w:tblPr>
        <w:tblLayout w:type="fixed"/>
        <w:tblInd w:w="490" w:type="dxa"/>
        <w:tblCellMar>
          <w:top w:w="0" w:type="dxa"/>
          <w:left w:w="0" w:type="dxa"/>
          <w:bottom w:w="0" w:type="dxa"/>
          <w:right w:w="0" w:type="dxa"/>
        </w:tblCellMar>
      </w:tblPr>
      <w:tr>
        <w:trPr>
          <w:trHeight w:val="187"/>
        </w:trPr>
        <w:tc>
          <w:tcPr>
            <w:tcW w:w="3320" w:type="dxa"/>
            <w:vAlign w:val="bottom"/>
            <w:tcBorders>
              <w:top w:val="single" w:sz="8" w:color="auto"/>
              <w:left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spacing w:after="0"/>
              <w:rPr>
                <w:sz w:val="16"/>
                <w:szCs w:val="16"/>
                <w:color w:val="auto"/>
              </w:rPr>
            </w:pP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Price</w:t>
            </w:r>
          </w:p>
        </w:tc>
        <w:tc>
          <w:tcPr>
            <w:tcW w:w="198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8"/>
              </w:rPr>
              <w:t>Average</w:t>
            </w:r>
          </w:p>
        </w:tc>
        <w:tc>
          <w:tcPr>
            <w:tcW w:w="1740" w:type="dxa"/>
            <w:vAlign w:val="bottom"/>
            <w:tcBorders>
              <w:top w:val="single" w:sz="8" w:color="auto"/>
            </w:tcBorders>
            <w:vMerge w:val="restart"/>
          </w:tcPr>
          <w:p>
            <w:pPr>
              <w:jc w:val="center"/>
              <w:ind w:left="11"/>
              <w:spacing w:after="0"/>
              <w:rPr>
                <w:sz w:val="20"/>
                <w:szCs w:val="20"/>
                <w:color w:val="auto"/>
              </w:rPr>
            </w:pPr>
            <w:r>
              <w:rPr>
                <w:rFonts w:ascii="Arial" w:cs="Arial" w:eastAsia="Arial" w:hAnsi="Arial"/>
                <w:sz w:val="18"/>
                <w:szCs w:val="18"/>
                <w:color w:val="auto"/>
                <w:w w:val="98"/>
              </w:rPr>
              <w:t>Average Realized</w:t>
            </w:r>
          </w:p>
        </w:tc>
        <w:tc>
          <w:tcPr>
            <w:tcW w:w="0" w:type="dxa"/>
            <w:vAlign w:val="bottom"/>
          </w:tcPr>
          <w:p>
            <w:pPr>
              <w:spacing w:after="0"/>
              <w:rPr>
                <w:sz w:val="1"/>
                <w:szCs w:val="1"/>
                <w:color w:val="auto"/>
              </w:rPr>
            </w:pPr>
          </w:p>
        </w:tc>
      </w:tr>
      <w:tr>
        <w:trPr>
          <w:trHeight w:val="174"/>
        </w:trPr>
        <w:tc>
          <w:tcPr>
            <w:tcW w:w="3320" w:type="dxa"/>
            <w:vAlign w:val="bottom"/>
            <w:tcBorders>
              <w:left w:val="single" w:sz="8" w:color="auto"/>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vMerge w:val="continue"/>
          </w:tcPr>
          <w:p>
            <w:pPr>
              <w:spacing w:after="0"/>
              <w:rPr>
                <w:sz w:val="15"/>
                <w:szCs w:val="15"/>
                <w:color w:val="auto"/>
              </w:rPr>
            </w:pPr>
          </w:p>
        </w:tc>
        <w:tc>
          <w:tcPr>
            <w:tcW w:w="1980" w:type="dxa"/>
            <w:vAlign w:val="bottom"/>
            <w:tcBorders>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8"/>
              </w:rPr>
              <w:t>Benchmark</w:t>
            </w: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3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Geographic Area</w:t>
            </w:r>
          </w:p>
        </w:tc>
        <w:tc>
          <w:tcPr>
            <w:tcW w:w="1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Product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Reference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Prices</w:t>
            </w:r>
          </w:p>
        </w:tc>
        <w:tc>
          <w:tcPr>
            <w:tcW w:w="1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5"/>
              </w:rPr>
              <w:t>Prices</w:t>
            </w:r>
          </w:p>
        </w:tc>
        <w:tc>
          <w:tcPr>
            <w:tcW w:w="0" w:type="dxa"/>
            <w:vAlign w:val="bottom"/>
          </w:tcPr>
          <w:p>
            <w:pPr>
              <w:spacing w:after="0"/>
              <w:rPr>
                <w:sz w:val="1"/>
                <w:szCs w:val="1"/>
                <w:color w:val="auto"/>
              </w:rPr>
            </w:pPr>
          </w:p>
        </w:tc>
      </w:tr>
      <w:tr>
        <w:trPr>
          <w:trHeight w:val="220"/>
        </w:trPr>
        <w:tc>
          <w:tcPr>
            <w:tcW w:w="3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North America</w:t>
            </w:r>
          </w:p>
        </w:tc>
        <w:tc>
          <w:tcPr>
            <w:tcW w:w="178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20" w:type="dxa"/>
            <w:vAlign w:val="bottom"/>
            <w:tcBorders>
              <w:left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Oil/Condensate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WTI Cushing</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$75.48/Bbl</w:t>
            </w:r>
          </w:p>
        </w:tc>
        <w:tc>
          <w:tcPr>
            <w:tcW w:w="1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7"/>
              </w:rPr>
              <w:t>$75.76/Bbl</w:t>
            </w:r>
          </w:p>
        </w:tc>
        <w:tc>
          <w:tcPr>
            <w:tcW w:w="0" w:type="dxa"/>
            <w:vAlign w:val="bottom"/>
          </w:tcPr>
          <w:p>
            <w:pPr>
              <w:spacing w:after="0"/>
              <w:rPr>
                <w:sz w:val="1"/>
                <w:szCs w:val="1"/>
                <w:color w:val="auto"/>
              </w:rPr>
            </w:pPr>
          </w:p>
        </w:tc>
      </w:tr>
      <w:tr>
        <w:trPr>
          <w:trHeight w:val="239"/>
        </w:trPr>
        <w:tc>
          <w:tcPr>
            <w:tcW w:w="332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United States – Offshore</w:t>
            </w: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NGLs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WTI Cushing</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$75.48/Bbl</w:t>
            </w:r>
          </w:p>
        </w:tc>
        <w:tc>
          <w:tcPr>
            <w:tcW w:w="1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7"/>
              </w:rPr>
              <w:t>$20.04/Bbl</w:t>
            </w:r>
          </w:p>
        </w:tc>
        <w:tc>
          <w:tcPr>
            <w:tcW w:w="0" w:type="dxa"/>
            <w:vAlign w:val="bottom"/>
          </w:tcPr>
          <w:p>
            <w:pPr>
              <w:spacing w:after="0"/>
              <w:rPr>
                <w:sz w:val="1"/>
                <w:szCs w:val="1"/>
                <w:color w:val="auto"/>
              </w:rPr>
            </w:pPr>
          </w:p>
        </w:tc>
      </w:tr>
      <w:tr>
        <w:trPr>
          <w:trHeight w:val="232"/>
        </w:trPr>
        <w:tc>
          <w:tcPr>
            <w:tcW w:w="3320" w:type="dxa"/>
            <w:vAlign w:val="bottom"/>
            <w:tcBorders>
              <w:left w:val="single" w:sz="8" w:color="auto"/>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Gas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Henry Hub</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$2.13/MMBTU</w:t>
            </w:r>
          </w:p>
        </w:tc>
        <w:tc>
          <w:tcPr>
            <w:tcW w:w="17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rPr>
              <w:t>$2.44/Mcf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340"/>
          </w:cols>
          <w:pgMar w:left="320" w:top="93" w:right="2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Murphy Oil Corporation (Petrobras GOM JV)</w:t>
      </w:r>
    </w:p>
    <w:p>
      <w:pPr>
        <w:spacing w:after="0" w:line="195" w:lineRule="auto"/>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641"/>
        <w:spacing w:after="0" w:line="265"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Murphy’s individual property evaluations.</w:t>
      </w:r>
    </w:p>
    <w:p>
      <w:pPr>
        <w:spacing w:after="0" w:line="173" w:lineRule="exact"/>
        <w:rPr>
          <w:sz w:val="20"/>
          <w:szCs w:val="20"/>
          <w:color w:val="auto"/>
        </w:rPr>
      </w:pPr>
    </w:p>
    <w:p>
      <w:pPr>
        <w:jc w:val="both"/>
        <w:ind w:firstLine="641"/>
        <w:spacing w:after="0" w:line="265" w:lineRule="auto"/>
        <w:rPr>
          <w:sz w:val="20"/>
          <w:szCs w:val="20"/>
          <w:color w:val="auto"/>
        </w:rPr>
      </w:pPr>
      <w:r>
        <w:rPr>
          <w:rFonts w:ascii="Arial" w:cs="Arial" w:eastAsia="Arial" w:hAnsi="Arial"/>
          <w:sz w:val="20"/>
          <w:szCs w:val="20"/>
          <w:color w:val="auto"/>
        </w:rPr>
        <w:t>Accumulated gas production imbalances, if any, were not taken into account in the proved gas reserves estimates reviewed.</w:t>
      </w:r>
    </w:p>
    <w:p>
      <w:pPr>
        <w:spacing w:after="0" w:line="173" w:lineRule="exact"/>
        <w:rPr>
          <w:sz w:val="20"/>
          <w:szCs w:val="20"/>
          <w:color w:val="auto"/>
        </w:rPr>
      </w:pPr>
    </w:p>
    <w:p>
      <w:pPr>
        <w:jc w:val="both"/>
        <w:ind w:firstLine="641"/>
        <w:spacing w:after="0" w:line="234" w:lineRule="auto"/>
        <w:rPr>
          <w:sz w:val="20"/>
          <w:szCs w:val="20"/>
          <w:color w:val="auto"/>
        </w:rPr>
      </w:pPr>
      <w:r>
        <w:rPr>
          <w:rFonts w:ascii="Arial" w:cs="Arial" w:eastAsia="Arial" w:hAnsi="Arial"/>
          <w:sz w:val="20"/>
          <w:szCs w:val="20"/>
          <w:color w:val="auto"/>
        </w:rPr>
        <w:t>Operating costs furnished by Murphy are based on the operating expense reports of Murphy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w:t>
      </w:r>
      <w:r>
        <w:rPr>
          <w:rFonts w:ascii="Arial" w:cs="Arial" w:eastAsia="Arial" w:hAnsi="Arial"/>
          <w:sz w:val="20"/>
          <w:szCs w:val="20"/>
          <w:b w:val="1"/>
          <w:bCs w:val="1"/>
          <w:color w:val="auto"/>
        </w:rPr>
        <w:t>.</w:t>
      </w:r>
      <w:r>
        <w:rPr>
          <w:rFonts w:ascii="Arial" w:cs="Arial" w:eastAsia="Arial" w:hAnsi="Arial"/>
          <w:sz w:val="20"/>
          <w:szCs w:val="20"/>
          <w:color w:val="auto"/>
        </w:rPr>
        <w:t xml:space="preserve"> The operating costs furnished by Murphy were reviewed by us for their reasonableness using information furnished by Murphy for this purpose; information provided included historic operating expenses, pay out balances, and royalty relief information. No deduction was made for loan repayments, interest expenses, or exploration and development prepayments that were not charged directly to the leases or wells.</w:t>
      </w:r>
    </w:p>
    <w:p>
      <w:pPr>
        <w:spacing w:after="0" w:line="199" w:lineRule="exact"/>
        <w:rPr>
          <w:sz w:val="20"/>
          <w:szCs w:val="20"/>
          <w:color w:val="auto"/>
        </w:rPr>
      </w:pPr>
    </w:p>
    <w:p>
      <w:pPr>
        <w:jc w:val="both"/>
        <w:ind w:firstLine="641"/>
        <w:spacing w:after="0" w:line="244" w:lineRule="auto"/>
        <w:rPr>
          <w:sz w:val="20"/>
          <w:szCs w:val="20"/>
          <w:color w:val="auto"/>
        </w:rPr>
      </w:pPr>
      <w:r>
        <w:rPr>
          <w:rFonts w:ascii="Arial" w:cs="Arial" w:eastAsia="Arial" w:hAnsi="Arial"/>
          <w:sz w:val="20"/>
          <w:szCs w:val="20"/>
          <w:color w:val="auto"/>
        </w:rPr>
        <w:t>Development costs furnished by Murphy are based on authorizations for expenditure for the proposed work or actual costs for similar projects. The development costs furnished by Murphy were reviewed by us for their reasonableness using information furnished by Murphy for this purpose.</w:t>
      </w:r>
    </w:p>
    <w:p>
      <w:pPr>
        <w:spacing w:after="0" w:line="194"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The estimated net cost of abandonment after salvage was included for properties where certain abandonment costs were provided by Murphy. Murphy’s estimates of the net abandonment costs were accepted without independent verification. We have made no inspections to determine if any additional abandonment, decommissioning, and /or restoration costs may be necessary in addition to the costs provided by Murphy and included herein.</w:t>
      </w:r>
    </w:p>
    <w:p>
      <w:pPr>
        <w:spacing w:after="0" w:line="214" w:lineRule="exact"/>
        <w:rPr>
          <w:sz w:val="20"/>
          <w:szCs w:val="20"/>
          <w:color w:val="auto"/>
        </w:rPr>
      </w:pPr>
    </w:p>
    <w:p>
      <w:pPr>
        <w:jc w:val="both"/>
        <w:ind w:firstLine="641"/>
        <w:spacing w:after="0" w:line="232" w:lineRule="auto"/>
        <w:rPr>
          <w:sz w:val="20"/>
          <w:szCs w:val="20"/>
          <w:color w:val="auto"/>
        </w:rPr>
      </w:pPr>
      <w:r>
        <w:rPr>
          <w:rFonts w:ascii="Arial" w:cs="Arial" w:eastAsia="Arial" w:hAnsi="Arial"/>
          <w:sz w:val="20"/>
          <w:szCs w:val="20"/>
          <w:color w:val="auto"/>
        </w:rPr>
        <w:t>The proved developed non-producing and undeveloped reserves for the properties reviewed by us have been incorporated herein in accordance with Murphy’s plans to develop these reserves as of December 31, 2024. The implementation of Murphy’s development plans as presented to us is subject to the approval process adopted by Murphy’s management. As the result of our inquiries during the course of our review, Murphy has informed us that the development activities for the properties reviewed by us have been subjected to and received the internal approvals required by Murphy’s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Murphy. Murphy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Murphy has informed us that they are not aware of any legal, regulatory, or political obstacles that would significantly alter their plans. While these plans could change from those under existing economic conditions as of December 31, 2024, such changes were, in accordance with rules adopted by the SEC, omitted from consideration in making this evaluation.</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Current costs used by Murphy were held constant throughout the life of the properties.</w:t>
      </w:r>
    </w:p>
    <w:p>
      <w:pPr>
        <w:spacing w:after="0" w:line="224"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Murphy’s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Murphy Oil Corporation (Petrobras GOM JV)</w:t>
      </w:r>
    </w:p>
    <w:p>
      <w:pPr>
        <w:spacing w:after="0" w:line="195" w:lineRule="auto"/>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Test data and other related information were used by Murphy to estimate the anticipated initial production rates for those wells or locations that are not currently producing. For reserves not yet on production, sales were estimated to commence at an anticipated date furnished by Murphy. Wells or locations that are not currently producing may start producing earlier or later than anticipated in Murphy’s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00"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14" w:lineRule="exact"/>
        <w:rPr>
          <w:sz w:val="20"/>
          <w:szCs w:val="20"/>
          <w:color w:val="auto"/>
        </w:rPr>
      </w:pPr>
    </w:p>
    <w:p>
      <w:pPr>
        <w:jc w:val="both"/>
        <w:ind w:firstLine="641"/>
        <w:spacing w:after="0" w:line="235" w:lineRule="auto"/>
        <w:rPr>
          <w:sz w:val="20"/>
          <w:szCs w:val="20"/>
          <w:color w:val="auto"/>
        </w:rPr>
      </w:pPr>
      <w:r>
        <w:rPr>
          <w:rFonts w:ascii="Arial" w:cs="Arial" w:eastAsia="Arial" w:hAnsi="Arial"/>
          <w:sz w:val="20"/>
          <w:szCs w:val="20"/>
          <w:color w:val="auto"/>
        </w:rPr>
        <w:t>Murphy’s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198"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The estimates of proved reserves presented herein were based upon a review of the properties in which Murphy owns an interest; however, we have not made any field examination of the properties. No consideration was given in this report to potential environmental liabilities that may exist nor were any costs included by Murphy for potential liabilities to restore and clean up damages, if any, caused by past operating practices.</w:t>
      </w:r>
    </w:p>
    <w:p>
      <w:pPr>
        <w:spacing w:after="0" w:line="214"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Certain technical personnel of Murphy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21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Murphy has informed us that they have furnished us all of the material accounts, records, geological and engineering data, and reports and other data required for this investigation. In performing our audit of Murphy’s forecast of future proved production, we have relied upon data furnished by Murphy with respect to property interests owned, production and well tests from examined wells, normal direct costs of operating the wells or leases, other costs such as transportation and/or processing fees, recompletion and development costs, development plans, abandonment costs after salvage, product prices based on the SEC regulations, adjustments or differentials to product prices, geological structural and isochore maps, well logs, core analyses, and pressure measurements. The data furnished by Murphy were reviewed by us for their reasonableness using information furnished by Murphy for this purpose. We consider the factual data furnished to us by Murphy to be appropriate and sufficient for the purpose of our review of Murphy’s estimates of reserves. In summary, we consider the assumptions, data, methods and analytical procedures used by Murphy and as reviewed by us appropriate for the purpose hereof, and we have used all such methods and procedures that we consider necessary and appropriate under the circumstances to render the conclusions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Murphy Oil Corporation (Petrobras GOM JV)</w:t>
      </w:r>
    </w:p>
    <w:p>
      <w:pPr>
        <w:spacing w:after="0" w:line="195" w:lineRule="auto"/>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38" w:lineRule="exact"/>
        <w:rPr>
          <w:sz w:val="20"/>
          <w:szCs w:val="20"/>
          <w:color w:val="auto"/>
        </w:rPr>
      </w:pPr>
    </w:p>
    <w:p>
      <w:pPr>
        <w:jc w:val="both"/>
        <w:ind w:firstLine="641"/>
        <w:spacing w:after="0" w:line="233" w:lineRule="auto"/>
        <w:rPr>
          <w:sz w:val="20"/>
          <w:szCs w:val="20"/>
          <w:color w:val="auto"/>
        </w:rPr>
      </w:pPr>
      <w:r>
        <w:rPr>
          <w:rFonts w:ascii="Arial" w:cs="Arial" w:eastAsia="Arial" w:hAnsi="Arial"/>
          <w:sz w:val="20"/>
          <w:szCs w:val="20"/>
          <w:color w:val="auto"/>
        </w:rPr>
        <w:t>Based on our review, including the data, technical processes and interpretations presented by Murphy, it is our opinion that the overall procedures and methodologies utilized by Murphy in preparing their estimates of the proved reserves as of December 31, 2024 comply with the current SEC regulations and that the overall proved reserves for the reviewed properties as estimated by Murphy are, in the aggregate, reasonable within the established audit tolerance guidelines of 10 percent as set forth in the SPE auditing standards. Ryder Scott found the processes and controls used by Murphy in their estimation of proved reserves to be effective and, in the aggregate, we found no bias in the utilization and analysis of data in estimates for these properties.</w:t>
      </w:r>
    </w:p>
    <w:p>
      <w:pPr>
        <w:spacing w:after="0" w:line="214" w:lineRule="exact"/>
        <w:rPr>
          <w:sz w:val="20"/>
          <w:szCs w:val="20"/>
          <w:color w:val="auto"/>
        </w:rPr>
      </w:pPr>
    </w:p>
    <w:p>
      <w:pPr>
        <w:ind w:right="80" w:firstLine="641"/>
        <w:spacing w:after="0" w:line="235" w:lineRule="auto"/>
        <w:rPr>
          <w:sz w:val="20"/>
          <w:szCs w:val="20"/>
          <w:color w:val="auto"/>
        </w:rPr>
      </w:pPr>
      <w:r>
        <w:rPr>
          <w:rFonts w:ascii="Arial" w:cs="Arial" w:eastAsia="Arial" w:hAnsi="Arial"/>
          <w:sz w:val="20"/>
          <w:szCs w:val="20"/>
          <w:color w:val="auto"/>
        </w:rPr>
        <w:t>We were in reasonable agreement with Murphy's estimates of proved reserves for the properties which we reviewed; although in certain cases there was more than an acceptable variance between Murphy's estimates and our estimates due to a difference in interpretation of data or due to our having access to data which were not available to Murphy when its reserves estimates were prepared. However notwithstanding, it is our opinion that on an aggregate basis the data presented herein for the properties that we reviewed fairly reflects the estimated net reserves owned by Murphy in the Murphy and Petrobras GOM JV (MPGOM).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00" w:lineRule="exact"/>
        <w:rPr>
          <w:sz w:val="20"/>
          <w:szCs w:val="20"/>
          <w:color w:val="auto"/>
        </w:rPr>
      </w:pPr>
    </w:p>
    <w:p>
      <w:pPr>
        <w:spacing w:after="0" w:line="265" w:lineRule="exact"/>
        <w:rPr>
          <w:sz w:val="20"/>
          <w:szCs w:val="20"/>
          <w:color w:val="auto"/>
        </w:rPr>
      </w:pPr>
    </w:p>
    <w:p>
      <w:pPr>
        <w:jc w:val="both"/>
        <w:ind w:firstLine="641"/>
        <w:spacing w:after="0" w:line="235" w:lineRule="auto"/>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00"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14" w:lineRule="exact"/>
        <w:rPr>
          <w:sz w:val="20"/>
          <w:szCs w:val="20"/>
          <w:color w:val="auto"/>
        </w:rPr>
      </w:pPr>
    </w:p>
    <w:p>
      <w:pPr>
        <w:jc w:val="both"/>
        <w:ind w:firstLine="641"/>
        <w:spacing w:after="0" w:line="235"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198" w:lineRule="exact"/>
        <w:rPr>
          <w:sz w:val="20"/>
          <w:szCs w:val="20"/>
          <w:color w:val="auto"/>
        </w:rPr>
      </w:pPr>
    </w:p>
    <w:p>
      <w:pPr>
        <w:jc w:val="both"/>
        <w:ind w:firstLine="641"/>
        <w:spacing w:after="0" w:line="244" w:lineRule="auto"/>
        <w:rPr>
          <w:sz w:val="20"/>
          <w:szCs w:val="20"/>
          <w:color w:val="auto"/>
        </w:rPr>
      </w:pPr>
      <w:r>
        <w:rPr>
          <w:rFonts w:ascii="Arial" w:cs="Arial" w:eastAsia="Arial" w:hAnsi="Arial"/>
          <w:sz w:val="20"/>
          <w:szCs w:val="20"/>
          <w:color w:val="auto"/>
        </w:rPr>
        <w:t>We are independent petroleum engineers with respect to Murphy. Neither we nor any of our employees have any financial interest in the subject properties, and neither the employment to do this work nor the compensation is contingent on our estimates of reserves for the properties which were 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Murphy Oil Corporation (Petrobras GOM JV)</w:t>
      </w:r>
    </w:p>
    <w:p>
      <w:pPr>
        <w:spacing w:after="0" w:line="195" w:lineRule="auto"/>
        <w:rPr>
          <w:sz w:val="20"/>
          <w:szCs w:val="20"/>
          <w:color w:val="auto"/>
        </w:rPr>
      </w:pPr>
      <w:r>
        <w:rPr>
          <w:rFonts w:ascii="Arial" w:cs="Arial" w:eastAsia="Arial" w:hAnsi="Arial"/>
          <w:sz w:val="20"/>
          <w:szCs w:val="20"/>
          <w:color w:val="auto"/>
        </w:rPr>
        <w:t>January 24, 2025</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 w:firstLine="641"/>
        <w:spacing w:after="0" w:line="244" w:lineRule="auto"/>
        <w:rPr>
          <w:sz w:val="20"/>
          <w:szCs w:val="20"/>
          <w:color w:val="auto"/>
        </w:rPr>
      </w:pPr>
      <w:r>
        <w:rPr>
          <w:rFonts w:ascii="Arial" w:cs="Arial" w:eastAsia="Arial" w:hAnsi="Arial"/>
          <w:sz w:val="20"/>
          <w:szCs w:val="20"/>
          <w:color w:val="auto"/>
        </w:rPr>
        <w:t>The results of this audit, presented herein, are based on technical analyses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24" w:lineRule="exact"/>
        <w:rPr>
          <w:sz w:val="20"/>
          <w:szCs w:val="20"/>
          <w:color w:val="auto"/>
        </w:rPr>
      </w:pPr>
    </w:p>
    <w:p>
      <w:pPr>
        <w:jc w:val="both"/>
        <w:ind w:firstLine="641"/>
        <w:spacing w:after="0" w:line="244" w:lineRule="auto"/>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 requirements set forth in the SEC regulations and intended for public disclosure as an exhibit in filings made with the SEC by Murphy.</w:t>
      </w:r>
    </w:p>
    <w:p>
      <w:pPr>
        <w:spacing w:after="0" w:line="194" w:lineRule="exact"/>
        <w:rPr>
          <w:sz w:val="20"/>
          <w:szCs w:val="20"/>
          <w:color w:val="auto"/>
        </w:rPr>
      </w:pPr>
    </w:p>
    <w:p>
      <w:pPr>
        <w:jc w:val="both"/>
        <w:ind w:firstLine="641"/>
        <w:spacing w:after="0" w:line="235" w:lineRule="auto"/>
        <w:rPr>
          <w:sz w:val="20"/>
          <w:szCs w:val="20"/>
          <w:color w:val="auto"/>
        </w:rPr>
      </w:pPr>
      <w:r>
        <w:rPr>
          <w:rFonts w:ascii="Arial" w:cs="Arial" w:eastAsia="Arial" w:hAnsi="Arial"/>
          <w:sz w:val="20"/>
          <w:szCs w:val="20"/>
          <w:color w:val="auto"/>
        </w:rPr>
        <w:t>Murphy Oil Corporation makes periodic filings on Form 10-K with the SEC under the 1934 Exchange Act. Furthermore, Murphy Oil Corporation has certain registration statements filed with the SEC under the 1933 Securities Act into which any subsequently filed Form 10-K is incorporated by reference. We have consented to the incorporation by reference in the registration statements on Form S-3 (File No. 333-260287) and Form S-8 (File Nos. 333-256048 and 333-241837) of Murphy Oil Corporation of the references to our name, as well as to the references to our report for Murphy Oil Corporation, which appears in the December 31, 2024 annual report on Form 10-K of Murphy Oil Corporation. Our written consent for such use is included as a separate exhibit to the filings made with the SEC by Murphy Oil Corporation.</w:t>
      </w:r>
    </w:p>
    <w:p>
      <w:pPr>
        <w:spacing w:after="0" w:line="200" w:lineRule="exact"/>
        <w:rPr>
          <w:sz w:val="20"/>
          <w:szCs w:val="20"/>
          <w:color w:val="auto"/>
        </w:rPr>
      </w:pPr>
    </w:p>
    <w:p>
      <w:pPr>
        <w:jc w:val="both"/>
        <w:ind w:firstLine="641"/>
        <w:spacing w:after="0" w:line="244" w:lineRule="auto"/>
        <w:rPr>
          <w:sz w:val="20"/>
          <w:szCs w:val="20"/>
          <w:color w:val="auto"/>
        </w:rPr>
      </w:pPr>
      <w:r>
        <w:rPr>
          <w:rFonts w:ascii="Arial" w:cs="Arial" w:eastAsia="Arial" w:hAnsi="Arial"/>
          <w:sz w:val="20"/>
          <w:szCs w:val="20"/>
          <w:color w:val="auto"/>
        </w:rPr>
        <w:t>We have provided Murphy with a digital version of the original signed copy of this report letter. In the event there are any differences between the digital version included in filings made by Murphy and the original signed report letter, the original signed report letter shall control and supersede the digital version.</w:t>
      </w:r>
    </w:p>
    <w:p>
      <w:pPr>
        <w:spacing w:after="0" w:line="194" w:lineRule="exact"/>
        <w:rPr>
          <w:sz w:val="20"/>
          <w:szCs w:val="20"/>
          <w:color w:val="auto"/>
        </w:rPr>
      </w:pPr>
    </w:p>
    <w:p>
      <w:pPr>
        <w:jc w:val="both"/>
        <w:ind w:right="20" w:firstLine="641"/>
        <w:spacing w:after="0" w:line="265"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Very truly yours,</w:t>
      </w:r>
    </w:p>
    <w:p>
      <w:pPr>
        <w:spacing w:after="0" w:line="236"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RYDER SCOTT COMPANY, L.P.</w:t>
      </w:r>
    </w:p>
    <w:p>
      <w:pPr>
        <w:spacing w:after="0" w:line="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 Eric T. Nelson</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Eric T. Nelson, P.E.</w:t>
      </w:r>
    </w:p>
    <w:p>
      <w:pPr>
        <w:ind w:left="4500"/>
        <w:spacing w:after="0" w:line="238" w:lineRule="auto"/>
        <w:rPr>
          <w:sz w:val="20"/>
          <w:szCs w:val="20"/>
          <w:color w:val="auto"/>
        </w:rPr>
      </w:pPr>
      <w:r>
        <w:rPr>
          <w:rFonts w:ascii="Arial" w:cs="Arial" w:eastAsia="Arial" w:hAnsi="Arial"/>
          <w:sz w:val="20"/>
          <w:szCs w:val="20"/>
          <w:color w:val="auto"/>
        </w:rPr>
        <w:t>TBPELS License No. 102286</w:t>
      </w:r>
    </w:p>
    <w:p>
      <w:pPr>
        <w:ind w:left="860"/>
        <w:spacing w:after="0" w:line="209" w:lineRule="auto"/>
        <w:rPr>
          <w:sz w:val="20"/>
          <w:szCs w:val="20"/>
          <w:color w:val="auto"/>
        </w:rPr>
      </w:pPr>
      <w:r>
        <w:rPr>
          <w:rFonts w:ascii="Arial" w:cs="Arial" w:eastAsia="Arial" w:hAnsi="Arial"/>
          <w:sz w:val="20"/>
          <w:szCs w:val="20"/>
          <w:color w:val="auto"/>
        </w:rPr>
        <w:t>Executive Vice President</w:t>
      </w:r>
    </w:p>
    <w:p>
      <w:pPr>
        <w:ind w:left="8340"/>
        <w:spacing w:after="0" w:line="210" w:lineRule="auto"/>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ETN (DRO)/pl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193" w:name="page194"/>
    <w:bookmarkEnd w:id="1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Eric T. Nelson is the primary technical person responsible for the estimate of the reserves, future production and income.</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Mr. Nelson, an employee of Ryder Scott Company, L.P. (Ryder Scott) since 2005, is an Executive Vice President and a member of the Board of Directors. He is responsible for ongoing reservoir evaluation studies worldwide. Before joining Ryder Scott, Mr. Nelson served in a number of engineering positions with Exxon Mobil Corporation. For more information regarding Mr. Nelson’s geographic and job specific experience, please refer to the Ryder Scott Company website at www.ryderscott.com/Company/Employees.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Mr. Nelson earned a Bachelor of Science degree in Chemical Engineering from the University of Tulsa in 2002 (summa cum laude) and a Master of Business Administration from the University of Texas in 2007 (Dean’s Award). He is a licensed Professional Engineer in the State of Texas. Mr. Nelson is also a member of the Society of Petroleum Engineers.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15 hours of continuing education annually, including at least one hour in the area of professional ethics, which Mr. Nelson fulfills. As part of his 2024 continuing education hours, Mr. Nelson attended over 20 hours of training during 2024 covering such topics as CCUS, evaluations of resource play reserves, evaluation of simulation models, procedures and software, and ethics training.</w:t>
      </w:r>
    </w:p>
    <w:p>
      <w:pPr>
        <w:spacing w:after="0" w:line="20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Based on his educational background, professional training and more than 19 years of practical experience in the estimation and evaluation of petroleum reserves, Mr. Nelson has attained the professional qualifications as a Reserves Estimator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09" w:lineRule="auto"/>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11" w:lineRule="exact"/>
        <w:rPr>
          <w:sz w:val="20"/>
          <w:szCs w:val="20"/>
          <w:color w:val="auto"/>
        </w:rPr>
      </w:pPr>
    </w:p>
    <w:p>
      <w:pPr>
        <w:jc w:val="both"/>
        <w:ind w:firstLine="641"/>
        <w:spacing w:after="0" w:line="233"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12" w:lineRule="exact"/>
        <w:rPr>
          <w:sz w:val="20"/>
          <w:szCs w:val="20"/>
          <w:color w:val="auto"/>
        </w:rPr>
      </w:pPr>
    </w:p>
    <w:p>
      <w:pPr>
        <w:jc w:val="both"/>
        <w:ind w:firstLine="641"/>
        <w:spacing w:after="0" w:line="239"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03" w:lineRule="exact"/>
        <w:rPr>
          <w:sz w:val="20"/>
          <w:szCs w:val="20"/>
          <w:color w:val="auto"/>
        </w:rPr>
      </w:pPr>
    </w:p>
    <w:p>
      <w:pPr>
        <w:jc w:val="both"/>
        <w:ind w:firstLine="641"/>
        <w:spacing w:after="0" w:line="265"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173"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jc w:val="both"/>
        <w:ind w:firstLine="641"/>
        <w:spacing w:after="0" w:line="237"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65" w:lineRule="auto"/>
        <w:rPr>
          <w:sz w:val="20"/>
          <w:szCs w:val="20"/>
          <w:color w:val="auto"/>
        </w:rPr>
      </w:pPr>
      <w:r>
        <w:rPr>
          <w:rFonts w:ascii="Arial" w:cs="Arial" w:eastAsia="Arial" w:hAnsi="Arial"/>
          <w:sz w:val="20"/>
          <w:szCs w:val="20"/>
          <w:color w:val="auto"/>
        </w:rPr>
        <w:t>CSM), basin-centered gas, shale gas, gas hydrates, natural bitumen and oil shale deposits. These unconventional accumulations may require specialized extraction technology and/or significant processing prior to sale.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24" w:lineRule="exact"/>
        <w:rPr>
          <w:sz w:val="20"/>
          <w:szCs w:val="20"/>
          <w:color w:val="auto"/>
        </w:rPr>
      </w:pPr>
    </w:p>
    <w:p>
      <w:pPr>
        <w:ind w:right="440" w:firstLine="641"/>
        <w:spacing w:after="0" w:line="265"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11" w:lineRule="exact"/>
        <w:rPr>
          <w:sz w:val="20"/>
          <w:szCs w:val="20"/>
          <w:color w:val="auto"/>
        </w:rPr>
      </w:pPr>
    </w:p>
    <w:p>
      <w:pPr>
        <w:spacing w:after="0" w:line="211"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w:t>
      </w:r>
    </w:p>
    <w:p>
      <w:pPr>
        <w:spacing w:after="0" w:line="210" w:lineRule="auto"/>
        <w:rPr>
          <w:sz w:val="20"/>
          <w:szCs w:val="20"/>
          <w:color w:val="auto"/>
        </w:rPr>
      </w:pPr>
      <w:r>
        <w:rPr>
          <w:rFonts w:ascii="Arial" w:cs="Arial" w:eastAsia="Arial" w:hAnsi="Arial"/>
          <w:sz w:val="20"/>
          <w:szCs w:val="20"/>
          <w:i w:val="1"/>
          <w:iCs w:val="1"/>
          <w:color w:val="auto"/>
        </w:rPr>
        <w:t>there must be a reasonable expectation that there will exist, the legal right to produce or a revenue interest in the production,</w:t>
      </w:r>
    </w:p>
    <w:p>
      <w:pPr>
        <w:spacing w:after="0" w:line="222" w:lineRule="auto"/>
        <w:rPr>
          <w:sz w:val="20"/>
          <w:szCs w:val="20"/>
          <w:color w:val="auto"/>
        </w:rPr>
      </w:pPr>
      <w:r>
        <w:rPr>
          <w:rFonts w:ascii="Arial" w:cs="Arial" w:eastAsia="Arial" w:hAnsi="Arial"/>
          <w:sz w:val="20"/>
          <w:szCs w:val="20"/>
          <w:i w:val="1"/>
          <w:iCs w:val="1"/>
          <w:color w:val="auto"/>
        </w:rPr>
        <w:t>installed means of delivering oil and gas or related substances to market, and all permits and financing required to implement the project.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w:t>
      </w:r>
    </w:p>
    <w:p>
      <w:pPr>
        <w:spacing w:after="0" w:line="202" w:lineRule="auto"/>
        <w:rPr>
          <w:sz w:val="20"/>
          <w:szCs w:val="20"/>
          <w:color w:val="auto"/>
        </w:rPr>
      </w:pPr>
      <w:r>
        <w:rPr>
          <w:rFonts w:ascii="Arial" w:cs="Arial" w:eastAsia="Arial" w:hAnsi="Arial"/>
          <w:sz w:val="20"/>
          <w:szCs w:val="20"/>
          <w:i w:val="1"/>
          <w:iCs w:val="1"/>
          <w:color w:val="auto"/>
        </w:rPr>
        <w:t>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w:t>
      </w:r>
    </w:p>
    <w:p>
      <w:pPr>
        <w:spacing w:after="0" w:line="222" w:lineRule="auto"/>
        <w:rPr>
          <w:sz w:val="20"/>
          <w:szCs w:val="20"/>
          <w:color w:val="auto"/>
        </w:rPr>
      </w:pPr>
      <w:r>
        <w:rPr>
          <w:rFonts w:ascii="Arial" w:cs="Arial" w:eastAsia="Arial" w:hAnsi="Arial"/>
          <w:sz w:val="20"/>
          <w:szCs w:val="20"/>
          <w:i w:val="1"/>
          <w:iCs w:val="1"/>
          <w:color w:val="auto"/>
        </w:rPr>
        <w:t>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97"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Proved oil and gas reserves. </w:t>
      </w:r>
      <w:r>
        <w:rPr>
          <w:rFonts w:ascii="Arial" w:cs="Arial" w:eastAsia="Arial" w:hAnsi="Arial"/>
          <w:sz w:val="18"/>
          <w:szCs w:val="18"/>
          <w:i w:val="1"/>
          <w:iCs w:val="1"/>
          <w:color w:val="auto"/>
        </w:rPr>
        <w:t>Proved oil and gas reserves are those quantities of oil and gas, which, by analysis of geoscience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engineering data, can be estimated with reasonable certainty to be economically producible—from a given date forward, from</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i w:val="1"/>
          <w:iCs w:val="1"/>
          <w:color w:val="auto"/>
        </w:rPr>
        <w:t>known reservoirs, and under existing economic conditions, operating methods, and government regulations—prior to the time at which contracts providing the right to operate expire, unless evidence indicates that renewal is reasonably certain, regardless of</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whether deterministic or probabilistic methods are used for the estimation. The project to extract the hydrocarbons must have commenced or the operator must be reasonably certain that it will commence the project within a reasonable time.</w:t>
      </w:r>
    </w:p>
    <w:p>
      <w:pPr>
        <w:spacing w:after="0" w:line="171" w:lineRule="exact"/>
        <w:rPr>
          <w:sz w:val="20"/>
          <w:szCs w:val="20"/>
          <w:color w:val="auto"/>
        </w:rPr>
      </w:pPr>
    </w:p>
    <w:p>
      <w:pPr>
        <w:ind w:left="880" w:hanging="232"/>
        <w:spacing w:after="0"/>
        <w:tabs>
          <w:tab w:leader="none" w:pos="880"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10" w:lineRule="exact"/>
        <w:rPr>
          <w:rFonts w:ascii="Arial" w:cs="Arial" w:eastAsia="Arial" w:hAnsi="Arial"/>
          <w:sz w:val="20"/>
          <w:szCs w:val="20"/>
          <w:i w:val="1"/>
          <w:iCs w:val="1"/>
          <w:color w:val="auto"/>
        </w:rPr>
      </w:pPr>
    </w:p>
    <w:p>
      <w:pPr>
        <w:ind w:left="1600" w:hanging="311"/>
        <w:spacing w:after="0"/>
        <w:tabs>
          <w:tab w:leader="none" w:pos="1600" w:val="left"/>
        </w:tabs>
        <w:numPr>
          <w:ilvl w:val="1"/>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0" w:lineRule="exact"/>
        <w:rPr>
          <w:rFonts w:ascii="Arial" w:cs="Arial" w:eastAsia="Arial" w:hAnsi="Arial"/>
          <w:sz w:val="20"/>
          <w:szCs w:val="20"/>
          <w:i w:val="1"/>
          <w:iCs w:val="1"/>
          <w:color w:val="auto"/>
        </w:rPr>
      </w:pPr>
    </w:p>
    <w:p>
      <w:pPr>
        <w:ind w:left="1280" w:firstLine="9"/>
        <w:spacing w:after="0" w:line="275" w:lineRule="auto"/>
        <w:tabs>
          <w:tab w:leader="none" w:pos="1601" w:val="left"/>
        </w:tabs>
        <w:numPr>
          <w:ilvl w:val="1"/>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53" w:lineRule="exact"/>
        <w:rPr>
          <w:rFonts w:ascii="Arial" w:cs="Arial" w:eastAsia="Arial" w:hAnsi="Arial"/>
          <w:sz w:val="18"/>
          <w:szCs w:val="18"/>
          <w:i w:val="1"/>
          <w:iCs w:val="1"/>
          <w:color w:val="auto"/>
        </w:rPr>
      </w:pPr>
    </w:p>
    <w:p>
      <w:pPr>
        <w:jc w:val="both"/>
        <w:ind w:left="640" w:firstLine="8"/>
        <w:spacing w:after="0" w:line="224" w:lineRule="auto"/>
        <w:tabs>
          <w:tab w:leader="none" w:pos="917"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84" w:lineRule="exact"/>
        <w:rPr>
          <w:rFonts w:ascii="Arial" w:cs="Arial" w:eastAsia="Arial" w:hAnsi="Arial"/>
          <w:sz w:val="20"/>
          <w:szCs w:val="20"/>
          <w:i w:val="1"/>
          <w:iCs w:val="1"/>
          <w:color w:val="auto"/>
        </w:rPr>
      </w:pPr>
    </w:p>
    <w:p>
      <w:pPr>
        <w:ind w:left="640" w:firstLine="8"/>
        <w:spacing w:after="0" w:line="238" w:lineRule="auto"/>
        <w:tabs>
          <w:tab w:leader="none" w:pos="978"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spacing w:after="0" w:line="238" w:lineRule="auto"/>
        <w:rPr>
          <w:sz w:val="20"/>
          <w:szCs w:val="20"/>
          <w:color w:val="auto"/>
        </w:rPr>
      </w:pPr>
      <w:r>
        <w:rPr>
          <w:rFonts w:ascii="Arial" w:cs="Arial" w:eastAsia="Arial" w:hAnsi="Arial"/>
          <w:sz w:val="20"/>
          <w:szCs w:val="20"/>
          <w:i w:val="1"/>
          <w:iCs w:val="1"/>
          <w:color w:val="auto"/>
        </w:rPr>
        <w:t>assigned in the structurally higher portions of the reservoir only if geoscience, engineering, or performance data and reliable technology establish the higher contact with reasonable certainty.</w:t>
      </w:r>
    </w:p>
    <w:p>
      <w:pPr>
        <w:spacing w:after="0" w:line="172" w:lineRule="exact"/>
        <w:rPr>
          <w:sz w:val="20"/>
          <w:szCs w:val="20"/>
          <w:color w:val="auto"/>
        </w:rPr>
      </w:pPr>
    </w:p>
    <w:p>
      <w:pPr>
        <w:ind w:left="640" w:right="20" w:firstLine="8"/>
        <w:spacing w:after="0" w:line="238" w:lineRule="auto"/>
        <w:tabs>
          <w:tab w:leader="none" w:pos="988" w:val="left"/>
        </w:tabs>
        <w:numPr>
          <w:ilvl w:val="0"/>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85" w:lineRule="exact"/>
        <w:rPr>
          <w:rFonts w:ascii="Arial" w:cs="Arial" w:eastAsia="Arial" w:hAnsi="Arial"/>
          <w:sz w:val="20"/>
          <w:szCs w:val="20"/>
          <w:i w:val="1"/>
          <w:iCs w:val="1"/>
          <w:color w:val="auto"/>
        </w:rPr>
      </w:pPr>
    </w:p>
    <w:p>
      <w:pPr>
        <w:jc w:val="both"/>
        <w:ind w:left="1280" w:firstLine="9"/>
        <w:spacing w:after="0" w:line="220" w:lineRule="auto"/>
        <w:tabs>
          <w:tab w:leader="none" w:pos="1613" w:val="left"/>
        </w:tabs>
        <w:numPr>
          <w:ilvl w:val="1"/>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171" w:lineRule="exact"/>
        <w:rPr>
          <w:rFonts w:ascii="Arial" w:cs="Arial" w:eastAsia="Arial" w:hAnsi="Arial"/>
          <w:sz w:val="20"/>
          <w:szCs w:val="20"/>
          <w:i w:val="1"/>
          <w:iCs w:val="1"/>
          <w:color w:val="auto"/>
        </w:rPr>
      </w:pPr>
    </w:p>
    <w:p>
      <w:pPr>
        <w:ind w:left="1280" w:firstLine="9"/>
        <w:spacing w:after="0" w:line="238" w:lineRule="auto"/>
        <w:tabs>
          <w:tab w:leader="none" w:pos="1608" w:val="left"/>
        </w:tabs>
        <w:numPr>
          <w:ilvl w:val="1"/>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85" w:lineRule="exact"/>
        <w:rPr>
          <w:rFonts w:ascii="Arial" w:cs="Arial" w:eastAsia="Arial" w:hAnsi="Arial"/>
          <w:sz w:val="20"/>
          <w:szCs w:val="20"/>
          <w:i w:val="1"/>
          <w:iCs w:val="1"/>
          <w:color w:val="auto"/>
        </w:rPr>
      </w:pPr>
    </w:p>
    <w:p>
      <w:pPr>
        <w:jc w:val="both"/>
        <w:ind w:left="640" w:firstLine="8"/>
        <w:spacing w:after="0" w:line="246" w:lineRule="auto"/>
        <w:tabs>
          <w:tab w:leader="none" w:pos="969"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3" w:right="33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09" w:lineRule="auto"/>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jc w:val="center"/>
        <w:spacing w:after="0" w:line="236" w:lineRule="auto"/>
        <w:rPr>
          <w:sz w:val="20"/>
          <w:szCs w:val="20"/>
          <w:color w:val="auto"/>
        </w:rPr>
      </w:pPr>
      <w:r>
        <w:rPr>
          <w:rFonts w:ascii="Arial" w:cs="Arial" w:eastAsia="Arial" w:hAnsi="Arial"/>
          <w:sz w:val="20"/>
          <w:szCs w:val="20"/>
          <w:b w:val="1"/>
          <w:bCs w:val="1"/>
          <w:color w:val="auto"/>
        </w:rPr>
        <w:t>WORLD PETROLEUM COUNCIL (WPC)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jc w:val="center"/>
        <w:spacing w:after="0" w:line="236" w:lineRule="auto"/>
        <w:rPr>
          <w:sz w:val="20"/>
          <w:szCs w:val="20"/>
          <w:color w:val="auto"/>
        </w:rPr>
      </w:pPr>
      <w:r>
        <w:rPr>
          <w:rFonts w:ascii="Arial" w:cs="Arial" w:eastAsia="Arial" w:hAnsi="Arial"/>
          <w:sz w:val="20"/>
          <w:szCs w:val="20"/>
          <w:b w:val="1"/>
          <w:bCs w:val="1"/>
          <w:color w:val="auto"/>
        </w:rPr>
        <w:t>SOCIETY OF EXPLORATION GEOPHYSICISTS (SEG)</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10"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00" w:lineRule="exact"/>
        <w:rPr>
          <w:sz w:val="20"/>
          <w:szCs w:val="20"/>
          <w:color w:val="auto"/>
        </w:rPr>
      </w:pPr>
    </w:p>
    <w:p>
      <w:pPr>
        <w:ind w:firstLine="641"/>
        <w:spacing w:after="0" w:line="211"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Securities and Exchange Commission Regulation S-X §210.4-10(a)(6) defines developed oil and gas reserves as follows:</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197" w:lineRule="exact"/>
        <w:rPr>
          <w:sz w:val="20"/>
          <w:szCs w:val="20"/>
          <w:color w:val="auto"/>
        </w:rPr>
      </w:pPr>
    </w:p>
    <w:p>
      <w:pPr>
        <w:ind w:left="1280" w:firstLine="9"/>
        <w:spacing w:after="0" w:line="238" w:lineRule="auto"/>
        <w:tabs>
          <w:tab w:leader="none" w:pos="1543" w:val="left"/>
        </w:tabs>
        <w:numPr>
          <w:ilvl w:val="0"/>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1" w:lineRule="exact"/>
        <w:rPr>
          <w:rFonts w:ascii="Arial" w:cs="Arial" w:eastAsia="Arial" w:hAnsi="Arial"/>
          <w:sz w:val="20"/>
          <w:szCs w:val="20"/>
          <w:i w:val="1"/>
          <w:iCs w:val="1"/>
          <w:color w:val="auto"/>
        </w:rPr>
      </w:pPr>
    </w:p>
    <w:p>
      <w:pPr>
        <w:ind w:left="1280" w:firstLine="9"/>
        <w:spacing w:after="0" w:line="238" w:lineRule="auto"/>
        <w:tabs>
          <w:tab w:leader="none" w:pos="1559" w:val="left"/>
        </w:tabs>
        <w:numPr>
          <w:ilvl w:val="0"/>
          <w:numId w:val="101"/>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199" w:lineRule="exact"/>
        <w:rPr>
          <w:sz w:val="20"/>
          <w:szCs w:val="20"/>
          <w:color w:val="auto"/>
        </w:rPr>
      </w:pPr>
    </w:p>
    <w:p>
      <w:pPr>
        <w:ind w:firstLine="641"/>
        <w:spacing w:after="0" w:line="238"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ind w:left="640"/>
        <w:spacing w:after="0" w:line="229"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98" w:name="page199"/>
    <w:bookmarkEnd w:id="198"/>
    <w:p>
      <w:pPr>
        <w:ind w:right="5100"/>
        <w:spacing w:after="0" w:line="239"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ind w:left="64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Shut-In</w:t>
      </w:r>
    </w:p>
    <w:p>
      <w:pPr>
        <w:ind w:left="640"/>
        <w:spacing w:after="0" w:line="195" w:lineRule="auto"/>
        <w:rPr>
          <w:sz w:val="20"/>
          <w:szCs w:val="20"/>
          <w:color w:val="auto"/>
        </w:rPr>
      </w:pPr>
      <w:r>
        <w:rPr>
          <w:rFonts w:ascii="Arial" w:cs="Arial" w:eastAsia="Arial" w:hAnsi="Arial"/>
          <w:sz w:val="20"/>
          <w:szCs w:val="20"/>
          <w:i w:val="1"/>
          <w:iCs w:val="1"/>
          <w:color w:val="auto"/>
        </w:rPr>
        <w:t>Shut-in Reserves are expected to be recovered from:</w:t>
      </w:r>
    </w:p>
    <w:p>
      <w:pPr>
        <w:ind w:left="1280" w:hanging="311"/>
        <w:spacing w:after="0" w:line="209" w:lineRule="auto"/>
        <w:tabs>
          <w:tab w:leader="none" w:pos="1280" w:val="left"/>
        </w:tabs>
        <w:numPr>
          <w:ilvl w:val="0"/>
          <w:numId w:val="102"/>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280" w:hanging="311"/>
        <w:spacing w:after="0" w:line="209" w:lineRule="auto"/>
        <w:tabs>
          <w:tab w:leader="none" w:pos="1280" w:val="left"/>
        </w:tabs>
        <w:numPr>
          <w:ilvl w:val="0"/>
          <w:numId w:val="102"/>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280" w:hanging="311"/>
        <w:spacing w:after="0"/>
        <w:tabs>
          <w:tab w:leader="none" w:pos="1280" w:val="left"/>
        </w:tabs>
        <w:numPr>
          <w:ilvl w:val="0"/>
          <w:numId w:val="102"/>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u w:val="single" w:color="auto"/>
          <w:color w:val="auto"/>
        </w:rPr>
        <w:t>Behind-Pipe</w:t>
      </w:r>
    </w:p>
    <w:p>
      <w:pPr>
        <w:ind w:left="640"/>
        <w:spacing w:after="0" w:line="229"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71" w:lineRule="exact"/>
        <w:rPr>
          <w:sz w:val="20"/>
          <w:szCs w:val="20"/>
          <w:color w:val="auto"/>
        </w:rPr>
      </w:pPr>
    </w:p>
    <w:p>
      <w:pPr>
        <w:ind w:left="640" w:right="20"/>
        <w:spacing w:after="0" w:line="238"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199" w:lineRule="exact"/>
        <w:rPr>
          <w:sz w:val="20"/>
          <w:szCs w:val="20"/>
          <w:color w:val="auto"/>
        </w:rPr>
      </w:pPr>
    </w:p>
    <w:p>
      <w:pPr>
        <w:ind w:firstLine="641"/>
        <w:spacing w:after="0" w:line="238"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5" w:lineRule="exact"/>
        <w:rPr>
          <w:sz w:val="20"/>
          <w:szCs w:val="20"/>
          <w:color w:val="auto"/>
        </w:rPr>
      </w:pPr>
    </w:p>
    <w:p>
      <w:pPr>
        <w:ind w:left="640" w:right="20"/>
        <w:spacing w:after="0" w:line="231"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85" w:lineRule="exact"/>
        <w:rPr>
          <w:sz w:val="20"/>
          <w:szCs w:val="20"/>
          <w:color w:val="auto"/>
        </w:rPr>
      </w:pPr>
    </w:p>
    <w:p>
      <w:pPr>
        <w:jc w:val="both"/>
        <w:ind w:left="1300" w:hanging="11"/>
        <w:spacing w:after="0" w:line="224" w:lineRule="auto"/>
        <w:tabs>
          <w:tab w:leader="none" w:pos="1914" w:val="left"/>
        </w:tabs>
        <w:numPr>
          <w:ilvl w:val="0"/>
          <w:numId w:val="103"/>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84" w:lineRule="exact"/>
        <w:rPr>
          <w:rFonts w:ascii="Arial" w:cs="Arial" w:eastAsia="Arial" w:hAnsi="Arial"/>
          <w:sz w:val="20"/>
          <w:szCs w:val="20"/>
          <w:i w:val="1"/>
          <w:iCs w:val="1"/>
          <w:color w:val="auto"/>
        </w:rPr>
      </w:pPr>
    </w:p>
    <w:p>
      <w:pPr>
        <w:jc w:val="both"/>
        <w:ind w:left="1280" w:firstLine="9"/>
        <w:spacing w:after="0" w:line="224" w:lineRule="auto"/>
        <w:tabs>
          <w:tab w:leader="none" w:pos="1584" w:val="left"/>
        </w:tabs>
        <w:numPr>
          <w:ilvl w:val="0"/>
          <w:numId w:val="103"/>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84" w:lineRule="exact"/>
        <w:rPr>
          <w:rFonts w:ascii="Arial" w:cs="Arial" w:eastAsia="Arial" w:hAnsi="Arial"/>
          <w:sz w:val="20"/>
          <w:szCs w:val="20"/>
          <w:i w:val="1"/>
          <w:iCs w:val="1"/>
          <w:color w:val="auto"/>
        </w:rPr>
      </w:pPr>
    </w:p>
    <w:p>
      <w:pPr>
        <w:jc w:val="both"/>
        <w:ind w:left="1280" w:firstLine="9"/>
        <w:spacing w:after="0" w:line="220" w:lineRule="auto"/>
        <w:tabs>
          <w:tab w:leader="none" w:pos="1605" w:val="left"/>
        </w:tabs>
        <w:numPr>
          <w:ilvl w:val="0"/>
          <w:numId w:val="103"/>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04"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585470</wp:posOffset>
            </wp:positionV>
            <wp:extent cx="1382395" cy="271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1382395" cy="27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23,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Murphy Oil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9805 Katy Freeway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Suite G-200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USA 77024</w:t>
      </w: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Attention:</w:t>
      </w:r>
      <w:r>
        <w:rPr>
          <w:sz w:val="20"/>
          <w:szCs w:val="20"/>
          <w:color w:val="auto"/>
        </w:rPr>
        <w:tab/>
      </w:r>
      <w:r>
        <w:rPr>
          <w:rFonts w:ascii="Times New Roman" w:cs="Times New Roman" w:eastAsia="Times New Roman" w:hAnsi="Times New Roman"/>
          <w:sz w:val="18"/>
          <w:szCs w:val="18"/>
          <w:color w:val="auto"/>
        </w:rPr>
        <w:t>Mr. Jeffrey Wilson, General Manager – Corporate Reserves</w:t>
      </w:r>
    </w:p>
    <w:p>
      <w:pPr>
        <w:spacing w:after="0" w:line="200" w:lineRule="exact"/>
        <w:rPr>
          <w:sz w:val="20"/>
          <w:szCs w:val="20"/>
          <w:color w:val="auto"/>
        </w:rPr>
      </w:pPr>
    </w:p>
    <w:p>
      <w:pPr>
        <w:spacing w:after="0" w:line="29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Reference:</w:t>
        <w:tab/>
        <w:t>Murphy Oil Corporation</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b w:val="1"/>
          <w:bCs w:val="1"/>
          <w:color w:val="auto"/>
        </w:rPr>
        <w:t>Evaluation of the Canadian Oil and Gas Properties as of December 31, 2024</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Dear Sir:</w:t>
      </w:r>
    </w:p>
    <w:p>
      <w:pPr>
        <w:spacing w:after="0" w:line="15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0"/>
          <w:szCs w:val="20"/>
          <w:color w:val="auto"/>
        </w:rPr>
        <w:t>Pursuant to your request, McDaniel &amp; Associates Consultants Ltd. (“McDaniel”) has conducted an independent audit of Murphy Oil Corporation’s (“Murphy”) proved crude oil, natural gas and natural gas liquids reserves for Murphy’s interests in the Kaybob Duvernay and Greater Tupper Montney Projects located within the Province of British Columbia and Alberta, Canada. Murphy holds a 99.94 percent working interest in the Greater Tupper Montney Project, a 70.00 percent working interest in the Kaybob Duvernay Project. Murphy has represented that these properties account for approximately 52.9 percent of its total company proved reserves on an equivalent barrel basis as of December 31, 2024, and that its reserves estimates have been prepared in accordance with the United States Securities and Exchange Commission (SEC) definitions. We have reviewed information provided to us by Murphy that it represents to be its estimates of the reserves, as of December 31, 2024, for the same properties as those which we audited. The completion date of our report is January 23, 2025. This report was prepared in accordance with guidelines specified in Item 1202(a)(8) of Regulation S-K and is to be used for inclusion in certain filings of the SEC.</w:t>
      </w:r>
    </w:p>
    <w:p>
      <w:pPr>
        <w:spacing w:after="0" w:line="8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Reserves included herein are expressed as reserves as represented by Murphy. Gross reserves are defined as the total estimated petroleum to be produced from these properties after December 31, 2024. Working interest reserves are defined as that portion of the gross reserves attributable to the interests owned by Murphy after deducting all working interests owned by others. Net reserves are defined as working interest reserves after the deduction of royalties. Estimates of crude oil, natural gas and natural gas liquids reserves should be regarded only as estimates that may change as further production history and additional information become available. Not only are such reserves estimates based on that information, which is</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2000, Eighth Avenue Place, East Tower, 525 - 8 Avenue SW, Calgary AB T2P 1G1 Tel: (403) 262-5506 www.mcdan.com</w:t>
      </w:r>
    </w:p>
    <w:p>
      <w:pPr>
        <w:sectPr>
          <w:pgSz w:w="11900" w:h="16838" w:orient="portrait"/>
          <w:cols w:equalWidth="0" w:num="1">
            <w:col w:w="11240"/>
          </w:cols>
          <w:pgMar w:left="320" w:top="105" w:right="339" w:bottom="1440" w:gutter="0" w:footer="0" w:header="0"/>
        </w:sectPr>
      </w:pPr>
    </w:p>
    <w:bookmarkStart w:id="200" w:name="page201"/>
    <w:bookmarkEnd w:id="200"/>
    <w:p>
      <w:pPr>
        <w:spacing w:after="0"/>
        <w:rPr>
          <w:sz w:val="20"/>
          <w:szCs w:val="20"/>
          <w:color w:val="auto"/>
        </w:rPr>
      </w:pPr>
      <w:r>
        <w:rPr>
          <w:rFonts w:ascii="Arial" w:cs="Arial" w:eastAsia="Arial" w:hAnsi="Arial"/>
          <w:sz w:val="14"/>
          <w:szCs w:val="14"/>
          <w:b w:val="1"/>
          <w:bCs w:val="1"/>
          <w:color w:val="auto"/>
        </w:rPr>
        <w:t>Murphy Oil Corporation January 23, 2025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Third Party for certain Canadian Oil &amp; Gas Properties owned by Murphy Page 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currently available, but such estimates are also subject to the uncertainties inherent in the application of judgmental factors in interpreting such information.</w:t>
      </w:r>
    </w:p>
    <w:p>
      <w:pPr>
        <w:spacing w:after="0" w:line="5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Data used in this audit were obtained from reviews with Murphy personnel, Murphy files, from records on file with the appropriate regulatory agencies, and from public sources. In the preparation of this report we have relied upon such information furnished by Murphy with respect to property interests, production from such properties, current costs of operation and development, prices for production, agreements relating to current and future operations and sale of production, and various other information and data that were accepted as represented. Furthermore, if in the course of our examination something came to our attention, which brought into question the validity or sufficiency of any of such information or data, we did not rely on such information or data until we had satisfactorily resolved our questions relating thereto or had independently verified such information or data. A field examination of the properties was not considered necessary for the purposes of this report.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Methodology and Procedures</w:t>
      </w:r>
    </w:p>
    <w:p>
      <w:pPr>
        <w:spacing w:after="0" w:line="257"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The process of estimating reserves requires complex judgments and decision-making based on available geological, geophysical, engineering and economic data. To estimate the economically recoverable oil, synthetic crude oil and natural gas reserves, and related future net cash flows, we consider many factors and make assumptions including:</w:t>
      </w:r>
    </w:p>
    <w:p>
      <w:pPr>
        <w:spacing w:after="0" w:line="45" w:lineRule="exact"/>
        <w:rPr>
          <w:sz w:val="20"/>
          <w:szCs w:val="20"/>
          <w:color w:val="auto"/>
        </w:rPr>
      </w:pPr>
    </w:p>
    <w:p>
      <w:pPr>
        <w:ind w:left="640" w:hanging="313"/>
        <w:spacing w:after="0"/>
        <w:tabs>
          <w:tab w:leader="none" w:pos="6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reservoir characteristics based on geological, geophysical and engineering assessments;</w:t>
      </w:r>
    </w:p>
    <w:p>
      <w:pPr>
        <w:spacing w:after="0" w:line="13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production rates based on historical performance and expected future operating and investment activities;</w:t>
      </w:r>
    </w:p>
    <w:p>
      <w:pPr>
        <w:spacing w:after="0" w:line="13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oil and gas prices and quality differentials;</w:t>
      </w:r>
    </w:p>
    <w:p>
      <w:pPr>
        <w:spacing w:after="0" w:line="13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assumed effects of regulation by governmental agencies; and</w:t>
      </w:r>
    </w:p>
    <w:p>
      <w:pPr>
        <w:spacing w:after="0" w:line="13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development and operating costs</w:t>
      </w:r>
    </w:p>
    <w:p>
      <w:pPr>
        <w:spacing w:after="0" w:line="15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0"/>
          <w:szCs w:val="20"/>
          <w:color w:val="auto"/>
        </w:rPr>
        <w:t>Estimates of reserves were prepared using standard geological and engineering methods generally accepted by the petroleum industry as presented in the publication of the Society of Petroleum Engineers entitled “Standards Pertaining to the Estimating and Auditing of Oil and Gas Reserves Information (Revision as of June 2019).” Generally accepted methods for estimating reserves include volumetric calculations, material balance techniques, production decline curves, pressure transient analysis, analogy with similar reservoirs, and reservoir simulation. The method or combination of methods used is based on professional judgment and experience.</w:t>
      </w:r>
    </w:p>
    <w:p>
      <w:pPr>
        <w:spacing w:after="0" w:line="7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0"/>
          <w:szCs w:val="20"/>
          <w:color w:val="auto"/>
        </w:rPr>
        <w:t>Discovered oil and natural gas reserves are generally only produced when they are economically recoverable. As such, oil and gas prices, and capital and operating costs have an impact on whether reserves will ultimately be produced. As required by SEC rules, reserves represent the quantities that are expected to be economically recoverable using existing prices and costs. Estimates may change substantially as additional data from ongoing development activities and production performance becomes available and as economic conditions impacting oil and gas prices and costs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-106045</wp:posOffset>
            </wp:positionV>
            <wp:extent cx="5530850" cy="5511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5530850" cy="55118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1" w:name="page202"/>
    <w:bookmarkEnd w:id="201"/>
    <w:p>
      <w:pPr>
        <w:spacing w:after="0"/>
        <w:rPr>
          <w:sz w:val="20"/>
          <w:szCs w:val="20"/>
          <w:color w:val="auto"/>
        </w:rPr>
      </w:pPr>
      <w:r>
        <w:rPr>
          <w:rFonts w:ascii="Arial" w:cs="Arial" w:eastAsia="Arial" w:hAnsi="Arial"/>
          <w:sz w:val="14"/>
          <w:szCs w:val="14"/>
          <w:b w:val="1"/>
          <w:bCs w:val="1"/>
          <w:color w:val="auto"/>
        </w:rPr>
        <w:t>Murphy Oil Corporation January 23, 2025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Third Party for certain Canadian Oil &amp; Gas Properties owned by Murphy 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20"/>
          <w:szCs w:val="20"/>
          <w:color w:val="auto"/>
        </w:rPr>
        <w:t>The proved reserves estimates in this report were based upon 2024 first-of-the month fiscal average pricing using benchmark pricing supplied by Murphy. Oil prices were based upon West Texas Intermediate at Cushing crude oil benchmark of USD$75.48 per barrel. Specific pricing for each field was adjusted for historical quality and transportation cost differentials, and for currency exchange rates. For total proved reserves in the Greater Tupper Montney Project, the estimated realized prices were CAD$1.96 per Mcf of natural gas including fuel volumes (CAD$1.98 per Mcf excluding fuel volumes) and CAD$92.22 per barrel of natural gas liquids. For total proved reserves in the Kaybob Duvernay Project, the estimated realized prices were CAD$1.46 per Mcf of natural gas, CAD$93.88 per barrel of oil and CAD$43.51 per barrel of natural gas liquids.</w:t>
      </w:r>
    </w:p>
    <w:p>
      <w:pPr>
        <w:spacing w:after="0" w:line="8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Generally, operations are subject to various levels of government controls and regulations. These laws and regulations may include matters relating to land tenure, drilling, production practices, environmental protection, marketing and pricing policies, royalties, various taxes and levies including income tax, and foreign trade and investment, that are subject to change from time to time. Current legislation is generally a matter of public record, and additional legislation or amendments that will affect reserves or when any such proposals, if enacted, might become effective generally cannot be predicted. Changes in government regulations could affect reserves or related economics. In the regions that are currently being evaluated we believe we have applied existing regulations appropriately.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Murphy Estimates</w:t>
      </w:r>
    </w:p>
    <w:p>
      <w:pPr>
        <w:spacing w:after="0" w:line="297"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20"/>
          <w:szCs w:val="20"/>
          <w:color w:val="auto"/>
        </w:rPr>
        <w:t>Murphy has represented that estimated proved reserves attributable to the audited properties are based on SEC definitions. These reserves are as follows, expressed in thousands of barrels (Mbbl) and thousands of barrels of oil equivalent (Mboe):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26035</wp:posOffset>
            </wp:positionV>
            <wp:extent cx="5530850" cy="551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5530850" cy="55118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b w:val="1"/>
          <w:bCs w:val="1"/>
          <w:color w:val="auto"/>
        </w:rPr>
        <w:t>Murphy Oil Corporation January 23, 2025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Third Party for certain Canadian Oil &amp; Gas Properties owned by Murphy 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Murphy’s estimate of Reserves as of December 31, 2024</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Canadian Fields Audited by McDaniel &amp; Associates</w:t>
      </w:r>
    </w:p>
    <w:p>
      <w:pPr>
        <w:spacing w:after="0" w:line="20" w:lineRule="exact"/>
        <w:rPr>
          <w:sz w:val="20"/>
          <w:szCs w:val="20"/>
          <w:color w:val="auto"/>
        </w:rPr>
      </w:pPr>
    </w:p>
    <w:tbl>
      <w:tblPr>
        <w:tblLayout w:type="fixed"/>
        <w:tblInd w:w="590" w:type="dxa"/>
        <w:tblCellMar>
          <w:top w:w="0" w:type="dxa"/>
          <w:left w:w="0" w:type="dxa"/>
          <w:bottom w:w="0" w:type="dxa"/>
          <w:right w:w="0" w:type="dxa"/>
        </w:tblCellMar>
      </w:tblPr>
      <w:tr>
        <w:trPr>
          <w:trHeight w:val="172"/>
        </w:trPr>
        <w:tc>
          <w:tcPr>
            <w:tcW w:w="23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Business Unit</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Crude Oil</w:t>
            </w:r>
          </w:p>
        </w:tc>
        <w:tc>
          <w:tcPr>
            <w:tcW w:w="158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Natural Gas (Mboe)</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Natural Gas Liquids</w:t>
            </w:r>
          </w:p>
        </w:tc>
        <w:tc>
          <w:tcPr>
            <w:tcW w:w="1980" w:type="dxa"/>
            <w:vAlign w:val="bottom"/>
            <w:tcBorders>
              <w:top w:val="single" w:sz="8" w:color="auto"/>
              <w:right w:val="single" w:sz="8" w:color="auto"/>
            </w:tcBorders>
          </w:tcPr>
          <w:p>
            <w:pPr>
              <w:jc w:val="center"/>
              <w:ind w:right="9"/>
              <w:spacing w:after="0"/>
              <w:rPr>
                <w:sz w:val="20"/>
                <w:szCs w:val="20"/>
                <w:color w:val="auto"/>
              </w:rPr>
            </w:pPr>
            <w:r>
              <w:rPr>
                <w:rFonts w:ascii="Arial" w:cs="Arial" w:eastAsia="Arial" w:hAnsi="Arial"/>
                <w:sz w:val="14"/>
                <w:szCs w:val="14"/>
                <w:b w:val="1"/>
                <w:bCs w:val="1"/>
                <w:color w:val="auto"/>
              </w:rPr>
              <w:t>Oil Equivalent</w:t>
            </w:r>
          </w:p>
        </w:tc>
        <w:tc>
          <w:tcPr>
            <w:tcW w:w="0" w:type="dxa"/>
            <w:vAlign w:val="bottom"/>
          </w:tcPr>
          <w:p>
            <w:pPr>
              <w:spacing w:after="0"/>
              <w:rPr>
                <w:sz w:val="1"/>
                <w:szCs w:val="1"/>
                <w:color w:val="auto"/>
              </w:rPr>
            </w:pPr>
          </w:p>
        </w:tc>
      </w:tr>
      <w:tr>
        <w:trPr>
          <w:trHeight w:val="115"/>
        </w:trPr>
        <w:tc>
          <w:tcPr>
            <w:tcW w:w="232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(Mbbl)</w:t>
            </w: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(Mboe)</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68"/>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vMerge w:val="continue"/>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vMerge w:val="continue"/>
          </w:tcPr>
          <w:p>
            <w:pPr>
              <w:spacing w:after="0"/>
              <w:rPr>
                <w:sz w:val="5"/>
                <w:szCs w:val="5"/>
                <w:color w:val="auto"/>
              </w:rPr>
            </w:pPr>
          </w:p>
        </w:tc>
        <w:tc>
          <w:tcPr>
            <w:tcW w:w="19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320" w:type="dxa"/>
            <w:vAlign w:val="bottom"/>
            <w:tcBorders>
              <w:left w:val="single" w:sz="8" w:color="auto"/>
              <w:bottom w:val="single" w:sz="8" w:color="auto"/>
              <w:right w:val="single" w:sz="8" w:color="BFBFBF"/>
            </w:tcBorders>
            <w:shd w:val="clear" w:color="auto" w:fill="BFBFBF"/>
          </w:tcPr>
          <w:p>
            <w:pPr>
              <w:spacing w:after="0"/>
              <w:rPr>
                <w:sz w:val="16"/>
                <w:szCs w:val="16"/>
                <w:color w:val="auto"/>
              </w:rPr>
            </w:pPr>
          </w:p>
        </w:tc>
        <w:tc>
          <w:tcPr>
            <w:tcW w:w="4660" w:type="dxa"/>
            <w:vAlign w:val="bottom"/>
            <w:tcBorders>
              <w:bottom w:val="single" w:sz="8" w:color="auto"/>
              <w:right w:val="single" w:sz="8" w:color="BFBFBF"/>
            </w:tcBorders>
            <w:gridSpan w:val="3"/>
            <w:shd w:val="clear" w:color="auto" w:fill="BFBFBF"/>
          </w:tcPr>
          <w:p>
            <w:pPr>
              <w:ind w:left="720"/>
              <w:spacing w:after="0"/>
              <w:rPr>
                <w:sz w:val="20"/>
                <w:szCs w:val="20"/>
                <w:color w:val="auto"/>
              </w:rPr>
            </w:pPr>
            <w:r>
              <w:rPr>
                <w:rFonts w:ascii="Arial" w:cs="Arial" w:eastAsia="Arial" w:hAnsi="Arial"/>
                <w:sz w:val="14"/>
                <w:szCs w:val="14"/>
                <w:b w:val="1"/>
                <w:bCs w:val="1"/>
                <w:color w:val="auto"/>
              </w:rPr>
              <w:t>Working Interest Reserves (after royalties)</w:t>
            </w:r>
          </w:p>
        </w:tc>
        <w:tc>
          <w:tcPr>
            <w:tcW w:w="1980" w:type="dxa"/>
            <w:vAlign w:val="bottom"/>
            <w:tcBorders>
              <w:bottom w:val="single" w:sz="8" w:color="auto"/>
              <w:right w:val="single" w:sz="8" w:color="auto"/>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bottom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Proved Developed</w:t>
            </w:r>
          </w:p>
        </w:tc>
        <w:tc>
          <w:tcPr>
            <w:tcW w:w="1500" w:type="dxa"/>
            <w:vAlign w:val="bottom"/>
            <w:tcBorders>
              <w:bottom w:val="single" w:sz="8" w:color="auto"/>
              <w:right w:val="single" w:sz="8" w:color="D9D9D9"/>
            </w:tcBorders>
            <w:shd w:val="clear" w:color="auto" w:fill="D9D9D9"/>
          </w:tcPr>
          <w:p>
            <w:pPr>
              <w:spacing w:after="0"/>
              <w:rPr>
                <w:sz w:val="16"/>
                <w:szCs w:val="16"/>
                <w:color w:val="auto"/>
              </w:rPr>
            </w:pPr>
          </w:p>
        </w:tc>
        <w:tc>
          <w:tcPr>
            <w:tcW w:w="1580" w:type="dxa"/>
            <w:vAlign w:val="bottom"/>
            <w:tcBorders>
              <w:bottom w:val="single" w:sz="8" w:color="auto"/>
              <w:right w:val="single" w:sz="8" w:color="D9D9D9"/>
            </w:tcBorders>
            <w:shd w:val="clear" w:color="auto" w:fill="D9D9D9"/>
          </w:tcPr>
          <w:p>
            <w:pPr>
              <w:spacing w:after="0"/>
              <w:rPr>
                <w:sz w:val="16"/>
                <w:szCs w:val="16"/>
                <w:color w:val="auto"/>
              </w:rPr>
            </w:pPr>
          </w:p>
        </w:tc>
        <w:tc>
          <w:tcPr>
            <w:tcW w:w="1580" w:type="dxa"/>
            <w:vAlign w:val="bottom"/>
            <w:tcBorders>
              <w:bottom w:val="single" w:sz="8" w:color="auto"/>
              <w:right w:val="single" w:sz="8" w:color="D9D9D9"/>
            </w:tcBorders>
            <w:shd w:val="clear" w:color="auto" w:fill="D9D9D9"/>
          </w:tcPr>
          <w:p>
            <w:pPr>
              <w:spacing w:after="0"/>
              <w:rPr>
                <w:sz w:val="16"/>
                <w:szCs w:val="16"/>
                <w:color w:val="auto"/>
              </w:rPr>
            </w:pPr>
          </w:p>
        </w:tc>
        <w:tc>
          <w:tcPr>
            <w:tcW w:w="198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Kaybob Duvernay</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6,162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3,562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1,484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11,208</w:t>
            </w: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Tupper Montney</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188,637</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726</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189,363</w:t>
            </w: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bottom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Proved Undeveloped</w:t>
            </w:r>
          </w:p>
        </w:tc>
        <w:tc>
          <w:tcPr>
            <w:tcW w:w="1500" w:type="dxa"/>
            <w:vAlign w:val="bottom"/>
            <w:tcBorders>
              <w:bottom w:val="single" w:sz="8" w:color="auto"/>
              <w:right w:val="single" w:sz="8" w:color="D9D9D9"/>
            </w:tcBorders>
            <w:shd w:val="clear" w:color="auto" w:fill="D9D9D9"/>
          </w:tcPr>
          <w:p>
            <w:pPr>
              <w:spacing w:after="0"/>
              <w:rPr>
                <w:sz w:val="16"/>
                <w:szCs w:val="16"/>
                <w:color w:val="auto"/>
              </w:rPr>
            </w:pPr>
          </w:p>
        </w:tc>
        <w:tc>
          <w:tcPr>
            <w:tcW w:w="1580" w:type="dxa"/>
            <w:vAlign w:val="bottom"/>
            <w:tcBorders>
              <w:bottom w:val="single" w:sz="8" w:color="auto"/>
              <w:right w:val="single" w:sz="8" w:color="D9D9D9"/>
            </w:tcBorders>
            <w:shd w:val="clear" w:color="auto" w:fill="D9D9D9"/>
          </w:tcPr>
          <w:p>
            <w:pPr>
              <w:spacing w:after="0"/>
              <w:rPr>
                <w:sz w:val="16"/>
                <w:szCs w:val="16"/>
                <w:color w:val="auto"/>
              </w:rPr>
            </w:pPr>
          </w:p>
        </w:tc>
        <w:tc>
          <w:tcPr>
            <w:tcW w:w="1580" w:type="dxa"/>
            <w:vAlign w:val="bottom"/>
            <w:tcBorders>
              <w:bottom w:val="single" w:sz="8" w:color="auto"/>
              <w:right w:val="single" w:sz="8" w:color="D9D9D9"/>
            </w:tcBorders>
            <w:shd w:val="clear" w:color="auto" w:fill="D9D9D9"/>
          </w:tcPr>
          <w:p>
            <w:pPr>
              <w:spacing w:after="0"/>
              <w:rPr>
                <w:sz w:val="16"/>
                <w:szCs w:val="16"/>
                <w:color w:val="auto"/>
              </w:rPr>
            </w:pPr>
          </w:p>
        </w:tc>
        <w:tc>
          <w:tcPr>
            <w:tcW w:w="198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Kaybob Duvernay</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10,752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4,329</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1,869</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16,950</w:t>
            </w: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Tupper Montney</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167,789</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454</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168,243</w:t>
            </w: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bottom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Total Proved</w:t>
            </w:r>
          </w:p>
        </w:tc>
        <w:tc>
          <w:tcPr>
            <w:tcW w:w="1500" w:type="dxa"/>
            <w:vAlign w:val="bottom"/>
            <w:tcBorders>
              <w:bottom w:val="single" w:sz="8" w:color="auto"/>
              <w:right w:val="single" w:sz="8" w:color="D9D9D9"/>
            </w:tcBorders>
            <w:shd w:val="clear" w:color="auto" w:fill="D9D9D9"/>
          </w:tcPr>
          <w:p>
            <w:pPr>
              <w:spacing w:after="0"/>
              <w:rPr>
                <w:sz w:val="16"/>
                <w:szCs w:val="16"/>
                <w:color w:val="auto"/>
              </w:rPr>
            </w:pPr>
          </w:p>
        </w:tc>
        <w:tc>
          <w:tcPr>
            <w:tcW w:w="1580" w:type="dxa"/>
            <w:vAlign w:val="bottom"/>
            <w:tcBorders>
              <w:bottom w:val="single" w:sz="8" w:color="auto"/>
              <w:right w:val="single" w:sz="8" w:color="D9D9D9"/>
            </w:tcBorders>
            <w:shd w:val="clear" w:color="auto" w:fill="D9D9D9"/>
          </w:tcPr>
          <w:p>
            <w:pPr>
              <w:spacing w:after="0"/>
              <w:rPr>
                <w:sz w:val="16"/>
                <w:szCs w:val="16"/>
                <w:color w:val="auto"/>
              </w:rPr>
            </w:pPr>
          </w:p>
        </w:tc>
        <w:tc>
          <w:tcPr>
            <w:tcW w:w="1580" w:type="dxa"/>
            <w:vAlign w:val="bottom"/>
            <w:tcBorders>
              <w:bottom w:val="single" w:sz="8" w:color="auto"/>
              <w:right w:val="single" w:sz="8" w:color="D9D9D9"/>
            </w:tcBorders>
            <w:shd w:val="clear" w:color="auto" w:fill="D9D9D9"/>
          </w:tcPr>
          <w:p>
            <w:pPr>
              <w:spacing w:after="0"/>
              <w:rPr>
                <w:sz w:val="16"/>
                <w:szCs w:val="16"/>
                <w:color w:val="auto"/>
              </w:rPr>
            </w:pPr>
          </w:p>
        </w:tc>
        <w:tc>
          <w:tcPr>
            <w:tcW w:w="198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Kaybob Duvernay</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16,914</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7,891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3,353</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28,158</w:t>
            </w:r>
          </w:p>
        </w:tc>
        <w:tc>
          <w:tcPr>
            <w:tcW w:w="0" w:type="dxa"/>
            <w:vAlign w:val="bottom"/>
          </w:tcPr>
          <w:p>
            <w:pPr>
              <w:spacing w:after="0"/>
              <w:rPr>
                <w:sz w:val="1"/>
                <w:szCs w:val="1"/>
                <w:color w:val="auto"/>
              </w:rPr>
            </w:pPr>
          </w:p>
        </w:tc>
      </w:tr>
      <w:tr>
        <w:trPr>
          <w:trHeight w:val="201"/>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Tupper Montney</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356,426</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1,180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357,606</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Note: Gas is converted to oil equivalent using a factor of 6,000 cubic feet of gas per 1 barrel of oil equivalent based on an energy equivalent basis. Of the Total Proved Natural Gas reserves estimated by Murphy above, 3,672 Mboe are attributed to fuel gas reserves in the Kaybob Duvernay and the Greater Tupper Montney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-109220</wp:posOffset>
            </wp:positionV>
            <wp:extent cx="5530850" cy="551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5530850" cy="55118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3" w:name="page204"/>
    <w:bookmarkEnd w:id="203"/>
    <w:p>
      <w:pPr>
        <w:spacing w:after="0"/>
        <w:rPr>
          <w:sz w:val="20"/>
          <w:szCs w:val="20"/>
          <w:color w:val="auto"/>
        </w:rPr>
      </w:pPr>
      <w:r>
        <w:rPr>
          <w:rFonts w:ascii="Arial" w:cs="Arial" w:eastAsia="Arial" w:hAnsi="Arial"/>
          <w:sz w:val="14"/>
          <w:szCs w:val="14"/>
          <w:b w:val="1"/>
          <w:bCs w:val="1"/>
          <w:color w:val="auto"/>
        </w:rPr>
        <w:t>Murphy Oil Corporation January 23, 2025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Third Party for certain Canadian Oil &amp; Gas Properties owned by Murphy 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Reserves Audit Opinion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McDaniel has used all data, assumptions, procedures and methods that it considers necessary to prepare this report.</w:t>
      </w:r>
    </w:p>
    <w:p>
      <w:pPr>
        <w:spacing w:after="0" w:line="17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0"/>
          <w:szCs w:val="20"/>
          <w:color w:val="auto"/>
        </w:rPr>
        <w:t xml:space="preserve">In our opinion, the information relating to estimated proved reserves of bitumen and synthetic crude oil contained in this opinion has been prepared in accordance with Paragraphs 932-235-50-4, 932-235-50-6, 932-235-50-7, 932-235-50-9, 932-235-50-30 and 932-235-50-31 of the Accounting Standards Update 932-235-50, </w:t>
      </w:r>
      <w:r>
        <w:rPr>
          <w:rFonts w:ascii="Times New Roman" w:cs="Times New Roman" w:eastAsia="Times New Roman" w:hAnsi="Times New Roman"/>
          <w:sz w:val="20"/>
          <w:szCs w:val="20"/>
          <w:i w:val="1"/>
          <w:iCs w:val="1"/>
          <w:color w:val="auto"/>
        </w:rPr>
        <w:t>Extractive Industries – Oil and Gas (Topic 932): Oil and Gas Reserve Estimation and Disclosures</w:t>
      </w:r>
      <w:r>
        <w:rPr>
          <w:rFonts w:ascii="Times New Roman" w:cs="Times New Roman" w:eastAsia="Times New Roman" w:hAnsi="Times New Roman"/>
          <w:sz w:val="20"/>
          <w:szCs w:val="20"/>
          <w:color w:val="auto"/>
        </w:rPr>
        <w:t xml:space="preserve"> (January 2010) of the Financial Accounting Standards Board and Rules 4–10(a) (1)–(32) of Regulation S–X and Rules 302(b), 1201, and 1202(a) (1), (2), (3), (4), (5), (8) of Regulation S-K of the Securities and Exchange Commission.</w:t>
      </w:r>
    </w:p>
    <w:p>
      <w:pPr>
        <w:spacing w:after="0" w:line="77"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18"/>
          <w:szCs w:val="18"/>
          <w:color w:val="auto"/>
        </w:rPr>
        <w:t>We have examined the assumptions, data, methods procedures and proved reserves estimates prepared by Murphy. In our opinion, the proved reserves for the reviewed properties as estimated by Murphy are, in aggregate on the basis of equivalent barrels, reasonable because when compared to our estimates, or if we were to perform our own detailed estimates, reflect a difference of not more than plus or minus 10 percent.</w:t>
      </w:r>
    </w:p>
    <w:p>
      <w:pPr>
        <w:spacing w:after="0" w:line="3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The analyses of these properties, as reported herein, was conducted within the context of an audit of a distinct group of properties in aggregate as part of the total corporate level reserves. Extraction and use of these analyses outside of this context may not be appropriate without supplementary due diligence.</w:t>
      </w:r>
    </w:p>
    <w:p>
      <w:pPr>
        <w:spacing w:after="0" w:line="7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McDaniel is an independent petroleum engineering consulting firm that has been providing petroleum consulting services throughout the world for over 65 years. McDaniel does not have any financial interest, including stock ownership, in Murphy. Our fees were not contingent on the results of our evaluation. This letter report has been prepared at the request of Murphy.</w:t>
      </w:r>
    </w:p>
    <w:p>
      <w:pPr>
        <w:spacing w:after="0" w:line="7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20"/>
          <w:szCs w:val="20"/>
          <w:color w:val="auto"/>
        </w:rPr>
        <w:t>McDaniel &amp; Associates Consultants Ltd. (“McDaniel”) has been in the business of providing oil and gas reserves evaluations for over 65 years. Mr. Jared Wynveen, P.Eng., Executive Vice President has been with the firm since 2006, and has over 15 years of experience in the evaluation of oil and gas properties. As a senior engineer of McDaniel, Mr. Wynveen managed the preparation evaluation of the Murphy Oil Corporation’s properties. Mr. Wynveen is a registered professionals with the Association of Professional Engineers and Geoscientist of Alberta (APEGA) with over 15 years of experience with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-106045</wp:posOffset>
            </wp:positionV>
            <wp:extent cx="5530850" cy="551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5530850" cy="55118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4" w:name="page205"/>
    <w:bookmarkEnd w:id="204"/>
    <w:p>
      <w:pPr>
        <w:spacing w:after="0"/>
        <w:rPr>
          <w:sz w:val="20"/>
          <w:szCs w:val="20"/>
          <w:color w:val="auto"/>
        </w:rPr>
      </w:pPr>
      <w:r>
        <w:rPr>
          <w:rFonts w:ascii="Arial" w:cs="Arial" w:eastAsia="Arial" w:hAnsi="Arial"/>
          <w:sz w:val="14"/>
          <w:szCs w:val="14"/>
          <w:b w:val="1"/>
          <w:bCs w:val="1"/>
          <w:color w:val="auto"/>
        </w:rPr>
        <w:t>Murphy Oil Corporation January 23, 2025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Third Party for certain Canadian Oil &amp; Gas Properties owned by Murphy 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This report was prepared by McDaniel &amp; Associates Consultants Ltd. for the exclusive use of Murphy. It is not to be reproduced, distributed, or made available, in whole or in part to any person, company, or organization other than Murphy without the knowledge and consent of McDaniel &amp; Associates Consultants Ltd. We reserve the right to revise any of the estimates provided herein if any relevant data existing prior to preparation of this report was not made available or if any data provided was found to be erroneous.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any questions, please contact Jared Wynveen directly at (403) 218-1397.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McDANIEL &amp; ASSOCIATES CONSULTANTS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APEGA PERMIT NUMBER: P3145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Jared Wynveen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Jared Wynveen, P.Eng.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Vice President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23, 2025</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JW:jep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[24-0160]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180340</wp:posOffset>
            </wp:positionV>
            <wp:extent cx="5530850" cy="551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5530850" cy="55118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21"/>
          <w:szCs w:val="21"/>
          <w:b w:val="1"/>
          <w:bCs w:val="1"/>
          <w:color w:val="auto"/>
        </w:rPr>
        <w:t>CERTIFICATE OF QUALIFICATION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799"/>
        <w:spacing w:after="0" w:line="228" w:lineRule="auto"/>
        <w:rPr>
          <w:sz w:val="20"/>
          <w:szCs w:val="20"/>
          <w:color w:val="auto"/>
        </w:rPr>
      </w:pPr>
      <w:r>
        <w:rPr>
          <w:rFonts w:ascii="Times New Roman" w:cs="Times New Roman" w:eastAsia="Times New Roman" w:hAnsi="Times New Roman"/>
          <w:sz w:val="20"/>
          <w:szCs w:val="20"/>
          <w:color w:val="auto"/>
        </w:rPr>
        <w:t>I, Jared W. B. Wynveen, Petroleum Engineer of 2000, 525 - 8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Avenue SW, Calgary, Alberta, Canada hereby certify:</w:t>
      </w:r>
    </w:p>
    <w:p>
      <w:pPr>
        <w:spacing w:after="0" w:line="200" w:lineRule="exact"/>
        <w:rPr>
          <w:sz w:val="20"/>
          <w:szCs w:val="20"/>
          <w:color w:val="auto"/>
        </w:rPr>
      </w:pPr>
    </w:p>
    <w:p>
      <w:pPr>
        <w:spacing w:after="0" w:line="268" w:lineRule="exact"/>
        <w:rPr>
          <w:sz w:val="20"/>
          <w:szCs w:val="20"/>
          <w:color w:val="auto"/>
        </w:rPr>
      </w:pPr>
    </w:p>
    <w:p>
      <w:pPr>
        <w:ind w:left="240" w:right="2859" w:hanging="233"/>
        <w:spacing w:after="0" w:line="248" w:lineRule="auto"/>
        <w:tabs>
          <w:tab w:leader="none" w:pos="19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 am an Executive Vice President of McDaniel &amp; Associates Consultants Ltd., APEGA Permit Number P3145, which Company did prepare, at the request of Murphy Oil Corporation, the report entitled "Murphy Oil Corporation, Evaluation of the Canadian Oil and Gas Properties, As of December 31, 2024", dated January 23, 2025, and that I was involved in the preparation of this report. I am also registered as a Responsible Member as outlined by APEGA for McDaniel &amp; Associates Consultant Ltd. APEGA Permit Number 3145.</w:t>
      </w:r>
    </w:p>
    <w:p>
      <w:pPr>
        <w:spacing w:after="0" w:line="220" w:lineRule="exact"/>
        <w:rPr>
          <w:rFonts w:ascii="Times New Roman" w:cs="Times New Roman" w:eastAsia="Times New Roman" w:hAnsi="Times New Roman"/>
          <w:sz w:val="20"/>
          <w:szCs w:val="20"/>
          <w:color w:val="auto"/>
        </w:rPr>
      </w:pPr>
    </w:p>
    <w:p>
      <w:pPr>
        <w:ind w:left="240" w:right="3019" w:hanging="233"/>
        <w:spacing w:after="0" w:line="250" w:lineRule="auto"/>
        <w:tabs>
          <w:tab w:leader="none" w:pos="19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 attended the Queen’s University in the years 2002 to 2006 and that I graduated with a Bachelor of Science degree in Mechanical Engineering, that I am a registered Professional Engineer with the Association of Professional Engineers and Geoscientists of Alberta and that I have in excess of 15 years of experience in oil and gas reservoir studies and evaluations.</w:t>
      </w:r>
    </w:p>
    <w:p>
      <w:pPr>
        <w:spacing w:after="0" w:line="218" w:lineRule="exact"/>
        <w:rPr>
          <w:rFonts w:ascii="Times New Roman" w:cs="Times New Roman" w:eastAsia="Times New Roman" w:hAnsi="Times New Roman"/>
          <w:sz w:val="20"/>
          <w:szCs w:val="20"/>
          <w:color w:val="auto"/>
        </w:rPr>
      </w:pPr>
    </w:p>
    <w:p>
      <w:pPr>
        <w:ind w:left="160" w:right="3099" w:hanging="153"/>
        <w:spacing w:after="0" w:line="256" w:lineRule="auto"/>
        <w:tabs>
          <w:tab w:leader="none" w:pos="19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 have no direct or indirect interest in the properties or securities of Murphy Oil Corporation, nor do I expect to receive any direct or indirect interest in the properties or securities of Murphy Oil Corporation, or any affiliate thereof.</w:t>
      </w:r>
    </w:p>
    <w:p>
      <w:pPr>
        <w:spacing w:after="0" w:line="212" w:lineRule="exact"/>
        <w:rPr>
          <w:rFonts w:ascii="Times New Roman" w:cs="Times New Roman" w:eastAsia="Times New Roman" w:hAnsi="Times New Roman"/>
          <w:sz w:val="20"/>
          <w:szCs w:val="20"/>
          <w:color w:val="auto"/>
        </w:rPr>
      </w:pPr>
    </w:p>
    <w:p>
      <w:pPr>
        <w:ind w:left="160" w:right="3059" w:hanging="153"/>
        <w:spacing w:after="0" w:line="298" w:lineRule="auto"/>
        <w:tabs>
          <w:tab w:leader="none" w:pos="1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aforementioned report was not based on a personal field examination of the properties in question, however, such an examination was not deemed necessary in view of the extent and accuracy of the information available on the properties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APEGA ID 89207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Calgary, Alberta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January 23, 2025</w:t>
      </w:r>
    </w:p>
    <w:p>
      <w:pPr>
        <w:sectPr>
          <w:pgSz w:w="11900" w:h="16838" w:orient="portrait"/>
          <w:cols w:equalWidth="0" w:num="1">
            <w:col w:w="10139"/>
          </w:cols>
          <w:pgMar w:left="320" w:top="1440"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151765</wp:posOffset>
            </wp:positionV>
            <wp:extent cx="5700395" cy="593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5700395" cy="59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11, 2025</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Mr. Jeffrey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Murphy Exploration &amp; Production Company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9805 Katy Freeway, Suite G-200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77024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Dear Mr. Wilson:</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accordance with your request, we have audited the estimates prepared by Murphy Exploration &amp; Production Company (Murphy E&amp;P), as of December 31, 2024, of the proved reserves to the Murphy E&amp;P interest in certain oil and gas properties located in federal waters in the Gulf of Mexico. The scope of our work did not include auditing the future net revenue associated with these reserves. It is our understanding that Murphy E&amp;P is a wholly owned subsidiary of Murphy Oil Corporation (Murphy Oil) and that the proved reserves estimates shown herein constitute approximately 8 percent of all proved reserves owned by Murphy Oil. Economic analysis was performed by Murphy E&amp;P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 Exchange Commission (SEC) Regulation S-X Rule 4-10(a). The estimates of reserves have been prepared in accordance with the definitions and regulations of the SEC and conform to the FASB Accounting Standards Codification Topic 932, Extractive Activities</w:t>
      </w:r>
      <w:r>
        <w:rPr>
          <w:rFonts w:ascii="Arial" w:cs="Arial" w:eastAsia="Arial" w:hAnsi="Arial"/>
          <w:sz w:val="18"/>
          <w:szCs w:val="18"/>
          <w:i w:val="1"/>
          <w:iCs w:val="1"/>
          <w:color w:val="auto"/>
        </w:rPr>
        <w:t>—Oil and Gas</w:t>
      </w:r>
      <w:r>
        <w:rPr>
          <w:rFonts w:ascii="Arial" w:cs="Arial" w:eastAsia="Arial" w:hAnsi="Arial"/>
          <w:sz w:val="18"/>
          <w:szCs w:val="18"/>
          <w:color w:val="auto"/>
        </w:rPr>
        <w:t>. We completed our audit on January 8, 2025. This report has been prepared for Murphy Oil's use in filing with the SEC; in our opinion the assumptions, data, methods, and procedures used in the preparation of this report are appropriate for such purpose.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Murphy E&amp;P's estimates of the net reserves, as of December 31, 2024, for the audited properties:</w:t>
      </w:r>
    </w:p>
    <w:p>
      <w:pPr>
        <w:spacing w:after="0" w:line="287" w:lineRule="exact"/>
        <w:rPr>
          <w:sz w:val="20"/>
          <w:szCs w:val="20"/>
          <w:color w:val="auto"/>
        </w:rPr>
      </w:pPr>
    </w:p>
    <w:tbl>
      <w:tblPr>
        <w:tblLayout w:type="fixed"/>
        <w:tblInd w:w="1080" w:type="dxa"/>
        <w:tblCellMar>
          <w:top w:w="0" w:type="dxa"/>
          <w:left w:w="0" w:type="dxa"/>
          <w:bottom w:w="0" w:type="dxa"/>
          <w:right w:w="0" w:type="dxa"/>
        </w:tblCellMar>
      </w:tblPr>
      <w:tr>
        <w:trPr>
          <w:trHeight w:val="231"/>
        </w:trPr>
        <w:tc>
          <w:tcPr>
            <w:tcW w:w="2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color w:val="auto"/>
              </w:rPr>
              <w:t>Net Reserves</w:t>
            </w:r>
          </w:p>
        </w:tc>
        <w:tc>
          <w:tcPr>
            <w:tcW w:w="1120" w:type="dxa"/>
            <w:vAlign w:val="bottom"/>
            <w:tcBorders>
              <w:bottom w:val="single" w:sz="8" w:color="auto"/>
            </w:tcBorders>
          </w:tcPr>
          <w:p>
            <w:pPr>
              <w:spacing w:after="0"/>
              <w:rPr>
                <w:sz w:val="20"/>
                <w:szCs w:val="20"/>
                <w:color w:val="auto"/>
              </w:rPr>
            </w:pPr>
          </w:p>
        </w:tc>
      </w:tr>
      <w:tr>
        <w:trPr>
          <w:trHeight w:val="217"/>
        </w:trPr>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Oil</w:t>
            </w:r>
          </w:p>
        </w:tc>
      </w:tr>
      <w:tr>
        <w:trPr>
          <w:trHeight w:val="227"/>
        </w:trPr>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Oil</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NGL</w:t>
            </w:r>
          </w:p>
        </w:tc>
        <w:tc>
          <w:tcPr>
            <w:tcW w:w="1320" w:type="dxa"/>
            <w:vAlign w:val="bottom"/>
            <w:gridSpan w:val="2"/>
          </w:tcPr>
          <w:p>
            <w:pPr>
              <w:jc w:val="center"/>
              <w:ind w:right="320"/>
              <w:spacing w:after="0" w:line="228" w:lineRule="exact"/>
              <w:rPr>
                <w:sz w:val="20"/>
                <w:szCs w:val="20"/>
                <w:color w:val="auto"/>
              </w:rPr>
            </w:pPr>
            <w:r>
              <w:rPr>
                <w:rFonts w:ascii="Arial" w:cs="Arial" w:eastAsia="Arial" w:hAnsi="Arial"/>
                <w:sz w:val="18"/>
                <w:szCs w:val="18"/>
                <w:color w:val="auto"/>
                <w:w w:val="92"/>
              </w:rPr>
              <w:t>Gas</w:t>
            </w:r>
            <w:r>
              <w:rPr>
                <w:rFonts w:ascii="Arial" w:cs="Arial" w:eastAsia="Arial" w:hAnsi="Arial"/>
                <w:sz w:val="23"/>
                <w:szCs w:val="23"/>
                <w:color w:val="auto"/>
                <w:w w:val="92"/>
                <w:vertAlign w:val="superscript"/>
              </w:rPr>
              <w:t>(1)</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Equivalent</w:t>
            </w:r>
          </w:p>
        </w:tc>
      </w:tr>
      <w:tr>
        <w:trPr>
          <w:trHeight w:val="233"/>
        </w:trPr>
        <w:tc>
          <w:tcPr>
            <w:tcW w:w="2700" w:type="dxa"/>
            <w:vAlign w:val="bottom"/>
            <w:gridSpan w:val="2"/>
          </w:tcPr>
          <w:p>
            <w:pPr>
              <w:ind w:left="820"/>
              <w:spacing w:after="0"/>
              <w:rPr>
                <w:sz w:val="20"/>
                <w:szCs w:val="20"/>
                <w:color w:val="auto"/>
              </w:rPr>
            </w:pPr>
            <w:r>
              <w:rPr>
                <w:rFonts w:ascii="Arial" w:cs="Arial" w:eastAsia="Arial" w:hAnsi="Arial"/>
                <w:sz w:val="18"/>
                <w:szCs w:val="18"/>
                <w:color w:val="auto"/>
              </w:rPr>
              <w:t>Category</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(MBBL)</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(MBBL)</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(MMCF)</w:t>
            </w: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(MBOE)</w:t>
            </w:r>
          </w:p>
        </w:tc>
      </w:tr>
      <w:tr>
        <w:trPr>
          <w:trHeight w:val="24"/>
        </w:trPr>
        <w:tc>
          <w:tcPr>
            <w:tcW w:w="2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30"/>
        </w:trPr>
        <w:tc>
          <w:tcPr>
            <w:tcW w:w="2700" w:type="dxa"/>
            <w:vAlign w:val="bottom"/>
            <w:gridSpan w:val="2"/>
          </w:tcPr>
          <w:p>
            <w:pPr>
              <w:spacing w:after="0"/>
              <w:rPr>
                <w:sz w:val="20"/>
                <w:szCs w:val="20"/>
                <w:color w:val="auto"/>
              </w:rPr>
            </w:pPr>
            <w:r>
              <w:rPr>
                <w:rFonts w:ascii="Arial" w:cs="Arial" w:eastAsia="Arial" w:hAnsi="Arial"/>
                <w:sz w:val="18"/>
                <w:szCs w:val="18"/>
                <w:color w:val="auto"/>
              </w:rPr>
              <w:t>Proved Developed</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27,145</w:t>
            </w:r>
          </w:p>
        </w:tc>
        <w:tc>
          <w:tcPr>
            <w:tcW w:w="32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3,991</w:t>
            </w:r>
          </w:p>
        </w:tc>
        <w:tc>
          <w:tcPr>
            <w:tcW w:w="30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44,400</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38,537</w:t>
            </w:r>
          </w:p>
        </w:tc>
      </w:tr>
      <w:tr>
        <w:trPr>
          <w:trHeight w:val="259"/>
        </w:trPr>
        <w:tc>
          <w:tcPr>
            <w:tcW w:w="2700" w:type="dxa"/>
            <w:vAlign w:val="bottom"/>
            <w:gridSpan w:val="2"/>
          </w:tcPr>
          <w:p>
            <w:pPr>
              <w:spacing w:after="0"/>
              <w:rPr>
                <w:sz w:val="20"/>
                <w:szCs w:val="20"/>
                <w:color w:val="auto"/>
              </w:rPr>
            </w:pPr>
            <w:r>
              <w:rPr>
                <w:rFonts w:ascii="Arial" w:cs="Arial" w:eastAsia="Arial" w:hAnsi="Arial"/>
                <w:sz w:val="18"/>
                <w:szCs w:val="18"/>
                <w:color w:val="auto"/>
              </w:rPr>
              <w:t>Proved Undeveloped</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10,653</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2,428</w:t>
            </w:r>
          </w:p>
        </w:tc>
        <w:tc>
          <w:tcPr>
            <w:tcW w:w="300" w:type="dxa"/>
            <w:vAlign w:val="bottom"/>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20,719</w:t>
            </w:r>
          </w:p>
        </w:tc>
        <w:tc>
          <w:tcPr>
            <w:tcW w:w="3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16,535</w:t>
            </w:r>
          </w:p>
        </w:tc>
      </w:tr>
      <w:tr>
        <w:trPr>
          <w:trHeight w:val="415"/>
        </w:trPr>
        <w:tc>
          <w:tcPr>
            <w:tcW w:w="2700" w:type="dxa"/>
            <w:vAlign w:val="bottom"/>
            <w:gridSpan w:val="2"/>
          </w:tcPr>
          <w:p>
            <w:pPr>
              <w:ind w:left="200"/>
              <w:spacing w:after="0"/>
              <w:rPr>
                <w:sz w:val="20"/>
                <w:szCs w:val="20"/>
                <w:color w:val="auto"/>
              </w:rPr>
            </w:pPr>
            <w:r>
              <w:rPr>
                <w:rFonts w:ascii="Arial" w:cs="Arial" w:eastAsia="Arial" w:hAnsi="Arial"/>
                <w:sz w:val="18"/>
                <w:szCs w:val="18"/>
                <w:color w:val="auto"/>
              </w:rPr>
              <w:t>Total Proved</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37,798</w:t>
            </w:r>
          </w:p>
        </w:tc>
        <w:tc>
          <w:tcPr>
            <w:tcW w:w="32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6,420</w:t>
            </w:r>
          </w:p>
        </w:tc>
        <w:tc>
          <w:tcPr>
            <w:tcW w:w="30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65,119</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55,071</w:t>
            </w:r>
          </w:p>
        </w:tc>
      </w:tr>
    </w:tbl>
    <w:p>
      <w:pPr>
        <w:spacing w:after="0" w:line="329" w:lineRule="exact"/>
        <w:rPr>
          <w:sz w:val="20"/>
          <w:szCs w:val="20"/>
          <w:color w:val="auto"/>
        </w:rPr>
      </w:pPr>
    </w:p>
    <w:p>
      <w:pPr>
        <w:ind w:left="480"/>
        <w:spacing w:after="0"/>
        <w:rPr>
          <w:sz w:val="20"/>
          <w:szCs w:val="20"/>
          <w:color w:val="auto"/>
        </w:rPr>
      </w:pPr>
      <w:r>
        <w:rPr>
          <w:rFonts w:ascii="Arial" w:cs="Arial" w:eastAsia="Arial" w:hAnsi="Arial"/>
          <w:sz w:val="12"/>
          <w:szCs w:val="12"/>
          <w:i w:val="1"/>
          <w:iCs w:val="1"/>
          <w:color w:val="auto"/>
        </w:rPr>
        <w:t>Totals may not add because of rounding.</w:t>
      </w:r>
    </w:p>
    <w:p>
      <w:pPr>
        <w:spacing w:after="0" w:line="315" w:lineRule="exact"/>
        <w:rPr>
          <w:sz w:val="20"/>
          <w:szCs w:val="20"/>
          <w:color w:val="auto"/>
        </w:rPr>
      </w:pPr>
    </w:p>
    <w:p>
      <w:pPr>
        <w:ind w:left="1360" w:right="1780" w:hanging="232"/>
        <w:spacing w:after="0" w:line="227" w:lineRule="auto"/>
        <w:tabs>
          <w:tab w:leader="none" w:pos="1322"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Gas reserves are inclusive of fuel gas volumes expected to be consumed in field operations; fuel gas volumes are approximately 1 percent of the total proved reserves.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 Oil equivalent volumes are expressed in thousands of barrels of oil equivalent (MBOE), determined using the ratio of 6 MCF of gas to 1 barrel of oil.</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compared on a field-by-field basis, some of the estimates of Murphy E&amp;P are greater and some are less than the estimates of Netherland, Sewell &amp; Associates, Inc. (NSAI). However, in our opinion the estimates shown herein of Murphy E&amp;P's reserves are reasonable when aggregated at the proved level and have been prepared in accordance with the Standards Pertaining to the Estimating and Auditing of Oil and Gas Reserves Information</w:t>
      </w:r>
    </w:p>
    <w:p>
      <w:pPr>
        <w:spacing w:after="0" w:line="381" w:lineRule="exact"/>
        <w:rPr>
          <w:sz w:val="20"/>
          <w:szCs w:val="20"/>
          <w:color w:val="auto"/>
        </w:rPr>
      </w:pPr>
    </w:p>
    <w:p>
      <w:pPr>
        <w:ind w:right="2260"/>
        <w:spacing w:after="0" w:line="232" w:lineRule="auto"/>
        <w:rPr>
          <w:sz w:val="20"/>
          <w:szCs w:val="20"/>
          <w:color w:val="auto"/>
        </w:rPr>
      </w:pPr>
      <w:r>
        <w:rPr>
          <w:rFonts w:ascii="Times New Roman" w:cs="Times New Roman" w:eastAsia="Times New Roman" w:hAnsi="Times New Roman"/>
          <w:sz w:val="12"/>
          <w:szCs w:val="12"/>
          <w:color w:val="auto"/>
        </w:rPr>
        <w:t>———————————————————————————————————————————————————————————————————————— 2100 ROSS AVENUE, SUITE 2200 • DALLAS, TEXAS 75201 • PH: 214-969-5401 • FAX: 214-969-5411 info@nsai-petro.com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1301 MCKINNEY STREET, SUITE 3200 • HOUSTON, TEXAS 77010 • PH: 713-654-4905 • FAX: 713-654-4951 netherlandsewell.com</w:t>
      </w:r>
    </w:p>
    <w:p>
      <w:pPr>
        <w:sectPr>
          <w:pgSz w:w="11900" w:h="16838" w:orient="portrait"/>
          <w:cols w:equalWidth="0" w:num="1">
            <w:col w:w="11240"/>
          </w:cols>
          <w:pgMar w:left="320" w:top="108" w:right="339" w:bottom="1440" w:gutter="0" w:footer="0" w:header="0"/>
        </w:sectPr>
      </w:pPr>
    </w:p>
    <w:bookmarkStart w:id="207" w:name="page208"/>
    <w:bookmarkEnd w:id="207"/>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2926715" cy="5257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2926715" cy="525780"/>
                    </a:xfrm>
                    <a:prstGeom prst="rect">
                      <a:avLst/>
                    </a:prstGeom>
                    <a:noFill/>
                  </pic:spPr>
                </pic:pic>
              </a:graphicData>
            </a:graphic>
          </wp:anchor>
        </w:drawing>
        <w:t>promulgated by the Society of Petroleum Engineers (SPE Standards). Additionally, these estimates are within the recommended 10 percent tolerance threshold set forth in the SPE Standards. We are satisfied with the methods and procedures used by Murphy E&amp;P in preparing the December 31, 2024, estimates of reserves, and we saw nothing of an unusual nature that would cause us to take exception with the estimates, in the aggregate, as prepared by Murphy E&amp;P.</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included herein have not been adjusted for risk. Murphy E&amp;P 's estimates do not include probable or possible reserves that may exist for these properties.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Oil, NGL, and gas prices were used only to confirm economic producibility and determine economic limits for the properties. Prices used by Murphy E&amp;P are based on the 12-month unweighted arithmetic average of the first-day-of-the-month price for each month in the period January through December 2024. For oil and NGL volumes, the average NYMEX West Texas Intermediate spot price of $75.48 per barrel is adjusted by field for quality and market differentials. For gas volumes, the average Henry Hub spot price of $2.13 per MMBTU is adjusted by field for energy content and market differentials. All prices are held constant throughout the lives of the properties. The average adjusted product prices weighted by production over the remaining lives of the properties are $76.05 per barrel of oil, $16.95 per barrel of NGL, and $2.32 per MCF of gas.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Costs were used only to confirm economic producibility and determine economic limits for the properties. Operating costs used by Murphy E&amp;P are based on historical operating expense records. These costs include the per-well overhead expenses allowed under joint operating agreements along with estimates of costs to be incurred at and below the district and field levels. Operating costs have been divided into field-level costs, per-well costs, and per-unit-of-production costs. Headquarters general and administrative overhead expenses of Murphy E&amp;P are included to the extent that they are covered under joint operating agreements for the operated properties. Capital costs used by Murphy E&amp;P are based on authorizations for expenditure and actual costs from recent activity. Capital costs are included as required for workovers, new development wells, and production equipment. Abandonment costs used are Murphy E&amp;P's estimates of the costs to abandon the wells, platforms, and production facilities, net of any salvage value. Operating, capital, and abandonment costs are not escalated for inflation.</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Murphy E&amp;P and NSAI are based on certain assumptions including, but not limited to, that the properties will be developed consistent with current development plans as provided to us by Murphy E&amp;P,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Murphy E&amp;P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w:t>
      </w:r>
    </w:p>
    <w:p>
      <w:pPr>
        <w:sectPr>
          <w:pgSz w:w="11900" w:h="16838" w:orient="portrait"/>
          <w:cols w:equalWidth="0" w:num="1">
            <w:col w:w="11240"/>
          </w:cols>
          <w:pgMar w:left="320" w:top="1405" w:right="339" w:bottom="1440" w:gutter="0" w:footer="0" w:header="0"/>
        </w:sectPr>
      </w:pPr>
    </w:p>
    <w:bookmarkStart w:id="208" w:name="page209"/>
    <w:bookmarkEnd w:id="208"/>
    <w:p>
      <w:pPr>
        <w:jc w:val="both"/>
        <w:spacing w:after="0" w:line="27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2926715" cy="5257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2926715" cy="525780"/>
                    </a:xfrm>
                    <a:prstGeom prst="rect">
                      <a:avLst/>
                    </a:prstGeom>
                    <a:noFill/>
                  </pic:spPr>
                </pic:pic>
              </a:graphicData>
            </a:graphic>
          </wp:anchor>
        </w:drawing>
        <w:t>or had independently verified such information or data. Our audit did not include a review of Murphy E&amp;P's overall reserves management processes and practices.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analogy, and reservoir modeling,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Supporting data documenting this audit, along with data provided by Murphy E&amp;P and Murphy Oil, are on file in our office. The technical persons primarily responsible for conducting this audit meet the requirements regarding qualifications, independence, objectivity, and confidentiality set forth in the SPE Standards. John R. Cliver, a Licensed Professional Engineer in the State of Texas, has been practicing consulting petroleum engineering at NSAI since 2009 and has over 5 years of prior industry experience. Zachary R. Long, a Licensed Professional Geoscientist in the State of Texas, has been practicing consulting petroleum geoscience at NSAI since 2007 and has over 2 years of prior industry experience. We are independent petroleum engineers, geologists, geophysicists, and petrophysicists; we do not own an interest in these properties nor are we employed on a contingent basis.</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Sincerely,</w:t>
      </w:r>
    </w:p>
    <w:p>
      <w:pPr>
        <w:spacing w:after="0" w:line="2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Richard B. Talley, Jr.</w:t>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ind w:left="4500"/>
        <w:spacing w:after="0" w:line="232" w:lineRule="auto"/>
        <w:rPr>
          <w:sz w:val="20"/>
          <w:szCs w:val="20"/>
          <w:color w:val="auto"/>
        </w:rPr>
      </w:pPr>
      <w:r>
        <w:rPr>
          <w:rFonts w:ascii="Arial" w:cs="Arial" w:eastAsia="Arial" w:hAnsi="Arial"/>
          <w:sz w:val="18"/>
          <w:szCs w:val="18"/>
          <w:color w:val="auto"/>
        </w:rPr>
        <w:t>Richard B. Talley, Jr., P.E.</w:t>
      </w:r>
    </w:p>
    <w:p>
      <w:pPr>
        <w:ind w:left="45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John R. Cliver /s/ Zachary R. Long</w:t>
      </w:r>
    </w:p>
    <w:p>
      <w:pPr>
        <w:spacing w:after="0" w:line="232" w:lineRule="auto"/>
        <w:rPr>
          <w:sz w:val="20"/>
          <w:szCs w:val="20"/>
          <w:color w:val="auto"/>
        </w:rPr>
      </w:pPr>
      <w:r>
        <w:rPr>
          <w:rFonts w:ascii="Arial" w:cs="Arial" w:eastAsia="Arial" w:hAnsi="Arial"/>
          <w:sz w:val="18"/>
          <w:szCs w:val="18"/>
          <w:color w:val="auto"/>
        </w:rPr>
        <w:t>By: By:</w:t>
      </w:r>
    </w:p>
    <w:p>
      <w:pPr>
        <w:spacing w:after="0" w:line="232" w:lineRule="auto"/>
        <w:rPr>
          <w:sz w:val="20"/>
          <w:szCs w:val="20"/>
          <w:color w:val="auto"/>
        </w:rPr>
      </w:pPr>
      <w:r>
        <w:rPr>
          <w:rFonts w:ascii="Arial" w:cs="Arial" w:eastAsia="Arial" w:hAnsi="Arial"/>
          <w:sz w:val="18"/>
          <w:szCs w:val="18"/>
          <w:color w:val="auto"/>
        </w:rPr>
        <w:t>John R. Cliver, P.E. 107216 Zachary R. Long, P.G. 11792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Vice President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 Signed: February 11, 2025 Date Signed: February 11, 2025</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JRC:RS</w:t>
      </w:r>
    </w:p>
    <w:sectPr>
      <w:pgSz w:w="11900" w:h="16838" w:orient="portrait"/>
      <w:cols w:equalWidth="0" w:num="1">
        <w:col w:w="11240"/>
      </w:cols>
      <w:pgMar w:left="320" w:top="14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bullet"/>
      <w:start w:val="1"/>
    </w:lvl>
  </w:abstractNum>
  <w:abstractNum w:abstractNumId="1">
    <w:nsid w:val="374A3FE6"/>
    <w:multiLevelType w:val="hybridMultilevel"/>
    <w:lvl w:ilvl="0">
      <w:lvlJc w:val="left"/>
      <w:lvlText w:val="2"/>
      <w:numFmt w:val="bullet"/>
      <w:start w:val="1"/>
    </w:lvl>
  </w:abstractNum>
  <w:abstractNum w:abstractNumId="2">
    <w:nsid w:val="4F4EF005"/>
    <w:multiLevelType w:val="hybridMultilevel"/>
    <w:lvl w:ilvl="0">
      <w:lvlJc w:val="left"/>
      <w:lvlText w:val="3"/>
      <w:numFmt w:val="bullet"/>
      <w:start w:val="1"/>
    </w:lvl>
  </w:abstractNum>
  <w:abstractNum w:abstractNumId="3">
    <w:nsid w:val="23F9C13C"/>
    <w:multiLevelType w:val="hybridMultilevel"/>
    <w:lvl w:ilvl="0">
      <w:lvlJc w:val="left"/>
      <w:lvlText w:val="4"/>
      <w:numFmt w:val="bullet"/>
      <w:start w:val="1"/>
    </w:lvl>
  </w:abstractNum>
  <w:abstractNum w:abstractNumId="4">
    <w:nsid w:val="649BB77C"/>
    <w:multiLevelType w:val="hybridMultilevel"/>
    <w:lvl w:ilvl="0">
      <w:lvlJc w:val="left"/>
      <w:lvlText w:val="1"/>
      <w:numFmt w:val="bullet"/>
      <w:start w:val="1"/>
    </w:lvl>
  </w:abstractNum>
  <w:abstractNum w:abstractNumId="5">
    <w:nsid w:val="275AC794"/>
    <w:multiLevelType w:val="hybridMultilevel"/>
    <w:lvl w:ilvl="0">
      <w:lvlJc w:val="left"/>
      <w:lvlText w:val="2"/>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1"/>
      <w:numFmt w:val="bullet"/>
      <w:start w:val="1"/>
    </w:lvl>
  </w:abstractNum>
  <w:abstractNum w:abstractNumId="15">
    <w:nsid w:val="10233C99"/>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6">
    <w:nsid w:val="3F6AB60F"/>
    <w:multiLevelType w:val="hybridMultilevel"/>
    <w:lvl w:ilvl="0">
      <w:lvlJc w:val="left"/>
      <w:lvlText w:val="1"/>
      <w:numFmt w:val="bullet"/>
      <w:start w:val="1"/>
    </w:lvl>
  </w:abstractNum>
  <w:abstractNum w:abstractNumId="17">
    <w:nsid w:val="61574095"/>
    <w:multiLevelType w:val="hybridMultilevel"/>
    <w:lvl w:ilvl="0">
      <w:lvlJc w:val="left"/>
      <w:lvlText w:val="1"/>
      <w:numFmt w:val="bullet"/>
      <w:start w:val="1"/>
    </w:lvl>
  </w:abstractNum>
  <w:abstractNum w:abstractNumId="18">
    <w:nsid w:val="7E0C57B1"/>
    <w:multiLevelType w:val="hybridMultilevel"/>
    <w:lvl w:ilvl="0">
      <w:lvlJc w:val="left"/>
      <w:lvlText w:val="1"/>
      <w:numFmt w:val="bullet"/>
      <w:start w:val="1"/>
    </w:lvl>
  </w:abstractNum>
  <w:abstractNum w:abstractNumId="19">
    <w:nsid w:val="77AE35EB"/>
    <w:multiLevelType w:val="hybridMultilevel"/>
    <w:lvl w:ilvl="0">
      <w:lvlJc w:val="left"/>
      <w:lvlText w:val="1"/>
      <w:numFmt w:val="bullet"/>
      <w:start w:val="1"/>
    </w:lvl>
  </w:abstractNum>
  <w:abstractNum w:abstractNumId="20">
    <w:nsid w:val="579BE4F1"/>
    <w:multiLevelType w:val="hybridMultilevel"/>
    <w:lvl w:ilvl="0">
      <w:lvlJc w:val="left"/>
      <w:lvlText w:val="1"/>
      <w:numFmt w:val="bullet"/>
      <w:start w:val="1"/>
    </w:lvl>
  </w:abstractNum>
  <w:abstractNum w:abstractNumId="21">
    <w:nsid w:val="310C50B3"/>
    <w:multiLevelType w:val="hybridMultilevel"/>
    <w:lvl w:ilvl="0">
      <w:lvlJc w:val="left"/>
      <w:lvlText w:val="%1)"/>
      <w:numFmt w:val="decimal"/>
      <w:start w:val="40"/>
    </w:lvl>
  </w:abstractNum>
  <w:abstractNum w:abstractNumId="22">
    <w:nsid w:val="5FF87E05"/>
    <w:multiLevelType w:val="hybridMultilevel"/>
    <w:lvl w:ilvl="0">
      <w:lvlJc w:val="left"/>
      <w:lvlText w:val="1"/>
      <w:numFmt w:val="bullet"/>
      <w:start w:val="1"/>
    </w:lvl>
  </w:abstractNum>
  <w:abstractNum w:abstractNumId="23">
    <w:nsid w:val="2F305DEF"/>
    <w:multiLevelType w:val="hybridMultilevel"/>
    <w:lvl w:ilvl="0">
      <w:lvlJc w:val="left"/>
      <w:lvlText w:val="1"/>
      <w:numFmt w:val="bullet"/>
      <w:start w:val="1"/>
    </w:lvl>
  </w:abstractNum>
  <w:abstractNum w:abstractNumId="24">
    <w:nsid w:val="25A70BF7"/>
    <w:multiLevelType w:val="hybridMultilevel"/>
    <w:lvl w:ilvl="0">
      <w:lvlJc w:val="left"/>
      <w:lvlText w:val="1"/>
      <w:numFmt w:val="bullet"/>
      <w:start w:val="1"/>
    </w:lvl>
  </w:abstractNum>
  <w:abstractNum w:abstractNumId="25">
    <w:nsid w:val="1DBABF00"/>
    <w:multiLevelType w:val="hybridMultilevel"/>
    <w:lvl w:ilvl="0">
      <w:lvlJc w:val="left"/>
      <w:lvlText w:val="2"/>
      <w:numFmt w:val="bullet"/>
      <w:start w:val="1"/>
    </w:lvl>
  </w:abstractNum>
  <w:abstractNum w:abstractNumId="26">
    <w:nsid w:val="4AD084E9"/>
    <w:multiLevelType w:val="hybridMultilevel"/>
    <w:lvl w:ilvl="0">
      <w:lvlJc w:val="left"/>
      <w:lvlText w:val="(%1)"/>
      <w:numFmt w:val="lowerLetter"/>
      <w:start w:val="1"/>
    </w:lvl>
  </w:abstractNum>
  <w:abstractNum w:abstractNumId="27">
    <w:nsid w:val="1F48EAA1"/>
    <w:multiLevelType w:val="hybridMultilevel"/>
    <w:lvl w:ilvl="0">
      <w:lvlJc w:val="left"/>
      <w:lvlText w:val="%1."/>
      <w:numFmt w:val="decimal"/>
      <w:start w:val="2"/>
    </w:lvl>
  </w:abstractNum>
  <w:abstractNum w:abstractNumId="28">
    <w:nsid w:val="1381823A"/>
    <w:multiLevelType w:val="hybridMultilevel"/>
    <w:lvl w:ilvl="0">
      <w:lvlJc w:val="left"/>
      <w:lvlText w:val="%1."/>
      <w:numFmt w:val="decimal"/>
      <w:start w:val="3"/>
    </w:lvl>
  </w:abstractNum>
  <w:abstractNum w:abstractNumId="29">
    <w:nsid w:val="5DB70AE5"/>
    <w:multiLevelType w:val="hybridMultilevel"/>
    <w:lvl w:ilvl="0">
      <w:lvlJc w:val="left"/>
      <w:lvlText w:val="1"/>
      <w:numFmt w:val="bullet"/>
      <w:start w:val="1"/>
    </w:lvl>
  </w:abstractNum>
  <w:abstractNum w:abstractNumId="30">
    <w:nsid w:val="100F8FCA"/>
    <w:multiLevelType w:val="hybridMultilevel"/>
    <w:lvl w:ilvl="0">
      <w:lvlJc w:val="left"/>
      <w:lvlText w:val="2"/>
      <w:numFmt w:val="bullet"/>
      <w:start w:val="1"/>
    </w:lvl>
  </w:abstractNum>
  <w:abstractNum w:abstractNumId="31">
    <w:nsid w:val="6590700B"/>
    <w:multiLevelType w:val="hybridMultilevel"/>
    <w:lvl w:ilvl="0">
      <w:lvlJc w:val="left"/>
      <w:lvlText w:val="2"/>
      <w:numFmt w:val="bullet"/>
      <w:start w:val="1"/>
    </w:lvl>
  </w:abstractNum>
  <w:abstractNum w:abstractNumId="32">
    <w:nsid w:val="15014ACB"/>
    <w:multiLevelType w:val="hybridMultilevel"/>
    <w:lvl w:ilvl="0">
      <w:lvlJc w:val="left"/>
      <w:lvlText w:val="1"/>
      <w:numFmt w:val="bullet"/>
      <w:start w:val="1"/>
    </w:lvl>
  </w:abstractNum>
  <w:abstractNum w:abstractNumId="33">
    <w:nsid w:val="5F5E7FD0"/>
    <w:multiLevelType w:val="hybridMultilevel"/>
    <w:lvl w:ilvl="0">
      <w:lvlJc w:val="left"/>
      <w:lvlText w:val="1"/>
      <w:numFmt w:val="bullet"/>
      <w:start w:val="1"/>
    </w:lvl>
  </w:abstractNum>
  <w:abstractNum w:abstractNumId="34">
    <w:nsid w:val="98A3148"/>
    <w:multiLevelType w:val="hybridMultilevel"/>
    <w:lvl w:ilvl="0">
      <w:lvlJc w:val="left"/>
      <w:lvlText w:val="2"/>
      <w:numFmt w:val="bullet"/>
      <w:start w:val="1"/>
    </w:lvl>
  </w:abstractNum>
  <w:abstractNum w:abstractNumId="35">
    <w:nsid w:val="799D0247"/>
    <w:multiLevelType w:val="hybridMultilevel"/>
    <w:lvl w:ilvl="0">
      <w:lvlJc w:val="left"/>
      <w:lvlText w:val="1"/>
      <w:numFmt w:val="bullet"/>
      <w:start w:val="1"/>
    </w:lvl>
  </w:abstractNum>
  <w:abstractNum w:abstractNumId="36">
    <w:nsid w:val="6B94764"/>
    <w:multiLevelType w:val="hybridMultilevel"/>
    <w:lvl w:ilvl="0">
      <w:lvlJc w:val="left"/>
      <w:lvlText w:val="2"/>
      <w:numFmt w:val="bullet"/>
      <w:start w:val="1"/>
    </w:lvl>
  </w:abstractNum>
  <w:abstractNum w:abstractNumId="37">
    <w:nsid w:val="42C296BD"/>
    <w:multiLevelType w:val="hybridMultilevel"/>
    <w:lvl w:ilvl="0">
      <w:lvlJc w:val="left"/>
      <w:lvlText w:val="1"/>
      <w:numFmt w:val="bullet"/>
      <w:start w:val="1"/>
    </w:lvl>
  </w:abstractNum>
  <w:abstractNum w:abstractNumId="38">
    <w:nsid w:val="168E121F"/>
    <w:multiLevelType w:val="hybridMultilevel"/>
    <w:lvl w:ilvl="0">
      <w:lvlJc w:val="left"/>
      <w:lvlText w:val="1"/>
      <w:numFmt w:val="bullet"/>
      <w:start w:val="1"/>
    </w:lvl>
  </w:abstractNum>
  <w:abstractNum w:abstractNumId="39">
    <w:nsid w:val="1EBA5D23"/>
    <w:multiLevelType w:val="hybridMultilevel"/>
    <w:lvl w:ilvl="0">
      <w:lvlJc w:val="left"/>
      <w:lvlText w:val="1"/>
      <w:numFmt w:val="bullet"/>
      <w:start w:val="1"/>
    </w:lvl>
  </w:abstractNum>
  <w:abstractNum w:abstractNumId="40">
    <w:nsid w:val="661E3F1E"/>
    <w:multiLevelType w:val="hybridMultilevel"/>
    <w:lvl w:ilvl="0">
      <w:lvlJc w:val="left"/>
      <w:lvlText w:val="1"/>
      <w:numFmt w:val="bullet"/>
      <w:start w:val="1"/>
    </w:lvl>
  </w:abstractNum>
  <w:abstractNum w:abstractNumId="41">
    <w:nsid w:val="5DC79EA8"/>
    <w:multiLevelType w:val="hybridMultilevel"/>
    <w:lvl w:ilvl="0">
      <w:lvlJc w:val="left"/>
      <w:lvlText w:val="1"/>
      <w:numFmt w:val="bullet"/>
      <w:start w:val="1"/>
    </w:lvl>
  </w:abstractNum>
  <w:abstractNum w:abstractNumId="42">
    <w:nsid w:val="540A471C"/>
    <w:multiLevelType w:val="hybridMultilevel"/>
    <w:lvl w:ilvl="0">
      <w:lvlJc w:val="left"/>
      <w:lvlText w:val="1"/>
      <w:numFmt w:val="bullet"/>
      <w:start w:val="1"/>
    </w:lvl>
  </w:abstractNum>
  <w:abstractNum w:abstractNumId="43">
    <w:nsid w:val="7BD3EE7B"/>
    <w:multiLevelType w:val="hybridMultilevel"/>
    <w:lvl w:ilvl="0">
      <w:lvlJc w:val="left"/>
      <w:lvlText w:val="1"/>
      <w:numFmt w:val="bullet"/>
      <w:start w:val="1"/>
    </w:lvl>
  </w:abstractNum>
  <w:abstractNum w:abstractNumId="44">
    <w:nsid w:val="51D9C564"/>
    <w:multiLevelType w:val="hybridMultilevel"/>
    <w:lvl w:ilvl="0">
      <w:lvlJc w:val="left"/>
      <w:lvlText w:val="1"/>
      <w:numFmt w:val="bullet"/>
      <w:start w:val="1"/>
    </w:lvl>
  </w:abstractNum>
  <w:abstractNum w:abstractNumId="45">
    <w:nsid w:val="613EFDC5"/>
    <w:multiLevelType w:val="hybridMultilevel"/>
    <w:lvl w:ilvl="0">
      <w:lvlJc w:val="left"/>
      <w:lvlText w:val="2"/>
      <w:numFmt w:val="bullet"/>
      <w:start w:val="1"/>
    </w:lvl>
  </w:abstractNum>
  <w:abstractNum w:abstractNumId="46">
    <w:nsid w:val="BF72B14"/>
    <w:multiLevelType w:val="hybridMultilevel"/>
    <w:lvl w:ilvl="0">
      <w:lvlJc w:val="left"/>
      <w:lvlText w:val="1"/>
      <w:numFmt w:val="bullet"/>
      <w:start w:val="1"/>
    </w:lvl>
  </w:abstractNum>
  <w:abstractNum w:abstractNumId="47">
    <w:nsid w:val="11447B73"/>
    <w:multiLevelType w:val="hybridMultilevel"/>
    <w:lvl w:ilvl="0">
      <w:lvlJc w:val="left"/>
      <w:lvlText w:val="1"/>
      <w:numFmt w:val="bullet"/>
      <w:start w:val="1"/>
    </w:lvl>
  </w:abstractNum>
  <w:abstractNum w:abstractNumId="48">
    <w:nsid w:val="42963E5A"/>
    <w:multiLevelType w:val="hybridMultilevel"/>
    <w:lvl w:ilvl="0">
      <w:lvlJc w:val="left"/>
      <w:lvlText w:val="2"/>
      <w:numFmt w:val="bullet"/>
      <w:start w:val="1"/>
    </w:lvl>
  </w:abstractNum>
  <w:abstractNum w:abstractNumId="49">
    <w:nsid w:val="A0382C5"/>
    <w:multiLevelType w:val="hybridMultilevel"/>
    <w:lvl w:ilvl="0">
      <w:lvlJc w:val="left"/>
      <w:lvlText w:val="3"/>
      <w:numFmt w:val="bullet"/>
      <w:start w:val="1"/>
    </w:lvl>
  </w:abstractNum>
  <w:abstractNum w:abstractNumId="50">
    <w:nsid w:val="8F2B15E"/>
    <w:multiLevelType w:val="hybridMultilevel"/>
    <w:lvl w:ilvl="0">
      <w:lvlJc w:val="left"/>
      <w:lvlText w:val="4"/>
      <w:numFmt w:val="bullet"/>
      <w:start w:val="1"/>
    </w:lvl>
  </w:abstractNum>
  <w:abstractNum w:abstractNumId="51">
    <w:nsid w:val="1A32234B"/>
    <w:multiLevelType w:val="hybridMultilevel"/>
    <w:lvl w:ilvl="0">
      <w:lvlJc w:val="left"/>
      <w:lvlText w:val="1"/>
      <w:numFmt w:val="bullet"/>
      <w:start w:val="1"/>
    </w:lvl>
  </w:abstractNum>
  <w:abstractNum w:abstractNumId="52">
    <w:nsid w:val="3B0FD379"/>
    <w:multiLevelType w:val="hybridMultilevel"/>
    <w:lvl w:ilvl="0">
      <w:lvlJc w:val="left"/>
      <w:lvlText w:val="2"/>
      <w:numFmt w:val="bullet"/>
      <w:start w:val="1"/>
    </w:lvl>
  </w:abstractNum>
  <w:abstractNum w:abstractNumId="53">
    <w:nsid w:val="68EB2F63"/>
    <w:multiLevelType w:val="hybridMultilevel"/>
    <w:lvl w:ilvl="0">
      <w:lvlJc w:val="left"/>
      <w:lvlText w:val="1"/>
      <w:numFmt w:val="bullet"/>
      <w:start w:val="1"/>
    </w:lvl>
  </w:abstractNum>
  <w:abstractNum w:abstractNumId="54">
    <w:nsid w:val="4962813B"/>
    <w:multiLevelType w:val="hybridMultilevel"/>
    <w:lvl w:ilvl="0">
      <w:lvlJc w:val="left"/>
      <w:lvlText w:val="2"/>
      <w:numFmt w:val="bullet"/>
      <w:start w:val="1"/>
    </w:lvl>
  </w:abstractNum>
  <w:abstractNum w:abstractNumId="55">
    <w:nsid w:val="60B6DF70"/>
    <w:multiLevelType w:val="hybridMultilevel"/>
    <w:lvl w:ilvl="0">
      <w:lvlJc w:val="left"/>
      <w:lvlText w:val="3"/>
      <w:numFmt w:val="bullet"/>
      <w:start w:val="1"/>
    </w:lvl>
  </w:abstractNum>
  <w:abstractNum w:abstractNumId="56">
    <w:nsid w:val="6A5EE64"/>
    <w:multiLevelType w:val="hybridMultilevel"/>
    <w:lvl w:ilvl="0">
      <w:lvlJc w:val="left"/>
      <w:lvlText w:val="1"/>
      <w:numFmt w:val="bullet"/>
      <w:start w:val="1"/>
    </w:lvl>
  </w:abstractNum>
  <w:abstractNum w:abstractNumId="57">
    <w:nsid w:val="14330624"/>
    <w:multiLevelType w:val="hybridMultilevel"/>
    <w:lvl w:ilvl="0">
      <w:lvlJc w:val="left"/>
      <w:lvlText w:val="2"/>
      <w:numFmt w:val="bullet"/>
      <w:start w:val="1"/>
    </w:lvl>
  </w:abstractNum>
  <w:abstractNum w:abstractNumId="58">
    <w:nsid w:val="7FFFCA11"/>
    <w:multiLevelType w:val="hybridMultilevel"/>
    <w:lvl w:ilvl="0">
      <w:lvlJc w:val="left"/>
      <w:lvlText w:val="3"/>
      <w:numFmt w:val="bullet"/>
      <w:start w:val="1"/>
    </w:lvl>
  </w:abstractNum>
  <w:abstractNum w:abstractNumId="59">
    <w:nsid w:val="1A27709E"/>
    <w:multiLevelType w:val="hybridMultilevel"/>
    <w:lvl w:ilvl="0">
      <w:lvlJc w:val="left"/>
      <w:lvlText w:val="4"/>
      <w:numFmt w:val="bullet"/>
      <w:start w:val="1"/>
    </w:lvl>
  </w:abstractNum>
  <w:abstractNum w:abstractNumId="60">
    <w:nsid w:val="71EA1109"/>
    <w:multiLevelType w:val="hybridMultilevel"/>
    <w:lvl w:ilvl="0">
      <w:lvlJc w:val="left"/>
      <w:lvlText w:val="5"/>
      <w:numFmt w:val="bullet"/>
      <w:start w:val="1"/>
    </w:lvl>
  </w:abstractNum>
  <w:abstractNum w:abstractNumId="61">
    <w:nsid w:val="100F59DC"/>
    <w:multiLevelType w:val="hybridMultilevel"/>
    <w:lvl w:ilvl="0">
      <w:lvlJc w:val="left"/>
      <w:lvlText w:val="1"/>
      <w:numFmt w:val="bullet"/>
      <w:start w:val="1"/>
    </w:lvl>
  </w:abstractNum>
  <w:abstractNum w:abstractNumId="62">
    <w:nsid w:val="7FB7E0AA"/>
    <w:multiLevelType w:val="hybridMultilevel"/>
    <w:lvl w:ilvl="0">
      <w:lvlJc w:val="left"/>
      <w:lvlText w:val="1"/>
      <w:numFmt w:val="bullet"/>
      <w:start w:val="1"/>
    </w:lvl>
  </w:abstractNum>
  <w:abstractNum w:abstractNumId="63">
    <w:nsid w:val="6EB5BD4"/>
    <w:multiLevelType w:val="hybridMultilevel"/>
    <w:lvl w:ilvl="0">
      <w:lvlJc w:val="left"/>
      <w:lvlText w:val="1"/>
      <w:numFmt w:val="bullet"/>
      <w:start w:val="1"/>
    </w:lvl>
  </w:abstractNum>
  <w:abstractNum w:abstractNumId="64">
    <w:nsid w:val="6F6DD9AC"/>
    <w:multiLevelType w:val="hybridMultilevel"/>
    <w:lvl w:ilvl="0">
      <w:lvlJc w:val="left"/>
      <w:lvlText w:val="2"/>
      <w:numFmt w:val="bullet"/>
      <w:start w:val="1"/>
    </w:lvl>
  </w:abstractNum>
  <w:abstractNum w:abstractNumId="65">
    <w:nsid w:val="94211F2"/>
    <w:multiLevelType w:val="hybridMultilevel"/>
    <w:lvl w:ilvl="0">
      <w:lvlJc w:val="left"/>
      <w:lvlText w:val="1"/>
      <w:numFmt w:val="bullet"/>
      <w:start w:val="1"/>
    </w:lvl>
  </w:abstractNum>
  <w:abstractNum w:abstractNumId="66">
    <w:nsid w:val="885E1B"/>
    <w:multiLevelType w:val="hybridMultilevel"/>
    <w:lvl w:ilvl="0">
      <w:lvlJc w:val="left"/>
      <w:lvlText w:val="2"/>
      <w:numFmt w:val="bullet"/>
      <w:start w:val="1"/>
    </w:lvl>
  </w:abstractNum>
  <w:abstractNum w:abstractNumId="67">
    <w:nsid w:val="76272110"/>
    <w:multiLevelType w:val="hybridMultilevel"/>
    <w:lvl w:ilvl="0">
      <w:lvlJc w:val="left"/>
      <w:lvlText w:val="1"/>
      <w:numFmt w:val="bullet"/>
      <w:start w:val="1"/>
    </w:lvl>
  </w:abstractNum>
  <w:abstractNum w:abstractNumId="68">
    <w:nsid w:val="4C04A8AF"/>
    <w:multiLevelType w:val="hybridMultilevel"/>
    <w:lvl w:ilvl="0">
      <w:lvlJc w:val="left"/>
      <w:lvlText w:val="1"/>
      <w:numFmt w:val="bullet"/>
      <w:start w:val="1"/>
    </w:lvl>
  </w:abstractNum>
  <w:abstractNum w:abstractNumId="69">
    <w:nsid w:val="1716703B"/>
    <w:multiLevelType w:val="hybridMultilevel"/>
    <w:lvl w:ilvl="0">
      <w:lvlJc w:val="left"/>
      <w:lvlText w:val="2"/>
      <w:numFmt w:val="bullet"/>
      <w:start w:val="1"/>
    </w:lvl>
  </w:abstractNum>
  <w:abstractNum w:abstractNumId="70">
    <w:nsid w:val="14E17E33"/>
    <w:multiLevelType w:val="hybridMultilevel"/>
    <w:lvl w:ilvl="0">
      <w:lvlJc w:val="left"/>
      <w:lvlText w:val="%1"/>
      <w:numFmt w:val="lowerRoman"/>
      <w:start w:val="1"/>
    </w:lvl>
    <w:lvl w:ilvl="1">
      <w:lvlJc w:val="left"/>
      <w:lvlText w:val="%2."/>
      <w:numFmt w:val="decimal"/>
      <w:start w:val="1"/>
    </w:lvl>
  </w:abstractNum>
  <w:abstractNum w:abstractNumId="71">
    <w:nsid w:val="3222E7CD"/>
    <w:multiLevelType w:val="hybridMultilevel"/>
    <w:lvl w:ilvl="0">
      <w:lvlJc w:val="left"/>
      <w:lvlText w:val="(%1)"/>
      <w:numFmt w:val="lowerRoman"/>
      <w:start w:val="1"/>
    </w:lvl>
    <w:lvl w:ilvl="1">
      <w:lvlJc w:val="left"/>
      <w:lvlText w:val="%2."/>
      <w:numFmt w:val="decimal"/>
      <w:start w:val="2"/>
    </w:lvl>
  </w:abstractNum>
  <w:abstractNum w:abstractNumId="72">
    <w:nsid w:val="74DE0EE3"/>
    <w:multiLevelType w:val="hybridMultilevel"/>
    <w:lvl w:ilvl="0">
      <w:lvlJc w:val="left"/>
      <w:lvlText w:val="(%1)"/>
      <w:numFmt w:val="lowerLetter"/>
      <w:start w:val="1"/>
    </w:lvl>
    <w:lvl w:ilvl="1">
      <w:lvlJc w:val="left"/>
      <w:lvlText w:val="(%2)"/>
      <w:numFmt w:val="lowerRoman"/>
      <w:start w:val="1"/>
    </w:lvl>
  </w:abstractNum>
  <w:abstractNum w:abstractNumId="73">
    <w:nsid w:val="68EBC550"/>
    <w:multiLevelType w:val="hybridMultilevel"/>
    <w:lvl w:ilvl="0">
      <w:lvlJc w:val="left"/>
      <w:lvlText w:val="1"/>
      <w:numFmt w:val="bullet"/>
      <w:start w:val="1"/>
    </w:lvl>
  </w:abstractNum>
  <w:abstractNum w:abstractNumId="74">
    <w:nsid w:val="2DF6D648"/>
    <w:multiLevelType w:val="hybridMultilevel"/>
    <w:lvl w:ilvl="0">
      <w:lvlJc w:val="left"/>
      <w:lvlText w:val="2"/>
      <w:numFmt w:val="bullet"/>
      <w:start w:val="1"/>
    </w:lvl>
  </w:abstractNum>
  <w:abstractNum w:abstractNumId="75">
    <w:nsid w:val="46B7D447"/>
    <w:multiLevelType w:val="hybridMultilevel"/>
    <w:lvl w:ilvl="0">
      <w:lvlJc w:val="left"/>
      <w:lvlText w:val="(%1)"/>
      <w:numFmt w:val="lowerLetter"/>
      <w:start w:val="3"/>
    </w:lvl>
  </w:abstractNum>
  <w:abstractNum w:abstractNumId="76">
    <w:nsid w:val="4A2AC315"/>
    <w:multiLevelType w:val="hybridMultilevel"/>
    <w:lvl w:ilvl="0">
      <w:lvlJc w:val="left"/>
      <w:lvlText w:val="(%1)"/>
      <w:numFmt w:val="lowerLetter"/>
      <w:start w:val="6"/>
    </w:lvl>
    <w:lvl w:ilvl="1">
      <w:lvlJc w:val="left"/>
      <w:lvlText w:val="(%2)"/>
      <w:numFmt w:val="lowerRoman"/>
      <w:start w:val="2"/>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2"/>
    </w:lvl>
  </w:abstractNum>
  <w:abstractNum w:abstractNumId="79">
    <w:nsid w:val="CC1016F"/>
    <w:multiLevelType w:val="hybridMultilevel"/>
    <w:lvl w:ilvl="0">
      <w:lvlJc w:val="left"/>
      <w:lvlText w:val="%1."/>
      <w:numFmt w:val="decimal"/>
      <w:start w:val="3"/>
    </w:lvl>
    <w:lvl w:ilvl="1">
      <w:lvlJc w:val="left"/>
      <w:lvlText w:val="(%2)"/>
      <w:numFmt w:val="lowerLetter"/>
      <w:start w:val="1"/>
    </w:lvl>
  </w:abstractNum>
  <w:abstractNum w:abstractNumId="80">
    <w:nsid w:val="43F18422"/>
    <w:multiLevelType w:val="hybridMultilevel"/>
    <w:lvl w:ilvl="0">
      <w:lvlJc w:val="left"/>
      <w:lvlText w:val="(%1)"/>
      <w:numFmt w:val="lowerLetter"/>
      <w:start w:val="2"/>
    </w:lvl>
  </w:abstractNum>
  <w:abstractNum w:abstractNumId="81">
    <w:nsid w:val="60EF0119"/>
    <w:multiLevelType w:val="hybridMultilevel"/>
    <w:lvl w:ilvl="0">
      <w:lvlJc w:val="left"/>
      <w:lvlText w:val="%1."/>
      <w:numFmt w:val="decimal"/>
      <w:start w:val="5"/>
    </w:lvl>
    <w:lvl w:ilvl="1">
      <w:lvlJc w:val="left"/>
      <w:lvlText w:val="(%2)"/>
      <w:numFmt w:val="lowerLetter"/>
      <w:start w:val="1"/>
    </w:lvl>
  </w:abstractNum>
  <w:abstractNum w:abstractNumId="82">
    <w:nsid w:val="26F324BA"/>
    <w:multiLevelType w:val="hybridMultilevel"/>
    <w:lvl w:ilvl="0">
      <w:lvlJc w:val="left"/>
      <w:lvlText w:val="%1."/>
      <w:numFmt w:val="decimal"/>
      <w:start w:val="6"/>
    </w:lvl>
  </w:abstractNum>
  <w:abstractNum w:abstractNumId="83">
    <w:nsid w:val="7F01579B"/>
    <w:multiLevelType w:val="hybridMultilevel"/>
    <w:lvl w:ilvl="0">
      <w:lvlJc w:val="left"/>
      <w:lvlText w:val="%1."/>
      <w:numFmt w:val="decimal"/>
      <w:start w:val="9"/>
    </w:lvl>
    <w:lvl w:ilvl="1">
      <w:lvlJc w:val="left"/>
      <w:lvlText w:val="(%2)"/>
      <w:numFmt w:val="lowerLetter"/>
      <w:start w:val="1"/>
    </w:lvl>
  </w:abstractNum>
  <w:abstractNum w:abstractNumId="84">
    <w:nsid w:val="49DA307D"/>
    <w:multiLevelType w:val="hybridMultilevel"/>
    <w:lvl w:ilvl="0">
      <w:lvlJc w:val="left"/>
      <w:lvlText w:val="%1"/>
      <w:numFmt w:val="decimal"/>
      <w:start w:val="1"/>
    </w:lvl>
    <w:lvl w:ilvl="1">
      <w:lvlJc w:val="left"/>
      <w:lvlText w:val="(%2)"/>
      <w:numFmt w:val="lowerLetter"/>
      <w:start w:val="4"/>
    </w:lvl>
  </w:abstractNum>
  <w:abstractNum w:abstractNumId="85">
    <w:nsid w:val="7055A5F5"/>
    <w:multiLevelType w:val="hybridMultilevel"/>
    <w:lvl w:ilvl="0">
      <w:lvlJc w:val="left"/>
      <w:lvlText w:val="%1."/>
      <w:numFmt w:val="decimal"/>
      <w:start w:val="11"/>
    </w:lvl>
    <w:lvl w:ilvl="1">
      <w:lvlJc w:val="left"/>
      <w:lvlText w:val="%2"/>
      <w:numFmt w:val="lowerLetter"/>
      <w:start w:val="1"/>
    </w:lvl>
  </w:abstractNum>
  <w:abstractNum w:abstractNumId="86">
    <w:nsid w:val="5FB8370B"/>
    <w:multiLevelType w:val="hybridMultilevel"/>
    <w:lvl w:ilvl="0">
      <w:lvlJc w:val="left"/>
      <w:lvlText w:val="%1."/>
      <w:numFmt w:val="decimal"/>
      <w:start w:val="12"/>
    </w:lvl>
  </w:abstractNum>
  <w:abstractNum w:abstractNumId="87">
    <w:nsid w:val="50801EE1"/>
    <w:multiLevelType w:val="hybridMultilevel"/>
    <w:lvl w:ilvl="0">
      <w:lvlJc w:val="left"/>
      <w:lvlText w:val="%1."/>
      <w:numFmt w:val="decimal"/>
      <w:start w:val="16"/>
    </w:lvl>
  </w:abstractNum>
  <w:abstractNum w:abstractNumId="88">
    <w:nsid w:val="488AC1A"/>
    <w:multiLevelType w:val="hybridMultilevel"/>
    <w:lvl w:ilvl="0">
      <w:lvlJc w:val="left"/>
      <w:lvlText w:val="%1."/>
      <w:numFmt w:val="upperLetter"/>
      <w:start w:val="1"/>
    </w:lvl>
  </w:abstractNum>
  <w:abstractNum w:abstractNumId="89">
    <w:nsid w:val="5FB8011C"/>
    <w:multiLevelType w:val="hybridMultilevel"/>
    <w:lvl w:ilvl="0">
      <w:lvlJc w:val="left"/>
      <w:lvlText w:val="(%1)"/>
      <w:numFmt w:val="lowerLetter"/>
      <w:start w:val="1"/>
    </w:lvl>
  </w:abstractNum>
  <w:abstractNum w:abstractNumId="90">
    <w:nsid w:val="6AA78F7F"/>
    <w:multiLevelType w:val="hybridMultilevel"/>
    <w:lvl w:ilvl="0">
      <w:lvlJc w:val="left"/>
      <w:lvlText w:val="(%1)"/>
      <w:numFmt w:val="lowerLetter"/>
      <w:start w:val="2"/>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1."/>
      <w:numFmt w:val="decimal"/>
      <w:start w:val="1"/>
    </w:lvl>
    <w:lvl w:ilvl="1">
      <w:lvlJc w:val="left"/>
      <w:lvlText w:val="%2)"/>
      <w:numFmt w:val="lowerLetter"/>
      <w:start w:val="1"/>
    </w:lvl>
  </w:abstractNum>
  <w:abstractNum w:abstractNumId="96">
    <w:nsid w:val="73A1821B"/>
    <w:multiLevelType w:val="hybridMultilevel"/>
    <w:lvl w:ilvl="0">
      <w:lvlJc w:val="left"/>
      <w:lvlText w:val="%1."/>
      <w:numFmt w:val="decimal"/>
      <w:start w:val="1"/>
    </w:lvl>
    <w:lvl w:ilvl="1">
      <w:lvlJc w:val="left"/>
      <w:lvlText w:val="%2)"/>
      <w:numFmt w:val="lowerLetter"/>
      <w:start w:val="1"/>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1)"/>
      <w:numFmt w:val="lowerRoman"/>
      <w:start w:val="1"/>
    </w:lvl>
    <w:lvl w:ilvl="1">
      <w:lvlJc w:val="left"/>
      <w:lvlText w:val="(%2)"/>
      <w:numFmt w:val="upperLetter"/>
      <w:start w:val="1"/>
    </w:lvl>
  </w:abstractNum>
  <w:abstractNum w:abstractNumId="99">
    <w:nsid w:val="3FA62ACA"/>
    <w:multiLevelType w:val="hybridMultilevel"/>
    <w:lvl w:ilvl="0">
      <w:lvlJc w:val="left"/>
      <w:lvlText w:val="(%1)"/>
      <w:numFmt w:val="lowerRoman"/>
      <w:start w:val="4"/>
    </w:lvl>
    <w:lvl w:ilvl="1">
      <w:lvlJc w:val="left"/>
      <w:lvlText w:val="(%2)"/>
      <w:numFmt w:val="upperLetter"/>
      <w:start w:val="1"/>
    </w:lvl>
  </w:abstractNum>
  <w:abstractNum w:abstractNumId="100">
    <w:nsid w:val="14FCE74E"/>
    <w:multiLevelType w:val="hybridMultilevel"/>
    <w:lvl w:ilvl="0">
      <w:lvlJc w:val="left"/>
      <w:lvlText w:val="(%1)"/>
      <w:numFmt w:val="lowerRoman"/>
      <w:start w:val="1"/>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lowerRoman"/>
      <w:start w:val="1"/>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120" Type="http://schemas.openxmlformats.org/officeDocument/2006/relationships/image" Target="media/image69.png"/><Relationship Id="rId121" Type="http://schemas.openxmlformats.org/officeDocument/2006/relationships/image" Target="media/image70.png"/><Relationship Id="rId124" Type="http://schemas.openxmlformats.org/officeDocument/2006/relationships/image" Target="media/image71.png"/><Relationship Id="rId125" Type="http://schemas.openxmlformats.org/officeDocument/2006/relationships/image" Target="media/image72.png"/><Relationship Id="rId126"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32" Type="http://schemas.openxmlformats.org/officeDocument/2006/relationships/image" Target="media/image79.png"/><Relationship Id="rId133" Type="http://schemas.openxmlformats.org/officeDocument/2006/relationships/image" Target="media/image80.png"/><Relationship Id="rId13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jpe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jpeg"/><Relationship Id="rId271" Type="http://schemas.openxmlformats.org/officeDocument/2006/relationships/image" Target="media/image218.jpe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jpeg"/><Relationship Id="rId282" Type="http://schemas.openxmlformats.org/officeDocument/2006/relationships/image" Target="media/image229.jpeg"/><Relationship Id="rId283" Type="http://schemas.openxmlformats.org/officeDocument/2006/relationships/image" Target="media/image230.jpeg"/><Relationship Id="rId284" Type="http://schemas.openxmlformats.org/officeDocument/2006/relationships/image" Target="media/image231.jpeg"/><Relationship Id="rId285" Type="http://schemas.openxmlformats.org/officeDocument/2006/relationships/image" Target="media/image232.jpeg"/><Relationship Id="rId286" Type="http://schemas.openxmlformats.org/officeDocument/2006/relationships/image" Target="media/image233.jpeg"/><Relationship Id="rId287" Type="http://schemas.openxmlformats.org/officeDocument/2006/relationships/image" Target="media/image234.jpeg"/><Relationship Id="rId288" Type="http://schemas.openxmlformats.org/officeDocument/2006/relationships/image" Target="media/image235.jpeg"/><Relationship Id="rId289" Type="http://schemas.openxmlformats.org/officeDocument/2006/relationships/image" Target="media/image236.jpeg"/><Relationship Id="rId44" Type="http://schemas.openxmlformats.org/officeDocument/2006/relationships/hyperlink" Target="https://www.sec.gov/Archives/edgar/data/0000717423/000071742322000059/mur-2022q2xex991.htm" TargetMode="External"/><Relationship Id="rId45" Type="http://schemas.openxmlformats.org/officeDocument/2006/relationships/hyperlink" Target="https://www.sec.gov/ix?doc=/Archives/edgar/data/717423/000071742324000024/mur-20240808.htm" TargetMode="External"/><Relationship Id="rId73" Type="http://schemas.openxmlformats.org/officeDocument/2006/relationships/hyperlink" Target="https://www.sec.gov/Archives/edgar/data/717423/000071742324000008/mur-20231231xex1029.htm" TargetMode="External"/><Relationship Id="rId77" Type="http://schemas.openxmlformats.org/officeDocument/2006/relationships/hyperlink" Target="https://www.sec.gov/Archives/edgar/data/717423/000095010319007811/dp108029_ex0201.htm" TargetMode="External"/><Relationship Id="rId78" Type="http://schemas.openxmlformats.org/officeDocument/2006/relationships/hyperlink" Target="https://www.sec.gov/Archives/edgar/data/717423/000095010319007811/dp108029_ex0202.htm" TargetMode="External"/><Relationship Id="rId79" Type="http://schemas.openxmlformats.org/officeDocument/2006/relationships/hyperlink" Target="https://www.sec.gov/Archives/edgar/data/717423/000071742319000016/mur-20181231xex2_1.htm" TargetMode="External"/><Relationship Id="rId80" Type="http://schemas.openxmlformats.org/officeDocument/2006/relationships/hyperlink" Target="https://www.sec.gov/Archives/edgar/data/717423/000119312511049276/dex31.htm" TargetMode="External"/><Relationship Id="rId81" Type="http://schemas.openxmlformats.org/officeDocument/2006/relationships/hyperlink" Target="https://www.sec.gov/Archives/edgar/data/717423/000071742320000051/mur-20200630xex32ng.htm" TargetMode="External"/><Relationship Id="rId82" Type="http://schemas.openxmlformats.org/officeDocument/2006/relationships/hyperlink" Target="https://www.sec.gov/Archives/edgar/data/717423/000119312505052706/dex42.htm" TargetMode="External"/><Relationship Id="rId83" Type="http://schemas.openxmlformats.org/officeDocument/2006/relationships/hyperlink" Target="https://www.sec.gov/Archives/edgar/data/717423/000119312512239199/d355530dex41.htm" TargetMode="External"/><Relationship Id="rId84" Type="http://schemas.openxmlformats.org/officeDocument/2006/relationships/hyperlink" Target="https://www.sec.gov/Archives/edgar/data/717423/000119312512486608/d446508dex41.htm" TargetMode="External"/><Relationship Id="rId85" Type="http://schemas.openxmlformats.org/officeDocument/2006/relationships/hyperlink" Target="https://www.sec.gov/Archives/edgar/data/717423/000119312519302635/d811776dex42.htm" TargetMode="External"/><Relationship Id="rId86" Type="http://schemas.openxmlformats.org/officeDocument/2006/relationships/hyperlink" Target="https://www.sec.gov/Archives/edgar/data/717423/000071742320000008/mur-20191231xex49.htm" TargetMode="External"/><Relationship Id="rId87" Type="http://schemas.openxmlformats.org/officeDocument/2006/relationships/hyperlink" Target="https://www.sec.gov/Archives/edgar/data/717423/000095010321003618/dp147420_ex0402.htm" TargetMode="External"/><Relationship Id="rId88" Type="http://schemas.openxmlformats.org/officeDocument/2006/relationships/hyperlink" Target="https://www.sec.gov/ix?doc=/Archives/edgar/data/717423/000119312524232274/d610229d8k.htm" TargetMode="External"/><Relationship Id="rId89" Type="http://schemas.openxmlformats.org/officeDocument/2006/relationships/hyperlink" Target="https://www.sec.gov/Archives/edgar/data/717423/000071742322000019/mur-20211231xex103.htm" TargetMode="External"/><Relationship Id="rId90" Type="http://schemas.openxmlformats.org/officeDocument/2006/relationships/hyperlink" Target="https://www.sec.gov/Archives/edgar/data/717423/000119312518092581/d534617ddef14a.htm" TargetMode="External"/><Relationship Id="rId91" Type="http://schemas.openxmlformats.org/officeDocument/2006/relationships/hyperlink" Target="https://www.sec.gov/Archives/edgar/data/717423/000071742320000008/mur-20191231xex1015.htm" TargetMode="External"/><Relationship Id="rId94" Type="http://schemas.openxmlformats.org/officeDocument/2006/relationships/hyperlink" Target="https://www.sec.gov/Archives/edgar/data/717423/000071742319000016/mur-20181231xex10_14.htm" TargetMode="External"/><Relationship Id="rId95" Type="http://schemas.openxmlformats.org/officeDocument/2006/relationships/hyperlink" Target="https://www.sec.gov/Archives/edgar/data/717423/000071742320000008/mur-20191231xex1017.htm" TargetMode="External"/><Relationship Id="rId96" Type="http://schemas.openxmlformats.org/officeDocument/2006/relationships/hyperlink" Target="https://www.sec.gov/Archives/edgar/data/717423/000071742319000016/mur-20181231xex10_15.htm" TargetMode="External"/><Relationship Id="rId97" Type="http://schemas.openxmlformats.org/officeDocument/2006/relationships/hyperlink" Target="https://www.sec.gov/Archives/edgar/data/717423/000071742319000016/mur-20181231xex10_16.htm" TargetMode="External"/><Relationship Id="rId98" Type="http://schemas.openxmlformats.org/officeDocument/2006/relationships/hyperlink" Target="https://www.sec.gov/Archives/edgar/data/717423/000119312520089408/d890590ddef14a.htm#rom890590_22" TargetMode="External"/><Relationship Id="rId99" Type="http://schemas.openxmlformats.org/officeDocument/2006/relationships/hyperlink" Target="https://www.sec.gov/Archives/edgar/data/717423/000071742321000014/mur-20201231xex1021.htm" TargetMode="External"/><Relationship Id="rId100" Type="http://schemas.openxmlformats.org/officeDocument/2006/relationships/hyperlink" Target="https://www.sec.gov/Archives/edgar/data/717423/000071742321000014/mur-20201231xex1022.htm" TargetMode="External"/><Relationship Id="rId101" Type="http://schemas.openxmlformats.org/officeDocument/2006/relationships/hyperlink" Target="https://www.sec.gov/Archives/edgar/data/717423/000071742321000014/mur-20201231xex1023.htm" TargetMode="External"/><Relationship Id="rId102" Type="http://schemas.openxmlformats.org/officeDocument/2006/relationships/hyperlink" Target="https://www.sec.gov/Archives/edgar/data/717423/000071742321000014/mur-20201231xex1024.htm" TargetMode="External"/><Relationship Id="rId103" Type="http://schemas.openxmlformats.org/officeDocument/2006/relationships/hyperlink" Target="https://www.sec.gov/Archives/edgar/data/717423/000071742321000014/mur-20201231xex1025.htm" TargetMode="External"/><Relationship Id="rId104" Type="http://schemas.openxmlformats.org/officeDocument/2006/relationships/hyperlink" Target="https://www.sec.gov/Archives/edgar/data/717423/000119312518092581/d534617ddef14a.htm#toc534617_27" TargetMode="External"/><Relationship Id="rId105" Type="http://schemas.openxmlformats.org/officeDocument/2006/relationships/hyperlink" Target="https://www.sec.gov/Archives/edgar/data/717423/000095010318005164/dp89975_ex1001.htm" TargetMode="External"/><Relationship Id="rId106" Type="http://schemas.openxmlformats.org/officeDocument/2006/relationships/hyperlink" Target="https://www.sec.gov/Archives/edgar/data/717423/000071742320000008/mur-20191231xex1024.htm" TargetMode="External"/><Relationship Id="rId107" Type="http://schemas.openxmlformats.org/officeDocument/2006/relationships/hyperlink" Target="https://www.sec.gov/Archives/edgar/data/717423/000071742319000016/mur-20181231xex10_20.htm" TargetMode="External"/><Relationship Id="rId108" Type="http://schemas.openxmlformats.org/officeDocument/2006/relationships/hyperlink" Target="https://www.sec.gov/Archives/edgar/data/717423/000071742320000008/mur-20191231xex1026.htm" TargetMode="External"/><Relationship Id="rId109" Type="http://schemas.openxmlformats.org/officeDocument/2006/relationships/hyperlink" Target="https://www.sec.gov/Archives/edgar/data/717423/000119312521095182/d97599ddef14a.htm#rom97599_23a" TargetMode="External"/><Relationship Id="rId110" Type="http://schemas.openxmlformats.org/officeDocument/2006/relationships/hyperlink" Target="https://www.sec.gov/Archives/edgar/data/717423/000071742321000039/mur-20200630xex1027.htm" TargetMode="External"/><Relationship Id="rId111" Type="http://schemas.openxmlformats.org/officeDocument/2006/relationships/hyperlink" Target="https://www.sec.gov/Archives/edgar/data/717423/000071742316000064/mur-20151231ex106848557.htm" TargetMode="External"/><Relationship Id="rId112" Type="http://schemas.openxmlformats.org/officeDocument/2006/relationships/hyperlink" Target="https://www.sec.gov/Archives/edgar/data/717423/000095010313005335/dp40428_ex1004.htm" TargetMode="External"/><Relationship Id="rId113" Type="http://schemas.openxmlformats.org/officeDocument/2006/relationships/hyperlink" Target="https://www.sec.gov/Archives/edgar/data/717423/000071742324000008/mur-20231231xex1030.htm" TargetMode="External"/><Relationship Id="rId114" Type="http://schemas.openxmlformats.org/officeDocument/2006/relationships/hyperlink" Target="https://www.sec.gov/Archives/edgar/data/717423/000071742324000008/mur-20231231xex1031.htm" TargetMode="External"/><Relationship Id="rId115" Type="http://schemas.openxmlformats.org/officeDocument/2006/relationships/hyperlink" Target="https://www.sec.gov/Archives/edgar/data/717423/000071742324000008/mur-20231231xex1032.htm" TargetMode="External"/><Relationship Id="rId116" Type="http://schemas.openxmlformats.org/officeDocument/2006/relationships/hyperlink" Target="https://www.sec.gov/Archives/edgar/data/717423/000071742324000008/mur-20231231xex1033.htm" TargetMode="External"/><Relationship Id="rId117" Type="http://schemas.openxmlformats.org/officeDocument/2006/relationships/hyperlink" Target="https://www.sec.gov/Archives/edgar/data/717423/000071742324000008/mur-20231231xex1034.htm" TargetMode="External"/><Relationship Id="rId118" Type="http://schemas.openxmlformats.org/officeDocument/2006/relationships/hyperlink" Target="https://www.sec.gov/Archives/edgar/data/717423/000071742324000013/mur-20240331xex1035.htm" TargetMode="External"/><Relationship Id="rId119" Type="http://schemas.openxmlformats.org/officeDocument/2006/relationships/hyperlink" Target="https://www.sec.gov/Archives/edgar/data/717423/000119312513328640/d582568dex101.htm" TargetMode="External"/><Relationship Id="rId122" Type="http://schemas.openxmlformats.org/officeDocument/2006/relationships/hyperlink" Target="https://www.sec.gov/Archives/edgar/data/717423/000071742319000030/mur-20190331xex10_1.htm" TargetMode="External"/><Relationship Id="rId123" Type="http://schemas.openxmlformats.org/officeDocument/2006/relationships/hyperlink" Target="https://www.sec.gov/Archives/edgar/data/717423/000119312524233828/d8565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2025-02-27T05:38:09Z</dcterms:created>
  <dcterms:modified xsi:type="dcterms:W3CDTF">2025-02-27T05:38:09Z</dcterms:modified>
</cp:coreProperties>
</file>