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599440</wp:posOffset>
            </wp:positionH>
            <wp:positionV relativeFrom="page">
              <wp:posOffset>745490</wp:posOffset>
            </wp:positionV>
            <wp:extent cx="6804660"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4660" cy="33020"/>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SECURITIES AND EXCHANGE COMMISSION</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20" w:lineRule="exact"/>
        <w:rPr>
          <w:sz w:val="24"/>
          <w:szCs w:val="24"/>
          <w:color w:val="auto"/>
        </w:rPr>
      </w:pPr>
    </w:p>
    <w:p>
      <w:pPr>
        <w:jc w:val="center"/>
        <w:ind w:right="120"/>
        <w:spacing w:after="0"/>
        <w:rPr>
          <w:sz w:val="20"/>
          <w:szCs w:val="20"/>
          <w:color w:val="auto"/>
        </w:rPr>
      </w:pPr>
      <w:r>
        <w:rPr>
          <w:rFonts w:ascii="Arial" w:cs="Arial" w:eastAsia="Arial" w:hAnsi="Arial"/>
          <w:sz w:val="21"/>
          <w:szCs w:val="21"/>
          <w:b w:val="1"/>
          <w:bCs w:val="1"/>
          <w:color w:val="auto"/>
        </w:rPr>
        <w:t>FORM 10-Q</w:t>
      </w:r>
    </w:p>
    <w:p>
      <w:pPr>
        <w:spacing w:after="0" w:line="249" w:lineRule="exact"/>
        <w:rPr>
          <w:sz w:val="24"/>
          <w:szCs w:val="24"/>
          <w:color w:val="auto"/>
        </w:rPr>
      </w:pPr>
    </w:p>
    <w:p>
      <w:pPr>
        <w:ind w:left="1220"/>
        <w:spacing w:after="0"/>
        <w:rPr>
          <w:sz w:val="20"/>
          <w:szCs w:val="20"/>
          <w:color w:val="auto"/>
        </w:rPr>
      </w:pPr>
      <w:r>
        <w:rPr>
          <w:rFonts w:ascii="Arial" w:cs="Arial" w:eastAsia="Arial" w:hAnsi="Arial"/>
          <w:sz w:val="16"/>
          <w:szCs w:val="16"/>
          <w:b w:val="1"/>
          <w:bCs w:val="1"/>
          <w:color w:val="auto"/>
        </w:rPr>
        <w:t>(Mark One)</w:t>
      </w:r>
    </w:p>
    <w:p>
      <w:pPr>
        <w:spacing w:after="0" w:line="30" w:lineRule="exact"/>
        <w:rPr>
          <w:sz w:val="24"/>
          <w:szCs w:val="24"/>
          <w:color w:val="auto"/>
        </w:rPr>
      </w:pPr>
    </w:p>
    <w:p>
      <w:pPr>
        <w:ind w:left="1460" w:hanging="203"/>
        <w:spacing w:after="0"/>
        <w:tabs>
          <w:tab w:leader="none" w:pos="14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March 31, 2025</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60" w:lineRule="exact"/>
        <w:rPr>
          <w:sz w:val="24"/>
          <w:szCs w:val="24"/>
          <w:color w:val="auto"/>
        </w:rPr>
      </w:pPr>
    </w:p>
    <w:p>
      <w:pPr>
        <w:ind w:left="1460" w:hanging="210"/>
        <w:spacing w:after="0"/>
        <w:tabs>
          <w:tab w:leader="none" w:pos="1460" w:val="left"/>
        </w:tabs>
        <w:numPr>
          <w:ilvl w:val="0"/>
          <w:numId w:val="2"/>
        </w:numPr>
        <w:rPr>
          <w:rFonts w:ascii="MS PGothic" w:cs="MS PGothic" w:eastAsia="MS PGothic" w:hAnsi="MS PGothic"/>
          <w:sz w:val="17"/>
          <w:szCs w:val="17"/>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35" w:lineRule="exact"/>
        <w:rPr>
          <w:sz w:val="24"/>
          <w:szCs w:val="24"/>
          <w:color w:val="auto"/>
        </w:rPr>
      </w:pPr>
    </w:p>
    <w:p>
      <w:pPr>
        <w:ind w:left="4080"/>
        <w:spacing w:after="0"/>
        <w:tabs>
          <w:tab w:leader="none" w:pos="70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1-8590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2717800</wp:posOffset>
            </wp:positionH>
            <wp:positionV relativeFrom="paragraph">
              <wp:posOffset>85725</wp:posOffset>
            </wp:positionV>
            <wp:extent cx="1714500" cy="1025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14500" cy="1025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MURPHY OIL CORPORATION</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7" w:lineRule="exact"/>
        <w:rPr>
          <w:sz w:val="24"/>
          <w:szCs w:val="24"/>
          <w:color w:val="auto"/>
        </w:rPr>
      </w:pPr>
    </w:p>
    <w:tbl>
      <w:tblPr>
        <w:tblLayout w:type="fixed"/>
        <w:tblInd w:w="1640" w:type="dxa"/>
        <w:tblCellMar>
          <w:top w:w="0" w:type="dxa"/>
          <w:left w:w="0" w:type="dxa"/>
          <w:bottom w:w="0" w:type="dxa"/>
          <w:right w:w="0" w:type="dxa"/>
        </w:tblCellMar>
      </w:tblPr>
      <w:tr>
        <w:trPr>
          <w:trHeight w:val="238"/>
        </w:trPr>
        <w:tc>
          <w:tcPr>
            <w:tcW w:w="4320" w:type="dxa"/>
            <w:vAlign w:val="bottom"/>
          </w:tcPr>
          <w:p>
            <w:pPr>
              <w:jc w:val="center"/>
              <w:ind w:right="341"/>
              <w:spacing w:after="0"/>
              <w:rPr>
                <w:sz w:val="20"/>
                <w:szCs w:val="20"/>
                <w:color w:val="auto"/>
              </w:rPr>
            </w:pPr>
            <w:r>
              <w:rPr>
                <w:rFonts w:ascii="Arial" w:cs="Arial" w:eastAsia="Arial" w:hAnsi="Arial"/>
                <w:sz w:val="17"/>
                <w:szCs w:val="17"/>
                <w:b w:val="1"/>
                <w:bCs w:val="1"/>
                <w:color w:val="auto"/>
                <w:w w:val="99"/>
              </w:rPr>
              <w:t>Delaware</w:t>
            </w:r>
          </w:p>
        </w:tc>
        <w:tc>
          <w:tcPr>
            <w:tcW w:w="2980" w:type="dxa"/>
            <w:vAlign w:val="bottom"/>
          </w:tcPr>
          <w:p>
            <w:pPr>
              <w:jc w:val="right"/>
              <w:ind w:right="738"/>
              <w:spacing w:after="0"/>
              <w:rPr>
                <w:sz w:val="20"/>
                <w:szCs w:val="20"/>
                <w:color w:val="auto"/>
              </w:rPr>
            </w:pPr>
            <w:r>
              <w:rPr>
                <w:rFonts w:ascii="Arial" w:cs="Arial" w:eastAsia="Arial" w:hAnsi="Arial"/>
                <w:sz w:val="17"/>
                <w:szCs w:val="17"/>
                <w:b w:val="1"/>
                <w:bCs w:val="1"/>
                <w:color w:val="auto"/>
              </w:rPr>
              <w:t>71-0361522</w:t>
            </w:r>
          </w:p>
        </w:tc>
      </w:tr>
      <w:tr>
        <w:trPr>
          <w:trHeight w:val="219"/>
        </w:trPr>
        <w:tc>
          <w:tcPr>
            <w:tcW w:w="4320" w:type="dxa"/>
            <w:vAlign w:val="bottom"/>
          </w:tcPr>
          <w:p>
            <w:pPr>
              <w:jc w:val="center"/>
              <w:ind w:right="341"/>
              <w:spacing w:after="0"/>
              <w:rPr>
                <w:sz w:val="20"/>
                <w:szCs w:val="20"/>
                <w:color w:val="auto"/>
              </w:rPr>
            </w:pPr>
            <w:r>
              <w:rPr>
                <w:rFonts w:ascii="Arial" w:cs="Arial" w:eastAsia="Arial" w:hAnsi="Arial"/>
                <w:sz w:val="14"/>
                <w:szCs w:val="14"/>
                <w:b w:val="1"/>
                <w:bCs w:val="1"/>
                <w:color w:val="auto"/>
                <w:w w:val="98"/>
              </w:rPr>
              <w:t>(State or other jurisdiction of incorporation or organization)</w:t>
            </w:r>
          </w:p>
        </w:tc>
        <w:tc>
          <w:tcPr>
            <w:tcW w:w="2980" w:type="dxa"/>
            <w:vAlign w:val="bottom"/>
          </w:tcPr>
          <w:p>
            <w:pPr>
              <w:jc w:val="center"/>
              <w:ind w:left="338"/>
              <w:spacing w:after="0"/>
              <w:rPr>
                <w:sz w:val="20"/>
                <w:szCs w:val="20"/>
                <w:color w:val="auto"/>
              </w:rPr>
            </w:pPr>
            <w:r>
              <w:rPr>
                <w:rFonts w:ascii="Arial" w:cs="Arial" w:eastAsia="Arial" w:hAnsi="Arial"/>
                <w:sz w:val="14"/>
                <w:szCs w:val="14"/>
                <w:b w:val="1"/>
                <w:bCs w:val="1"/>
                <w:color w:val="auto"/>
                <w:w w:val="98"/>
              </w:rPr>
              <w:t>(I.R.S. Employer Identification Number)</w:t>
            </w:r>
          </w:p>
        </w:tc>
      </w:tr>
      <w:tr>
        <w:trPr>
          <w:trHeight w:val="259"/>
        </w:trPr>
        <w:tc>
          <w:tcPr>
            <w:tcW w:w="4320" w:type="dxa"/>
            <w:vAlign w:val="bottom"/>
          </w:tcPr>
          <w:p>
            <w:pPr>
              <w:jc w:val="center"/>
              <w:ind w:right="341"/>
              <w:spacing w:after="0"/>
              <w:rPr>
                <w:sz w:val="20"/>
                <w:szCs w:val="20"/>
                <w:color w:val="auto"/>
              </w:rPr>
            </w:pPr>
            <w:r>
              <w:rPr>
                <w:rFonts w:ascii="Arial" w:cs="Arial" w:eastAsia="Arial" w:hAnsi="Arial"/>
                <w:sz w:val="17"/>
                <w:szCs w:val="17"/>
                <w:b w:val="1"/>
                <w:bCs w:val="1"/>
                <w:color w:val="auto"/>
              </w:rPr>
              <w:t>9805 Katy Fwy, Suite G-200</w:t>
            </w:r>
          </w:p>
        </w:tc>
        <w:tc>
          <w:tcPr>
            <w:tcW w:w="2980" w:type="dxa"/>
            <w:vAlign w:val="bottom"/>
          </w:tcPr>
          <w:p>
            <w:pPr>
              <w:jc w:val="right"/>
              <w:ind w:right="958"/>
              <w:spacing w:after="0"/>
              <w:rPr>
                <w:sz w:val="20"/>
                <w:szCs w:val="20"/>
                <w:color w:val="auto"/>
              </w:rPr>
            </w:pPr>
            <w:r>
              <w:rPr>
                <w:rFonts w:ascii="Arial" w:cs="Arial" w:eastAsia="Arial" w:hAnsi="Arial"/>
                <w:sz w:val="17"/>
                <w:szCs w:val="17"/>
                <w:b w:val="1"/>
                <w:bCs w:val="1"/>
                <w:color w:val="auto"/>
              </w:rPr>
              <w:t>77024</w:t>
            </w:r>
          </w:p>
        </w:tc>
      </w:tr>
      <w:tr>
        <w:trPr>
          <w:trHeight w:val="258"/>
        </w:trPr>
        <w:tc>
          <w:tcPr>
            <w:tcW w:w="4320" w:type="dxa"/>
            <w:vAlign w:val="bottom"/>
          </w:tcPr>
          <w:p>
            <w:pPr>
              <w:ind w:left="1240"/>
              <w:spacing w:after="0"/>
              <w:rPr>
                <w:sz w:val="20"/>
                <w:szCs w:val="20"/>
                <w:color w:val="auto"/>
              </w:rPr>
            </w:pPr>
            <w:r>
              <w:rPr>
                <w:rFonts w:ascii="Arial" w:cs="Arial" w:eastAsia="Arial" w:hAnsi="Arial"/>
                <w:sz w:val="17"/>
                <w:szCs w:val="17"/>
                <w:b w:val="1"/>
                <w:bCs w:val="1"/>
                <w:color w:val="auto"/>
              </w:rPr>
              <w:t>Houston, Texas</w:t>
            </w:r>
          </w:p>
        </w:tc>
        <w:tc>
          <w:tcPr>
            <w:tcW w:w="2980" w:type="dxa"/>
            <w:vAlign w:val="bottom"/>
          </w:tcPr>
          <w:p>
            <w:pPr>
              <w:jc w:val="center"/>
              <w:ind w:left="338"/>
              <w:spacing w:after="0"/>
              <w:rPr>
                <w:sz w:val="20"/>
                <w:szCs w:val="20"/>
                <w:color w:val="auto"/>
              </w:rPr>
            </w:pPr>
            <w:r>
              <w:rPr>
                <w:rFonts w:ascii="Arial" w:cs="Arial" w:eastAsia="Arial" w:hAnsi="Arial"/>
                <w:sz w:val="17"/>
                <w:szCs w:val="17"/>
                <w:b w:val="1"/>
                <w:bCs w:val="1"/>
                <w:color w:val="auto"/>
                <w:w w:val="99"/>
              </w:rPr>
              <w:t>(Zip Code)</w:t>
            </w:r>
          </w:p>
        </w:tc>
      </w:tr>
      <w:tr>
        <w:trPr>
          <w:trHeight w:val="219"/>
        </w:trPr>
        <w:tc>
          <w:tcPr>
            <w:tcW w:w="4320" w:type="dxa"/>
            <w:vAlign w:val="bottom"/>
          </w:tcPr>
          <w:p>
            <w:pPr>
              <w:jc w:val="center"/>
              <w:ind w:right="341"/>
              <w:spacing w:after="0"/>
              <w:rPr>
                <w:sz w:val="20"/>
                <w:szCs w:val="20"/>
                <w:color w:val="auto"/>
              </w:rPr>
            </w:pPr>
            <w:r>
              <w:rPr>
                <w:rFonts w:ascii="Arial" w:cs="Arial" w:eastAsia="Arial" w:hAnsi="Arial"/>
                <w:sz w:val="14"/>
                <w:szCs w:val="14"/>
                <w:b w:val="1"/>
                <w:bCs w:val="1"/>
                <w:color w:val="auto"/>
                <w:w w:val="98"/>
              </w:rPr>
              <w:t>(Address of principal executive offices)</w:t>
            </w:r>
          </w:p>
        </w:tc>
        <w:tc>
          <w:tcPr>
            <w:tcW w:w="2980" w:type="dxa"/>
            <w:vAlign w:val="bottom"/>
          </w:tcPr>
          <w:p>
            <w:pPr>
              <w:spacing w:after="0"/>
              <w:rPr>
                <w:sz w:val="19"/>
                <w:szCs w:val="19"/>
                <w:color w:val="auto"/>
              </w:rPr>
            </w:pPr>
          </w:p>
        </w:tc>
      </w:tr>
    </w:tbl>
    <w:p>
      <w:pPr>
        <w:spacing w:after="0" w:line="22" w:lineRule="exact"/>
        <w:rPr>
          <w:sz w:val="24"/>
          <w:szCs w:val="24"/>
          <w:color w:val="auto"/>
        </w:rPr>
      </w:pPr>
    </w:p>
    <w:p>
      <w:pPr>
        <w:jc w:val="center"/>
        <w:ind w:right="-339"/>
        <w:spacing w:after="0"/>
        <w:rPr>
          <w:sz w:val="20"/>
          <w:szCs w:val="20"/>
          <w:color w:val="auto"/>
        </w:rPr>
      </w:pPr>
      <w:r>
        <w:rPr>
          <w:rFonts w:ascii="Arial" w:cs="Arial" w:eastAsia="Arial" w:hAnsi="Arial"/>
          <w:sz w:val="17"/>
          <w:szCs w:val="17"/>
          <w:b w:val="1"/>
          <w:bCs w:val="1"/>
          <w:color w:val="auto"/>
        </w:rPr>
        <w:t>(281) 675-9000</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29"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24" w:lineRule="exact"/>
        <w:rPr>
          <w:sz w:val="24"/>
          <w:szCs w:val="24"/>
          <w:color w:val="auto"/>
        </w:rPr>
      </w:pPr>
    </w:p>
    <w:tbl>
      <w:tblPr>
        <w:tblLayout w:type="fixed"/>
        <w:tblInd w:w="30" w:type="dxa"/>
        <w:tblCellMar>
          <w:top w:w="0" w:type="dxa"/>
          <w:left w:w="0" w:type="dxa"/>
          <w:bottom w:w="0" w:type="dxa"/>
          <w:right w:w="0" w:type="dxa"/>
        </w:tblCellMar>
      </w:tblPr>
      <w:tr>
        <w:trPr>
          <w:trHeight w:val="212"/>
        </w:trPr>
        <w:tc>
          <w:tcPr>
            <w:tcW w:w="37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Title of each class</w:t>
            </w:r>
          </w:p>
        </w:tc>
        <w:tc>
          <w:tcPr>
            <w:tcW w:w="2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Trading Symbol</w:t>
            </w:r>
          </w:p>
        </w:tc>
        <w:tc>
          <w:tcPr>
            <w:tcW w:w="4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Name of each exchange on which registered</w:t>
            </w:r>
          </w:p>
        </w:tc>
      </w:tr>
      <w:tr>
        <w:trPr>
          <w:trHeight w:val="21"/>
        </w:trPr>
        <w:tc>
          <w:tcPr>
            <w:tcW w:w="3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4800" w:type="dxa"/>
            <w:vAlign w:val="bottom"/>
            <w:tcBorders>
              <w:bottom w:val="single" w:sz="8" w:color="auto"/>
              <w:right w:val="single" w:sz="8" w:color="auto"/>
            </w:tcBorders>
          </w:tcPr>
          <w:p>
            <w:pPr>
              <w:spacing w:after="0" w:line="20" w:lineRule="exact"/>
              <w:rPr>
                <w:sz w:val="1"/>
                <w:szCs w:val="1"/>
                <w:color w:val="auto"/>
              </w:rPr>
            </w:pPr>
          </w:p>
        </w:tc>
      </w:tr>
      <w:tr>
        <w:trPr>
          <w:trHeight w:val="218"/>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Common Stock, $1.00 Par Value</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MUR</w:t>
            </w:r>
          </w:p>
        </w:tc>
        <w:tc>
          <w:tcPr>
            <w:tcW w:w="4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New York Stock Exchange</w:t>
            </w:r>
          </w:p>
        </w:tc>
      </w:tr>
    </w:tbl>
    <w:p>
      <w:pPr>
        <w:spacing w:after="0" w:line="173" w:lineRule="exact"/>
        <w:rPr>
          <w:sz w:val="24"/>
          <w:szCs w:val="24"/>
          <w:color w:val="auto"/>
        </w:rPr>
      </w:pPr>
    </w:p>
    <w:p>
      <w:pPr>
        <w:ind w:right="100"/>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34" w:lineRule="exact"/>
        <w:rPr>
          <w:sz w:val="24"/>
          <w:szCs w:val="24"/>
          <w:color w:val="auto"/>
        </w:rPr>
      </w:pPr>
    </w:p>
    <w:p>
      <w:pPr>
        <w:ind w:right="80"/>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34" w:lineRule="exact"/>
        <w:rPr>
          <w:sz w:val="24"/>
          <w:szCs w:val="24"/>
          <w:color w:val="auto"/>
        </w:rPr>
      </w:pPr>
    </w:p>
    <w:p>
      <w:pPr>
        <w:ind w:right="100"/>
        <w:spacing w:after="0" w:line="27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7" w:lineRule="exact"/>
        <w:rPr>
          <w:sz w:val="24"/>
          <w:szCs w:val="24"/>
          <w:color w:val="auto"/>
        </w:rPr>
      </w:pPr>
    </w:p>
    <w:p>
      <w:pPr>
        <w:ind w:left="20"/>
        <w:spacing w:after="0" w:line="138" w:lineRule="exact"/>
        <w:tabs>
          <w:tab w:leader="none" w:pos="1880" w:val="left"/>
          <w:tab w:leader="none" w:pos="2140" w:val="left"/>
          <w:tab w:leader="none" w:pos="4040" w:val="left"/>
          <w:tab w:leader="none" w:pos="4320" w:val="left"/>
          <w:tab w:leader="none" w:pos="6220" w:val="left"/>
          <w:tab w:leader="none" w:pos="6500" w:val="left"/>
          <w:tab w:leader="none" w:pos="8600" w:val="left"/>
          <w:tab w:leader="none" w:pos="8880" w:val="left"/>
          <w:tab w:leader="none" w:pos="10980" w:val="left"/>
        </w:tabs>
        <w:rPr>
          <w:sz w:val="20"/>
          <w:szCs w:val="20"/>
          <w:color w:val="auto"/>
        </w:rPr>
      </w:pPr>
      <w:r>
        <w:rPr>
          <w:rFonts w:ascii="Arial" w:cs="Arial" w:eastAsia="Arial" w:hAnsi="Arial"/>
          <w:sz w:val="12"/>
          <w:szCs w:val="12"/>
          <w:color w:val="auto"/>
        </w:rPr>
        <w:t>Large accelerated filer</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Accelerated filer</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Non-accelerated filer</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Smaller reporting company</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248" w:lineRule="exact"/>
        <w:rPr>
          <w:sz w:val="24"/>
          <w:szCs w:val="24"/>
          <w:color w:val="auto"/>
        </w:rPr>
      </w:pPr>
    </w:p>
    <w:p>
      <w:pPr>
        <w:ind w:right="80"/>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 w:lineRule="exact"/>
        <w:rPr>
          <w:sz w:val="24"/>
          <w:szCs w:val="24"/>
          <w:color w:val="auto"/>
        </w:rPr>
      </w:pPr>
    </w:p>
    <w:p>
      <w:pPr>
        <w:ind w:right="4200"/>
        <w:spacing w:after="0" w:line="22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Number of shares of Common Stock, $1.00 par value, outstanding at April 30, 2025 was 142,716,062.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517525</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29845</wp:posOffset>
            </wp:positionV>
            <wp:extent cx="7121525" cy="33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1525" cy="33020"/>
                    </a:xfrm>
                    <a:prstGeom prst="rect">
                      <a:avLst/>
                    </a:prstGeom>
                    <a:noFill/>
                  </pic:spPr>
                </pic:pic>
              </a:graphicData>
            </a:graphic>
          </wp:anchor>
        </w:drawing>
      </w:r>
    </w:p>
    <w:p>
      <w:pPr>
        <w:sectPr>
          <w:pgSz w:w="11900" w:h="16838" w:orient="portrait"/>
          <w:cols w:equalWidth="0" w:num="1">
            <w:col w:w="11240"/>
          </w:cols>
          <w:pgMar w:left="320" w:top="1397"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0" w:type="dxa"/>
            <w:vAlign w:val="bottom"/>
            <w:gridSpan w:val="9"/>
          </w:tcPr>
          <w:p>
            <w:pPr>
              <w:jc w:val="center"/>
              <w:ind w:right="3480"/>
              <w:spacing w:after="0"/>
              <w:rPr>
                <w:sz w:val="20"/>
                <w:szCs w:val="20"/>
                <w:color w:val="auto"/>
              </w:rPr>
            </w:pPr>
            <w:r>
              <w:rPr>
                <w:rFonts w:ascii="Arial" w:cs="Arial" w:eastAsia="Arial" w:hAnsi="Arial"/>
                <w:sz w:val="17"/>
                <w:szCs w:val="17"/>
                <w:b w:val="1"/>
                <w:bCs w:val="1"/>
                <w:color w:val="auto"/>
              </w:rPr>
              <w:t>MURPHY OIL CORPORATION</w:t>
            </w: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740" w:type="dxa"/>
            <w:vAlign w:val="bottom"/>
            <w:gridSpan w:val="7"/>
          </w:tcPr>
          <w:p>
            <w:pPr>
              <w:jc w:val="center"/>
              <w:ind w:right="3740"/>
              <w:spacing w:after="0"/>
              <w:rPr>
                <w:sz w:val="20"/>
                <w:szCs w:val="20"/>
                <w:color w:val="auto"/>
              </w:rPr>
            </w:pPr>
            <w:r>
              <w:rPr>
                <w:rFonts w:ascii="Arial" w:cs="Arial" w:eastAsia="Arial" w:hAnsi="Arial"/>
                <w:sz w:val="17"/>
                <w:szCs w:val="17"/>
                <w:b w:val="1"/>
                <w:bCs w:val="1"/>
                <w:color w:val="auto"/>
              </w:rPr>
              <w:t>TABLE OF CONTENTS</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7"/>
                <w:szCs w:val="17"/>
                <w:color w:val="auto"/>
              </w:rPr>
              <w:t>Page</w:t>
            </w:r>
          </w:p>
        </w:tc>
        <w:tc>
          <w:tcPr>
            <w:tcW w:w="0" w:type="dxa"/>
            <w:vAlign w:val="bottom"/>
          </w:tcPr>
          <w:p>
            <w:pPr>
              <w:spacing w:after="0"/>
              <w:rPr>
                <w:sz w:val="1"/>
                <w:szCs w:val="1"/>
                <w:color w:val="auto"/>
              </w:rPr>
            </w:pPr>
          </w:p>
        </w:tc>
      </w:tr>
      <w:tr>
        <w:trPr>
          <w:trHeight w:val="190"/>
        </w:trPr>
        <w:tc>
          <w:tcPr>
            <w:tcW w:w="10360" w:type="dxa"/>
            <w:vAlign w:val="bottom"/>
            <w:tcBorders>
              <w:left w:val="single" w:sz="8" w:color="CCEEFF"/>
            </w:tcBorders>
            <w:gridSpan w:val="28"/>
            <w:shd w:val="clear" w:color="auto" w:fill="CCEEFF"/>
          </w:tcPr>
          <w:p>
            <w:pPr>
              <w:ind w:left="20"/>
              <w:spacing w:after="0" w:line="190" w:lineRule="exact"/>
              <w:rPr>
                <w:sz w:val="20"/>
                <w:szCs w:val="20"/>
                <w:color w:val="auto"/>
              </w:rPr>
            </w:pPr>
            <w:r>
              <w:rPr>
                <w:rFonts w:ascii="Arial" w:cs="Arial" w:eastAsia="Arial" w:hAnsi="Arial"/>
                <w:sz w:val="17"/>
                <w:szCs w:val="17"/>
                <w:color w:val="0000FF"/>
              </w:rPr>
              <w:t>Part I – Financial Information</w:t>
            </w:r>
          </w:p>
        </w:tc>
        <w:tc>
          <w:tcPr>
            <w:tcW w:w="400" w:type="dxa"/>
            <w:vAlign w:val="bottom"/>
            <w:tcBorders>
              <w:top w:val="single" w:sz="8" w:color="auto"/>
            </w:tcBorders>
            <w:shd w:val="clear" w:color="auto" w:fill="CCEEFF"/>
          </w:tcPr>
          <w:p>
            <w:pPr>
              <w:jc w:val="center"/>
              <w:spacing w:after="0" w:line="190" w:lineRule="exact"/>
              <w:rPr>
                <w:sz w:val="20"/>
                <w:szCs w:val="20"/>
                <w:color w:val="auto"/>
              </w:rPr>
            </w:pPr>
            <w:r>
              <w:rPr>
                <w:rFonts w:ascii="Arial" w:cs="Arial" w:eastAsia="Arial" w:hAnsi="Arial"/>
                <w:sz w:val="17"/>
                <w:szCs w:val="17"/>
                <w:color w:val="242424"/>
                <w:w w:val="84"/>
              </w:rPr>
              <w:t>2</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CCEEFF"/>
            </w:tcBorders>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4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1000" w:type="dxa"/>
            <w:vAlign w:val="bottom"/>
            <w:gridSpan w:val="4"/>
          </w:tcPr>
          <w:p>
            <w:pPr>
              <w:ind w:left="340"/>
              <w:spacing w:after="0" w:line="181" w:lineRule="exact"/>
              <w:rPr>
                <w:sz w:val="20"/>
                <w:szCs w:val="20"/>
                <w:color w:val="auto"/>
              </w:rPr>
            </w:pPr>
            <w:r>
              <w:rPr>
                <w:rFonts w:ascii="Arial" w:cs="Arial" w:eastAsia="Arial" w:hAnsi="Arial"/>
                <w:sz w:val="17"/>
                <w:szCs w:val="17"/>
                <w:color w:val="0000FF"/>
              </w:rPr>
              <w:t>Item 1.</w:t>
            </w:r>
          </w:p>
        </w:tc>
        <w:tc>
          <w:tcPr>
            <w:tcW w:w="9360" w:type="dxa"/>
            <w:vAlign w:val="bottom"/>
            <w:gridSpan w:val="24"/>
          </w:tcPr>
          <w:p>
            <w:pPr>
              <w:spacing w:after="0" w:line="181" w:lineRule="exact"/>
              <w:rPr>
                <w:sz w:val="20"/>
                <w:szCs w:val="20"/>
                <w:color w:val="auto"/>
              </w:rPr>
            </w:pPr>
            <w:r>
              <w:rPr>
                <w:rFonts w:ascii="Arial" w:cs="Arial" w:eastAsia="Arial" w:hAnsi="Arial"/>
                <w:sz w:val="17"/>
                <w:szCs w:val="17"/>
                <w:color w:val="0000FF"/>
              </w:rPr>
              <w:t>Financial Statements</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w w:val="84"/>
              </w:rPr>
              <w:t>2</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340" w:type="dxa"/>
            <w:vAlign w:val="bottom"/>
            <w:tcBorders>
              <w:lef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720" w:type="dxa"/>
            <w:vAlign w:val="bottom"/>
            <w:gridSpan w:val="26"/>
            <w:shd w:val="clear" w:color="auto" w:fill="CCEEFF"/>
          </w:tcPr>
          <w:p>
            <w:pPr>
              <w:spacing w:after="0" w:line="190" w:lineRule="exact"/>
              <w:rPr>
                <w:sz w:val="20"/>
                <w:szCs w:val="20"/>
                <w:color w:val="auto"/>
              </w:rPr>
            </w:pPr>
            <w:r>
              <w:rPr>
                <w:rFonts w:ascii="Arial" w:cs="Arial" w:eastAsia="Arial" w:hAnsi="Arial"/>
                <w:sz w:val="17"/>
                <w:szCs w:val="17"/>
                <w:color w:val="0000FF"/>
              </w:rPr>
              <w:t>Consolidated Balance Sheets</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w w:val="84"/>
              </w:rPr>
              <w:t>2</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4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720" w:type="dxa"/>
            <w:vAlign w:val="bottom"/>
            <w:gridSpan w:val="26"/>
          </w:tcPr>
          <w:p>
            <w:pPr>
              <w:spacing w:after="0" w:line="181" w:lineRule="exact"/>
              <w:rPr>
                <w:sz w:val="20"/>
                <w:szCs w:val="20"/>
                <w:color w:val="auto"/>
              </w:rPr>
            </w:pPr>
            <w:r>
              <w:rPr>
                <w:rFonts w:ascii="Arial" w:cs="Arial" w:eastAsia="Arial" w:hAnsi="Arial"/>
                <w:sz w:val="17"/>
                <w:szCs w:val="17"/>
                <w:color w:val="0000FF"/>
              </w:rPr>
              <w:t>Consolidated Statements of Operations</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w w:val="84"/>
              </w:rPr>
              <w:t>3</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720" w:type="dxa"/>
            <w:vAlign w:val="bottom"/>
            <w:gridSpan w:val="26"/>
            <w:shd w:val="clear" w:color="auto" w:fill="CCEEFF"/>
          </w:tcPr>
          <w:p>
            <w:pPr>
              <w:spacing w:after="0" w:line="190" w:lineRule="exact"/>
              <w:rPr>
                <w:sz w:val="20"/>
                <w:szCs w:val="20"/>
                <w:color w:val="auto"/>
              </w:rPr>
            </w:pPr>
            <w:r>
              <w:rPr>
                <w:rFonts w:ascii="Arial" w:cs="Arial" w:eastAsia="Arial" w:hAnsi="Arial"/>
                <w:sz w:val="17"/>
                <w:szCs w:val="17"/>
                <w:color w:val="0000FF"/>
              </w:rPr>
              <w:t>Consolidated Statements of Comprehensive Income</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w w:val="84"/>
              </w:rPr>
              <w:t>4</w:t>
            </w: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34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3980" w:type="dxa"/>
            <w:vAlign w:val="bottom"/>
            <w:tcBorders>
              <w:top w:val="single" w:sz="8" w:color="0000FF"/>
            </w:tcBorders>
            <w:gridSpan w:val="19"/>
          </w:tcPr>
          <w:p>
            <w:pPr>
              <w:spacing w:after="0" w:line="181" w:lineRule="exact"/>
              <w:rPr>
                <w:sz w:val="20"/>
                <w:szCs w:val="20"/>
                <w:color w:val="auto"/>
              </w:rPr>
            </w:pPr>
            <w:r>
              <w:rPr>
                <w:rFonts w:ascii="Arial" w:cs="Arial" w:eastAsia="Arial" w:hAnsi="Arial"/>
                <w:sz w:val="17"/>
                <w:szCs w:val="17"/>
                <w:color w:val="0000FF"/>
              </w:rPr>
              <w:t>Consolidated Statements of Cash Flows</w:t>
            </w:r>
          </w:p>
        </w:tc>
        <w:tc>
          <w:tcPr>
            <w:tcW w:w="5740" w:type="dxa"/>
            <w:vAlign w:val="bottom"/>
            <w:tcBorders>
              <w:top w:val="single" w:sz="8" w:color="CCEEFF"/>
            </w:tcBorders>
            <w:gridSpan w:val="7"/>
          </w:tcPr>
          <w:p>
            <w:pPr>
              <w:spacing w:after="0"/>
              <w:rPr>
                <w:sz w:val="15"/>
                <w:szCs w:val="15"/>
                <w:color w:val="auto"/>
              </w:rPr>
            </w:pPr>
          </w:p>
        </w:tc>
        <w:tc>
          <w:tcPr>
            <w:tcW w:w="400" w:type="dxa"/>
            <w:vAlign w:val="bottom"/>
            <w:tcBorders>
              <w:top w:val="single" w:sz="8" w:color="CCEEFF"/>
            </w:tcBorders>
          </w:tcPr>
          <w:p>
            <w:pPr>
              <w:jc w:val="center"/>
              <w:spacing w:after="0" w:line="181" w:lineRule="exact"/>
              <w:rPr>
                <w:sz w:val="20"/>
                <w:szCs w:val="20"/>
                <w:color w:val="auto"/>
              </w:rPr>
            </w:pPr>
            <w:r>
              <w:rPr>
                <w:rFonts w:ascii="Arial" w:cs="Arial" w:eastAsia="Arial" w:hAnsi="Arial"/>
                <w:sz w:val="17"/>
                <w:szCs w:val="17"/>
                <w:color w:val="242424"/>
                <w:w w:val="84"/>
              </w:rPr>
              <w:t>5</w:t>
            </w:r>
          </w:p>
        </w:tc>
        <w:tc>
          <w:tcPr>
            <w:tcW w:w="460" w:type="dxa"/>
            <w:vAlign w:val="bottom"/>
            <w:tcBorders>
              <w:top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720" w:type="dxa"/>
            <w:vAlign w:val="bottom"/>
            <w:gridSpan w:val="26"/>
            <w:shd w:val="clear" w:color="auto" w:fill="CCEEFF"/>
          </w:tcPr>
          <w:p>
            <w:pPr>
              <w:spacing w:after="0" w:line="190" w:lineRule="exact"/>
              <w:rPr>
                <w:sz w:val="20"/>
                <w:szCs w:val="20"/>
                <w:color w:val="auto"/>
              </w:rPr>
            </w:pPr>
            <w:r>
              <w:rPr>
                <w:rFonts w:ascii="Arial" w:cs="Arial" w:eastAsia="Arial" w:hAnsi="Arial"/>
                <w:sz w:val="17"/>
                <w:szCs w:val="17"/>
                <w:color w:val="0000FF"/>
              </w:rPr>
              <w:t>Consolidated Statements of Stockholders’ Equity</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w w:val="84"/>
              </w:rPr>
              <w:t>6</w:t>
            </w: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4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3380" w:type="dxa"/>
            <w:vAlign w:val="bottom"/>
            <w:tcBorders>
              <w:top w:val="single" w:sz="8" w:color="0000FF"/>
              <w:bottom w:val="single" w:sz="8" w:color="0000FF"/>
            </w:tcBorders>
            <w:gridSpan w:val="16"/>
          </w:tcPr>
          <w:p>
            <w:pPr>
              <w:spacing w:after="0" w:line="181" w:lineRule="exact"/>
              <w:rPr>
                <w:sz w:val="20"/>
                <w:szCs w:val="20"/>
                <w:color w:val="auto"/>
              </w:rPr>
            </w:pPr>
            <w:r>
              <w:rPr>
                <w:rFonts w:ascii="Arial" w:cs="Arial" w:eastAsia="Arial" w:hAnsi="Arial"/>
                <w:sz w:val="17"/>
                <w:szCs w:val="17"/>
                <w:color w:val="0000FF"/>
              </w:rPr>
              <w:t>Notes to Consolidated Financial Statements</w:t>
            </w:r>
          </w:p>
        </w:tc>
        <w:tc>
          <w:tcPr>
            <w:tcW w:w="340" w:type="dxa"/>
            <w:vAlign w:val="bottom"/>
            <w:tcBorders>
              <w:top w:val="single" w:sz="8" w:color="0000FF"/>
            </w:tcBorders>
          </w:tcPr>
          <w:p>
            <w:pPr>
              <w:spacing w:after="0"/>
              <w:rPr>
                <w:sz w:val="16"/>
                <w:szCs w:val="16"/>
                <w:color w:val="auto"/>
              </w:rPr>
            </w:pPr>
          </w:p>
        </w:tc>
        <w:tc>
          <w:tcPr>
            <w:tcW w:w="6000" w:type="dxa"/>
            <w:vAlign w:val="bottom"/>
            <w:tcBorders>
              <w:top w:val="single" w:sz="8" w:color="CCEEFF"/>
            </w:tcBorders>
            <w:gridSpan w:val="9"/>
          </w:tcPr>
          <w:p>
            <w:pPr>
              <w:spacing w:after="0"/>
              <w:rPr>
                <w:sz w:val="16"/>
                <w:szCs w:val="16"/>
                <w:color w:val="auto"/>
              </w:rPr>
            </w:pPr>
          </w:p>
        </w:tc>
        <w:tc>
          <w:tcPr>
            <w:tcW w:w="400" w:type="dxa"/>
            <w:vAlign w:val="bottom"/>
            <w:tcBorders>
              <w:top w:val="single" w:sz="8" w:color="CCEEFF"/>
            </w:tcBorders>
          </w:tcPr>
          <w:p>
            <w:pPr>
              <w:jc w:val="center"/>
              <w:spacing w:after="0" w:line="181" w:lineRule="exact"/>
              <w:rPr>
                <w:sz w:val="20"/>
                <w:szCs w:val="20"/>
                <w:color w:val="auto"/>
              </w:rPr>
            </w:pPr>
            <w:r>
              <w:rPr>
                <w:rFonts w:ascii="Arial" w:cs="Arial" w:eastAsia="Arial" w:hAnsi="Arial"/>
                <w:sz w:val="17"/>
                <w:szCs w:val="17"/>
                <w:color w:val="242424"/>
                <w:w w:val="84"/>
              </w:rPr>
              <w:t>7</w:t>
            </w:r>
          </w:p>
        </w:tc>
        <w:tc>
          <w:tcPr>
            <w:tcW w:w="460" w:type="dxa"/>
            <w:vAlign w:val="bottom"/>
            <w:tcBorders>
              <w:top w:val="single" w:sz="8" w:color="CCEEF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0" w:type="dxa"/>
            <w:vAlign w:val="bottom"/>
            <w:tcBorders>
              <w:lef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9360" w:type="dxa"/>
            <w:vAlign w:val="bottom"/>
            <w:gridSpan w:val="24"/>
            <w:shd w:val="clear" w:color="auto" w:fill="CCEEFF"/>
          </w:tcPr>
          <w:p>
            <w:pPr>
              <w:spacing w:after="0" w:line="190" w:lineRule="exact"/>
              <w:rPr>
                <w:sz w:val="20"/>
                <w:szCs w:val="20"/>
                <w:color w:val="auto"/>
              </w:rPr>
            </w:pPr>
            <w:r>
              <w:rPr>
                <w:rFonts w:ascii="Arial" w:cs="Arial" w:eastAsia="Arial" w:hAnsi="Arial"/>
                <w:sz w:val="17"/>
                <w:szCs w:val="17"/>
                <w:color w:val="0000FF"/>
              </w:rPr>
              <w:t>Note A – Basis of Presentation</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w w:val="84"/>
              </w:rPr>
              <w:t>7</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4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360" w:type="dxa"/>
            <w:vAlign w:val="bottom"/>
            <w:gridSpan w:val="24"/>
          </w:tcPr>
          <w:p>
            <w:pPr>
              <w:spacing w:after="0" w:line="181" w:lineRule="exact"/>
              <w:rPr>
                <w:sz w:val="20"/>
                <w:szCs w:val="20"/>
                <w:color w:val="auto"/>
              </w:rPr>
            </w:pPr>
            <w:r>
              <w:rPr>
                <w:rFonts w:ascii="Arial" w:cs="Arial" w:eastAsia="Arial" w:hAnsi="Arial"/>
                <w:sz w:val="17"/>
                <w:szCs w:val="17"/>
                <w:color w:val="0000FF"/>
              </w:rPr>
              <w:t>Note B – New Accounting Principles and Recent Accounting Pronouncements</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w w:val="84"/>
              </w:rPr>
              <w:t>7</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340" w:type="dxa"/>
            <w:vAlign w:val="bottom"/>
            <w:tcBorders>
              <w:right w:val="single" w:sz="8" w:color="0000FF"/>
            </w:tcBorders>
            <w:shd w:val="clear" w:color="auto" w:fill="0000FF"/>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340" w:type="dxa"/>
            <w:vAlign w:val="bottom"/>
            <w:tcBorders>
              <w:lef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9360" w:type="dxa"/>
            <w:vAlign w:val="bottom"/>
            <w:gridSpan w:val="24"/>
            <w:shd w:val="clear" w:color="auto" w:fill="CCEEFF"/>
          </w:tcPr>
          <w:p>
            <w:pPr>
              <w:spacing w:after="0" w:line="190" w:lineRule="exact"/>
              <w:rPr>
                <w:sz w:val="20"/>
                <w:szCs w:val="20"/>
                <w:color w:val="auto"/>
              </w:rPr>
            </w:pPr>
            <w:r>
              <w:rPr>
                <w:rFonts w:ascii="Arial" w:cs="Arial" w:eastAsia="Arial" w:hAnsi="Arial"/>
                <w:sz w:val="17"/>
                <w:szCs w:val="17"/>
                <w:color w:val="0000FF"/>
              </w:rPr>
              <w:t>Note C – Revenue from Contracts with Customers</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w w:val="84"/>
              </w:rPr>
              <w:t>8</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4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360" w:type="dxa"/>
            <w:vAlign w:val="bottom"/>
            <w:gridSpan w:val="24"/>
          </w:tcPr>
          <w:p>
            <w:pPr>
              <w:spacing w:after="0" w:line="181" w:lineRule="exact"/>
              <w:rPr>
                <w:sz w:val="20"/>
                <w:szCs w:val="20"/>
                <w:color w:val="auto"/>
              </w:rPr>
            </w:pPr>
            <w:r>
              <w:rPr>
                <w:rFonts w:ascii="Arial" w:cs="Arial" w:eastAsia="Arial" w:hAnsi="Arial"/>
                <w:sz w:val="17"/>
                <w:szCs w:val="17"/>
                <w:color w:val="0000FF"/>
              </w:rPr>
              <w:t>Note D – Property, Plant and Equipment</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10</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340" w:type="dxa"/>
            <w:vAlign w:val="bottom"/>
            <w:tcBorders>
              <w:lef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9360" w:type="dxa"/>
            <w:vAlign w:val="bottom"/>
            <w:gridSpan w:val="24"/>
            <w:shd w:val="clear" w:color="auto" w:fill="CCEEFF"/>
          </w:tcPr>
          <w:p>
            <w:pPr>
              <w:spacing w:after="0" w:line="190" w:lineRule="exact"/>
              <w:rPr>
                <w:sz w:val="20"/>
                <w:szCs w:val="20"/>
                <w:color w:val="auto"/>
              </w:rPr>
            </w:pPr>
            <w:r>
              <w:rPr>
                <w:rFonts w:ascii="Arial" w:cs="Arial" w:eastAsia="Arial" w:hAnsi="Arial"/>
                <w:sz w:val="17"/>
                <w:szCs w:val="17"/>
                <w:color w:val="0000FF"/>
              </w:rPr>
              <w:t>Note E – Financing Arrangements and Debt</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w w:val="84"/>
              </w:rPr>
              <w:t>11</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340" w:type="dxa"/>
            <w:vAlign w:val="bottom"/>
            <w:tcBorders>
              <w:right w:val="single" w:sz="8" w:color="CCEEFF"/>
            </w:tcBorders>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4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360" w:type="dxa"/>
            <w:vAlign w:val="bottom"/>
            <w:gridSpan w:val="24"/>
          </w:tcPr>
          <w:p>
            <w:pPr>
              <w:spacing w:after="0" w:line="181" w:lineRule="exact"/>
              <w:rPr>
                <w:sz w:val="20"/>
                <w:szCs w:val="20"/>
                <w:color w:val="auto"/>
              </w:rPr>
            </w:pPr>
            <w:r>
              <w:rPr>
                <w:rFonts w:ascii="Arial" w:cs="Arial" w:eastAsia="Arial" w:hAnsi="Arial"/>
                <w:sz w:val="17"/>
                <w:szCs w:val="17"/>
                <w:color w:val="0000FF"/>
              </w:rPr>
              <w:t>Note F – Other Financial Information</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12</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340" w:type="dxa"/>
            <w:vAlign w:val="bottom"/>
            <w:tcBorders>
              <w:lef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9360" w:type="dxa"/>
            <w:vAlign w:val="bottom"/>
            <w:gridSpan w:val="24"/>
            <w:shd w:val="clear" w:color="auto" w:fill="CCEEFF"/>
          </w:tcPr>
          <w:p>
            <w:pPr>
              <w:spacing w:after="0" w:line="190" w:lineRule="exact"/>
              <w:rPr>
                <w:sz w:val="20"/>
                <w:szCs w:val="20"/>
                <w:color w:val="auto"/>
              </w:rPr>
            </w:pPr>
            <w:r>
              <w:rPr>
                <w:rFonts w:ascii="Arial" w:cs="Arial" w:eastAsia="Arial" w:hAnsi="Arial"/>
                <w:sz w:val="17"/>
                <w:szCs w:val="17"/>
                <w:color w:val="0000FF"/>
              </w:rPr>
              <w:t>Note G – Asset Retirement Obligations</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rPr>
              <w:t>12</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4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360" w:type="dxa"/>
            <w:vAlign w:val="bottom"/>
            <w:gridSpan w:val="24"/>
          </w:tcPr>
          <w:p>
            <w:pPr>
              <w:spacing w:after="0" w:line="181" w:lineRule="exact"/>
              <w:rPr>
                <w:sz w:val="20"/>
                <w:szCs w:val="20"/>
                <w:color w:val="auto"/>
              </w:rPr>
            </w:pPr>
            <w:r>
              <w:rPr>
                <w:rFonts w:ascii="Arial" w:cs="Arial" w:eastAsia="Arial" w:hAnsi="Arial"/>
                <w:sz w:val="17"/>
                <w:szCs w:val="17"/>
                <w:color w:val="0000FF"/>
              </w:rPr>
              <w:t>Note H – Employee and Retiree Benefit Plans</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13</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340" w:type="dxa"/>
            <w:vAlign w:val="bottom"/>
            <w:tcBorders>
              <w:lef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9360" w:type="dxa"/>
            <w:vAlign w:val="bottom"/>
            <w:gridSpan w:val="24"/>
            <w:shd w:val="clear" w:color="auto" w:fill="CCEEFF"/>
          </w:tcPr>
          <w:p>
            <w:pPr>
              <w:spacing w:after="0" w:line="190" w:lineRule="exact"/>
              <w:rPr>
                <w:sz w:val="20"/>
                <w:szCs w:val="20"/>
                <w:color w:val="auto"/>
              </w:rPr>
            </w:pPr>
            <w:r>
              <w:rPr>
                <w:rFonts w:ascii="Arial" w:cs="Arial" w:eastAsia="Arial" w:hAnsi="Arial"/>
                <w:sz w:val="17"/>
                <w:szCs w:val="17"/>
                <w:color w:val="0000FF"/>
              </w:rPr>
              <w:t>Note I – Incentive Plans</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rPr>
              <w:t>13</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4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360" w:type="dxa"/>
            <w:vAlign w:val="bottom"/>
            <w:gridSpan w:val="24"/>
          </w:tcPr>
          <w:p>
            <w:pPr>
              <w:spacing w:after="0" w:line="181" w:lineRule="exact"/>
              <w:rPr>
                <w:sz w:val="20"/>
                <w:szCs w:val="20"/>
                <w:color w:val="auto"/>
              </w:rPr>
            </w:pPr>
            <w:r>
              <w:rPr>
                <w:rFonts w:ascii="Arial" w:cs="Arial" w:eastAsia="Arial" w:hAnsi="Arial"/>
                <w:sz w:val="17"/>
                <w:szCs w:val="17"/>
                <w:color w:val="0000FF"/>
              </w:rPr>
              <w:t>Note J – Net Income (Loss) Per Common Share</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15</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340" w:type="dxa"/>
            <w:vAlign w:val="bottom"/>
            <w:tcBorders>
              <w:lef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9360" w:type="dxa"/>
            <w:vAlign w:val="bottom"/>
            <w:gridSpan w:val="24"/>
            <w:shd w:val="clear" w:color="auto" w:fill="CCEEFF"/>
          </w:tcPr>
          <w:p>
            <w:pPr>
              <w:spacing w:after="0" w:line="190" w:lineRule="exact"/>
              <w:rPr>
                <w:sz w:val="20"/>
                <w:szCs w:val="20"/>
                <w:color w:val="auto"/>
              </w:rPr>
            </w:pPr>
            <w:r>
              <w:rPr>
                <w:rFonts w:ascii="Arial" w:cs="Arial" w:eastAsia="Arial" w:hAnsi="Arial"/>
                <w:sz w:val="17"/>
                <w:szCs w:val="17"/>
                <w:color w:val="0000FF"/>
              </w:rPr>
              <w:t>Note K – Income Taxes</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rPr>
              <w:t>15</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tcBorders>
              <w:right w:val="single" w:sz="8" w:color="CCEEFF"/>
            </w:tcBorders>
            <w:shd w:val="clear" w:color="auto" w:fill="0000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4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360" w:type="dxa"/>
            <w:vAlign w:val="bottom"/>
            <w:gridSpan w:val="24"/>
          </w:tcPr>
          <w:p>
            <w:pPr>
              <w:spacing w:after="0" w:line="181" w:lineRule="exact"/>
              <w:rPr>
                <w:sz w:val="20"/>
                <w:szCs w:val="20"/>
                <w:color w:val="auto"/>
              </w:rPr>
            </w:pPr>
            <w:r>
              <w:rPr>
                <w:rFonts w:ascii="Arial" w:cs="Arial" w:eastAsia="Arial" w:hAnsi="Arial"/>
                <w:sz w:val="17"/>
                <w:szCs w:val="17"/>
                <w:color w:val="0000FF"/>
              </w:rPr>
              <w:t>Note L – Financial Instruments and Risk Management</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15</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340" w:type="dxa"/>
            <w:vAlign w:val="bottom"/>
            <w:tcBorders>
              <w:lef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9360" w:type="dxa"/>
            <w:vAlign w:val="bottom"/>
            <w:gridSpan w:val="24"/>
            <w:shd w:val="clear" w:color="auto" w:fill="CCEEFF"/>
          </w:tcPr>
          <w:p>
            <w:pPr>
              <w:spacing w:after="0" w:line="190" w:lineRule="exact"/>
              <w:rPr>
                <w:sz w:val="20"/>
                <w:szCs w:val="20"/>
                <w:color w:val="auto"/>
              </w:rPr>
            </w:pPr>
            <w:r>
              <w:rPr>
                <w:rFonts w:ascii="Arial" w:cs="Arial" w:eastAsia="Arial" w:hAnsi="Arial"/>
                <w:sz w:val="17"/>
                <w:szCs w:val="17"/>
                <w:color w:val="0000FF"/>
              </w:rPr>
              <w:t>Note M – Accumulated Other Comprehensive Loss</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rPr>
              <w:t>18</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4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360" w:type="dxa"/>
            <w:vAlign w:val="bottom"/>
            <w:gridSpan w:val="24"/>
          </w:tcPr>
          <w:p>
            <w:pPr>
              <w:spacing w:after="0" w:line="181" w:lineRule="exact"/>
              <w:rPr>
                <w:sz w:val="20"/>
                <w:szCs w:val="20"/>
                <w:color w:val="auto"/>
              </w:rPr>
            </w:pPr>
            <w:r>
              <w:rPr>
                <w:rFonts w:ascii="Arial" w:cs="Arial" w:eastAsia="Arial" w:hAnsi="Arial"/>
                <w:sz w:val="17"/>
                <w:szCs w:val="17"/>
                <w:color w:val="0000FF"/>
              </w:rPr>
              <w:t>Note N – Environmental and Other Contingencies</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18</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340" w:type="dxa"/>
            <w:vAlign w:val="bottom"/>
            <w:tcBorders>
              <w:lef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9360" w:type="dxa"/>
            <w:vAlign w:val="bottom"/>
            <w:gridSpan w:val="24"/>
            <w:shd w:val="clear" w:color="auto" w:fill="CCEEFF"/>
          </w:tcPr>
          <w:p>
            <w:pPr>
              <w:spacing w:after="0" w:line="190" w:lineRule="exact"/>
              <w:rPr>
                <w:sz w:val="20"/>
                <w:szCs w:val="20"/>
                <w:color w:val="auto"/>
              </w:rPr>
            </w:pPr>
            <w:r>
              <w:rPr>
                <w:rFonts w:ascii="Arial" w:cs="Arial" w:eastAsia="Arial" w:hAnsi="Arial"/>
                <w:sz w:val="17"/>
                <w:szCs w:val="17"/>
                <w:color w:val="0000FF"/>
              </w:rPr>
              <w:t>Note O – Common Stock Issued and Outstanding</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rPr>
              <w:t>20</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4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360" w:type="dxa"/>
            <w:vAlign w:val="bottom"/>
            <w:gridSpan w:val="24"/>
          </w:tcPr>
          <w:p>
            <w:pPr>
              <w:spacing w:after="0" w:line="181" w:lineRule="exact"/>
              <w:rPr>
                <w:sz w:val="20"/>
                <w:szCs w:val="20"/>
                <w:color w:val="auto"/>
              </w:rPr>
            </w:pPr>
            <w:r>
              <w:rPr>
                <w:rFonts w:ascii="Arial" w:cs="Arial" w:eastAsia="Arial" w:hAnsi="Arial"/>
                <w:sz w:val="17"/>
                <w:szCs w:val="17"/>
                <w:color w:val="0000FF"/>
              </w:rPr>
              <w:t>Note P – Business Segments</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20</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10360" w:type="dxa"/>
            <w:vAlign w:val="bottom"/>
            <w:tcBorders>
              <w:left w:val="single" w:sz="8" w:color="CCEEFF"/>
            </w:tcBorders>
            <w:gridSpan w:val="28"/>
            <w:shd w:val="clear" w:color="auto" w:fill="CCEEFF"/>
          </w:tcPr>
          <w:p>
            <w:pPr>
              <w:ind w:left="340"/>
              <w:spacing w:after="0" w:line="190" w:lineRule="exact"/>
              <w:rPr>
                <w:sz w:val="20"/>
                <w:szCs w:val="20"/>
                <w:color w:val="auto"/>
              </w:rPr>
            </w:pPr>
            <w:r>
              <w:rPr>
                <w:rFonts w:ascii="Arial" w:cs="Arial" w:eastAsia="Arial" w:hAnsi="Arial"/>
                <w:sz w:val="17"/>
                <w:szCs w:val="17"/>
                <w:color w:val="0000FF"/>
              </w:rPr>
              <w:t>Item 2. Management’s Discussion and Analysis of Financial Condition and Results of</w:t>
            </w:r>
          </w:p>
        </w:tc>
        <w:tc>
          <w:tcPr>
            <w:tcW w:w="40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rPr>
              <w:t>23</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40" w:type="dxa"/>
            <w:vAlign w:val="bottom"/>
            <w:tcBorders>
              <w:top w:val="single" w:sz="8" w:color="CCEEFF"/>
              <w:left w:val="single" w:sz="8" w:color="CCEEFF"/>
            </w:tcBorders>
            <w:shd w:val="clear" w:color="auto" w:fill="CCEEFF"/>
          </w:tcPr>
          <w:p>
            <w:pPr>
              <w:spacing w:after="0"/>
              <w:rPr>
                <w:sz w:val="12"/>
                <w:szCs w:val="12"/>
                <w:color w:val="auto"/>
              </w:rPr>
            </w:pPr>
          </w:p>
        </w:tc>
        <w:tc>
          <w:tcPr>
            <w:tcW w:w="300" w:type="dxa"/>
            <w:vAlign w:val="bottom"/>
            <w:tcBorders>
              <w:top w:val="single" w:sz="8" w:color="0000FF"/>
            </w:tcBorders>
            <w:shd w:val="clear" w:color="auto" w:fill="CCEEFF"/>
          </w:tcPr>
          <w:p>
            <w:pPr>
              <w:spacing w:after="0"/>
              <w:rPr>
                <w:sz w:val="12"/>
                <w:szCs w:val="12"/>
                <w:color w:val="auto"/>
              </w:rPr>
            </w:pPr>
          </w:p>
        </w:tc>
        <w:tc>
          <w:tcPr>
            <w:tcW w:w="120" w:type="dxa"/>
            <w:vAlign w:val="bottom"/>
            <w:tcBorders>
              <w:top w:val="single" w:sz="8" w:color="0000FF"/>
            </w:tcBorders>
            <w:shd w:val="clear" w:color="auto" w:fill="CCEEFF"/>
          </w:tcPr>
          <w:p>
            <w:pPr>
              <w:spacing w:after="0"/>
              <w:rPr>
                <w:sz w:val="12"/>
                <w:szCs w:val="12"/>
                <w:color w:val="auto"/>
              </w:rPr>
            </w:pPr>
          </w:p>
        </w:tc>
        <w:tc>
          <w:tcPr>
            <w:tcW w:w="240" w:type="dxa"/>
            <w:vAlign w:val="bottom"/>
            <w:tcBorders>
              <w:top w:val="single" w:sz="8" w:color="0000FF"/>
              <w:right w:val="single" w:sz="8" w:color="CCEEFF"/>
            </w:tcBorders>
            <w:shd w:val="clear" w:color="auto" w:fill="CCEEFF"/>
          </w:tcPr>
          <w:p>
            <w:pPr>
              <w:spacing w:after="0"/>
              <w:rPr>
                <w:sz w:val="12"/>
                <w:szCs w:val="12"/>
                <w:color w:val="auto"/>
              </w:rPr>
            </w:pPr>
          </w:p>
        </w:tc>
        <w:tc>
          <w:tcPr>
            <w:tcW w:w="5880" w:type="dxa"/>
            <w:vAlign w:val="bottom"/>
            <w:tcBorders>
              <w:top w:val="single" w:sz="8" w:color="0000FF"/>
              <w:right w:val="single" w:sz="8" w:color="CCEEFF"/>
            </w:tcBorders>
            <w:gridSpan w:val="23"/>
            <w:shd w:val="clear" w:color="auto" w:fill="CCEEFF"/>
          </w:tcPr>
          <w:p>
            <w:pPr>
              <w:spacing w:after="0" w:line="135" w:lineRule="exact"/>
              <w:rPr>
                <w:sz w:val="20"/>
                <w:szCs w:val="20"/>
                <w:color w:val="auto"/>
              </w:rPr>
            </w:pPr>
            <w:r>
              <w:rPr>
                <w:rFonts w:ascii="Arial" w:cs="Arial" w:eastAsia="Arial" w:hAnsi="Arial"/>
                <w:sz w:val="15"/>
                <w:szCs w:val="15"/>
                <w:color w:val="0000FF"/>
              </w:rPr>
              <w:t>Operations</w:t>
            </w:r>
          </w:p>
        </w:tc>
        <w:tc>
          <w:tcPr>
            <w:tcW w:w="34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CCEEFF"/>
            </w:tcBorders>
            <w:vMerge w:val="continue"/>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340" w:type="dxa"/>
            <w:vAlign w:val="bottom"/>
            <w:tcBorders>
              <w:top w:val="single" w:sz="8" w:color="CCEEFF"/>
              <w:left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right w:val="single" w:sz="8" w:color="CCEE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left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34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left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right w:val="single" w:sz="8" w:color="CCEEFF"/>
            </w:tcBorders>
            <w:shd w:val="clear" w:color="auto" w:fill="CCEEFF"/>
          </w:tcPr>
          <w:p>
            <w:pPr>
              <w:spacing w:after="0"/>
              <w:rPr>
                <w:sz w:val="2"/>
                <w:szCs w:val="2"/>
                <w:color w:val="auto"/>
              </w:rPr>
            </w:pPr>
          </w:p>
        </w:tc>
        <w:tc>
          <w:tcPr>
            <w:tcW w:w="34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1000" w:type="dxa"/>
            <w:vAlign w:val="bottom"/>
            <w:gridSpan w:val="4"/>
          </w:tcPr>
          <w:p>
            <w:pPr>
              <w:ind w:left="340"/>
              <w:spacing w:after="0" w:line="181" w:lineRule="exact"/>
              <w:rPr>
                <w:sz w:val="20"/>
                <w:szCs w:val="20"/>
                <w:color w:val="auto"/>
              </w:rPr>
            </w:pPr>
            <w:r>
              <w:rPr>
                <w:rFonts w:ascii="Arial" w:cs="Arial" w:eastAsia="Arial" w:hAnsi="Arial"/>
                <w:sz w:val="17"/>
                <w:szCs w:val="17"/>
                <w:color w:val="0000FF"/>
              </w:rPr>
              <w:t>Item 3.</w:t>
            </w:r>
          </w:p>
        </w:tc>
        <w:tc>
          <w:tcPr>
            <w:tcW w:w="9360" w:type="dxa"/>
            <w:vAlign w:val="bottom"/>
            <w:gridSpan w:val="24"/>
          </w:tcPr>
          <w:p>
            <w:pPr>
              <w:spacing w:after="0" w:line="181" w:lineRule="exact"/>
              <w:rPr>
                <w:sz w:val="20"/>
                <w:szCs w:val="20"/>
                <w:color w:val="auto"/>
              </w:rPr>
            </w:pPr>
            <w:r>
              <w:rPr>
                <w:rFonts w:ascii="Arial" w:cs="Arial" w:eastAsia="Arial" w:hAnsi="Arial"/>
                <w:sz w:val="17"/>
                <w:szCs w:val="17"/>
                <w:color w:val="0000FF"/>
              </w:rPr>
              <w:t>Quantitative and Qualitative Disclosures About Market Risk</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39</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1000" w:type="dxa"/>
            <w:vAlign w:val="bottom"/>
            <w:tcBorders>
              <w:left w:val="single" w:sz="8" w:color="CCEEFF"/>
              <w:right w:val="single" w:sz="8" w:color="CCEEFF"/>
            </w:tcBorders>
            <w:gridSpan w:val="4"/>
            <w:shd w:val="clear" w:color="auto" w:fill="CCEEFF"/>
          </w:tcPr>
          <w:p>
            <w:pPr>
              <w:ind w:left="340"/>
              <w:spacing w:after="0" w:line="190" w:lineRule="exact"/>
              <w:rPr>
                <w:sz w:val="20"/>
                <w:szCs w:val="20"/>
                <w:color w:val="auto"/>
              </w:rPr>
            </w:pPr>
            <w:r>
              <w:rPr>
                <w:rFonts w:ascii="Arial" w:cs="Arial" w:eastAsia="Arial" w:hAnsi="Arial"/>
                <w:sz w:val="17"/>
                <w:szCs w:val="17"/>
                <w:color w:val="0000FF"/>
              </w:rPr>
              <w:t>Item 4.</w:t>
            </w:r>
          </w:p>
        </w:tc>
        <w:tc>
          <w:tcPr>
            <w:tcW w:w="9360" w:type="dxa"/>
            <w:vAlign w:val="bottom"/>
            <w:gridSpan w:val="24"/>
            <w:shd w:val="clear" w:color="auto" w:fill="CCEEFF"/>
          </w:tcPr>
          <w:p>
            <w:pPr>
              <w:spacing w:after="0" w:line="190" w:lineRule="exact"/>
              <w:rPr>
                <w:sz w:val="20"/>
                <w:szCs w:val="20"/>
                <w:color w:val="auto"/>
              </w:rPr>
            </w:pPr>
            <w:r>
              <w:rPr>
                <w:rFonts w:ascii="Arial" w:cs="Arial" w:eastAsia="Arial" w:hAnsi="Arial"/>
                <w:sz w:val="17"/>
                <w:szCs w:val="17"/>
                <w:color w:val="0000FF"/>
              </w:rPr>
              <w:t>Controls and Procedures</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rPr>
              <w:t>39</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140" w:type="dxa"/>
            <w:vAlign w:val="bottom"/>
            <w:tcBorders>
              <w:right w:val="single" w:sz="8" w:color="CCEEFF"/>
            </w:tcBorders>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4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20" w:type="dxa"/>
            <w:vAlign w:val="bottom"/>
            <w:tcBorders>
              <w:bottom w:val="single" w:sz="8" w:color="0000FF"/>
            </w:tcBorders>
            <w:gridSpan w:val="7"/>
          </w:tcPr>
          <w:p>
            <w:pPr>
              <w:ind w:left="20"/>
              <w:spacing w:after="0" w:line="181" w:lineRule="exact"/>
              <w:rPr>
                <w:sz w:val="20"/>
                <w:szCs w:val="20"/>
                <w:color w:val="auto"/>
              </w:rPr>
            </w:pPr>
            <w:r>
              <w:rPr>
                <w:rFonts w:ascii="Arial" w:cs="Arial" w:eastAsia="Arial" w:hAnsi="Arial"/>
                <w:sz w:val="17"/>
                <w:szCs w:val="17"/>
                <w:color w:val="0000FF"/>
              </w:rPr>
              <w:t>Part II – Other Information</w:t>
            </w:r>
          </w:p>
        </w:tc>
        <w:tc>
          <w:tcPr>
            <w:tcW w:w="8340" w:type="dxa"/>
            <w:vAlign w:val="bottom"/>
            <w:gridSpan w:val="21"/>
          </w:tcPr>
          <w:p>
            <w:pPr>
              <w:spacing w:after="0"/>
              <w:rPr>
                <w:sz w:val="16"/>
                <w:szCs w:val="16"/>
                <w:color w:val="auto"/>
              </w:rPr>
            </w:pP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40</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0" w:type="dxa"/>
            <w:vAlign w:val="bottom"/>
            <w:tcBorders>
              <w:left w:val="single" w:sz="8" w:color="CCEEFF"/>
              <w:right w:val="single" w:sz="8" w:color="CCEEFF"/>
            </w:tcBorders>
            <w:gridSpan w:val="4"/>
            <w:shd w:val="clear" w:color="auto" w:fill="CCEEFF"/>
          </w:tcPr>
          <w:p>
            <w:pPr>
              <w:ind w:left="340"/>
              <w:spacing w:after="0" w:line="190" w:lineRule="exact"/>
              <w:rPr>
                <w:sz w:val="20"/>
                <w:szCs w:val="20"/>
                <w:color w:val="auto"/>
              </w:rPr>
            </w:pPr>
            <w:r>
              <w:rPr>
                <w:rFonts w:ascii="Arial" w:cs="Arial" w:eastAsia="Arial" w:hAnsi="Arial"/>
                <w:sz w:val="17"/>
                <w:szCs w:val="17"/>
                <w:color w:val="0000FF"/>
              </w:rPr>
              <w:t>Item 1.</w:t>
            </w:r>
          </w:p>
        </w:tc>
        <w:tc>
          <w:tcPr>
            <w:tcW w:w="9360" w:type="dxa"/>
            <w:vAlign w:val="bottom"/>
            <w:gridSpan w:val="24"/>
            <w:shd w:val="clear" w:color="auto" w:fill="CCEEFF"/>
          </w:tcPr>
          <w:p>
            <w:pPr>
              <w:spacing w:after="0" w:line="190" w:lineRule="exact"/>
              <w:rPr>
                <w:sz w:val="20"/>
                <w:szCs w:val="20"/>
                <w:color w:val="auto"/>
              </w:rPr>
            </w:pPr>
            <w:r>
              <w:rPr>
                <w:rFonts w:ascii="Arial" w:cs="Arial" w:eastAsia="Arial" w:hAnsi="Arial"/>
                <w:sz w:val="17"/>
                <w:szCs w:val="17"/>
                <w:color w:val="0000FF"/>
              </w:rPr>
              <w:t>Legal Proceedings</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rPr>
              <w:t>40</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4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10360" w:type="dxa"/>
            <w:vAlign w:val="bottom"/>
            <w:gridSpan w:val="28"/>
          </w:tcPr>
          <w:p>
            <w:pPr>
              <w:ind w:left="340"/>
              <w:spacing w:after="0" w:line="181" w:lineRule="exact"/>
              <w:rPr>
                <w:sz w:val="20"/>
                <w:szCs w:val="20"/>
                <w:color w:val="auto"/>
              </w:rPr>
            </w:pPr>
            <w:r>
              <w:rPr>
                <w:rFonts w:ascii="Arial" w:cs="Arial" w:eastAsia="Arial" w:hAnsi="Arial"/>
                <w:sz w:val="17"/>
                <w:szCs w:val="17"/>
                <w:color w:val="0000FF"/>
              </w:rPr>
              <w:t>Item 1A. Risk Factors</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40</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10360" w:type="dxa"/>
            <w:vAlign w:val="bottom"/>
            <w:tcBorders>
              <w:left w:val="single" w:sz="8" w:color="CCEEFF"/>
            </w:tcBorders>
            <w:gridSpan w:val="28"/>
            <w:shd w:val="clear" w:color="auto" w:fill="CCEEFF"/>
          </w:tcPr>
          <w:p>
            <w:pPr>
              <w:ind w:left="340"/>
              <w:spacing w:after="0" w:line="190" w:lineRule="exact"/>
              <w:rPr>
                <w:sz w:val="20"/>
                <w:szCs w:val="20"/>
                <w:color w:val="auto"/>
              </w:rPr>
            </w:pPr>
            <w:r>
              <w:rPr>
                <w:rFonts w:ascii="Arial" w:cs="Arial" w:eastAsia="Arial" w:hAnsi="Arial"/>
                <w:sz w:val="17"/>
                <w:szCs w:val="17"/>
                <w:color w:val="0000FF"/>
              </w:rPr>
              <w:t>Item 2. Unregistered Sales of Equity Securities and Use of Proceeds</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rPr>
              <w:t>40</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34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10360" w:type="dxa"/>
            <w:vAlign w:val="bottom"/>
            <w:gridSpan w:val="28"/>
          </w:tcPr>
          <w:p>
            <w:pPr>
              <w:ind w:left="340"/>
              <w:spacing w:after="0" w:line="181" w:lineRule="exact"/>
              <w:rPr>
                <w:sz w:val="20"/>
                <w:szCs w:val="20"/>
                <w:color w:val="auto"/>
              </w:rPr>
            </w:pPr>
            <w:r>
              <w:rPr>
                <w:rFonts w:ascii="Arial" w:cs="Arial" w:eastAsia="Arial" w:hAnsi="Arial"/>
                <w:sz w:val="17"/>
                <w:szCs w:val="17"/>
                <w:color w:val="0000FF"/>
              </w:rPr>
              <w:t>Item 5. Other Information</w:t>
            </w: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41</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1000" w:type="dxa"/>
            <w:vAlign w:val="bottom"/>
            <w:tcBorders>
              <w:left w:val="single" w:sz="8" w:color="CCEEFF"/>
              <w:right w:val="single" w:sz="8" w:color="CCEEFF"/>
            </w:tcBorders>
            <w:gridSpan w:val="4"/>
            <w:shd w:val="clear" w:color="auto" w:fill="CCEEFF"/>
          </w:tcPr>
          <w:p>
            <w:pPr>
              <w:ind w:left="340"/>
              <w:spacing w:after="0" w:line="190" w:lineRule="exact"/>
              <w:rPr>
                <w:sz w:val="20"/>
                <w:szCs w:val="20"/>
                <w:color w:val="auto"/>
              </w:rPr>
            </w:pPr>
            <w:r>
              <w:rPr>
                <w:rFonts w:ascii="Arial" w:cs="Arial" w:eastAsia="Arial" w:hAnsi="Arial"/>
                <w:sz w:val="17"/>
                <w:szCs w:val="17"/>
                <w:color w:val="0000FF"/>
              </w:rPr>
              <w:t>Item 6.</w:t>
            </w:r>
          </w:p>
        </w:tc>
        <w:tc>
          <w:tcPr>
            <w:tcW w:w="9360" w:type="dxa"/>
            <w:vAlign w:val="bottom"/>
            <w:gridSpan w:val="24"/>
            <w:shd w:val="clear" w:color="auto" w:fill="CCEEFF"/>
          </w:tcPr>
          <w:p>
            <w:pPr>
              <w:spacing w:after="0" w:line="190" w:lineRule="exact"/>
              <w:rPr>
                <w:sz w:val="20"/>
                <w:szCs w:val="20"/>
                <w:color w:val="auto"/>
              </w:rPr>
            </w:pPr>
            <w:r>
              <w:rPr>
                <w:rFonts w:ascii="Arial" w:cs="Arial" w:eastAsia="Arial" w:hAnsi="Arial"/>
                <w:sz w:val="17"/>
                <w:szCs w:val="17"/>
                <w:color w:val="0000FF"/>
              </w:rPr>
              <w:t>Exhibits</w:t>
            </w:r>
          </w:p>
        </w:tc>
        <w:tc>
          <w:tcPr>
            <w:tcW w:w="4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242424"/>
              </w:rPr>
              <w:t>41</w:t>
            </w:r>
          </w:p>
        </w:tc>
        <w:tc>
          <w:tcPr>
            <w:tcW w:w="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40" w:type="dxa"/>
            <w:vAlign w:val="bottom"/>
            <w:tcBorders>
              <w:right w:val="single" w:sz="8" w:color="CCEEFF"/>
            </w:tcBorders>
            <w:shd w:val="clear" w:color="auto" w:fill="CCEEFF"/>
          </w:tcPr>
          <w:p>
            <w:pPr>
              <w:spacing w:after="0"/>
              <w:rPr>
                <w:sz w:val="3"/>
                <w:szCs w:val="3"/>
                <w:color w:val="auto"/>
              </w:rPr>
            </w:pPr>
          </w:p>
        </w:tc>
        <w:tc>
          <w:tcPr>
            <w:tcW w:w="34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1000" w:type="dxa"/>
            <w:vAlign w:val="bottom"/>
            <w:gridSpan w:val="4"/>
          </w:tcPr>
          <w:p>
            <w:pPr>
              <w:ind w:left="20"/>
              <w:spacing w:after="0" w:line="181" w:lineRule="exact"/>
              <w:rPr>
                <w:sz w:val="20"/>
                <w:szCs w:val="20"/>
                <w:color w:val="auto"/>
              </w:rPr>
            </w:pPr>
            <w:r>
              <w:rPr>
                <w:rFonts w:ascii="Arial" w:cs="Arial" w:eastAsia="Arial" w:hAnsi="Arial"/>
                <w:sz w:val="17"/>
                <w:szCs w:val="17"/>
                <w:color w:val="0000FF"/>
              </w:rPr>
              <w:t>Signature</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400" w:type="dxa"/>
            <w:vAlign w:val="bottom"/>
          </w:tcPr>
          <w:p>
            <w:pPr>
              <w:jc w:val="center"/>
              <w:spacing w:after="0" w:line="181" w:lineRule="exact"/>
              <w:rPr>
                <w:sz w:val="20"/>
                <w:szCs w:val="20"/>
                <w:color w:val="auto"/>
              </w:rPr>
            </w:pPr>
            <w:r>
              <w:rPr>
                <w:rFonts w:ascii="Arial" w:cs="Arial" w:eastAsia="Arial" w:hAnsi="Arial"/>
                <w:sz w:val="17"/>
                <w:szCs w:val="17"/>
                <w:color w:val="242424"/>
              </w:rPr>
              <w:t>42</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8"/>
        </w:trPr>
        <w:tc>
          <w:tcPr>
            <w:tcW w:w="3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5880" w:type="dxa"/>
            <w:vAlign w:val="bottom"/>
            <w:gridSpan w:val="23"/>
          </w:tcPr>
          <w:p>
            <w:pPr>
              <w:jc w:val="center"/>
              <w:ind w:left="3294"/>
              <w:spacing w:after="0"/>
              <w:rPr>
                <w:sz w:val="20"/>
                <w:szCs w:val="20"/>
                <w:color w:val="auto"/>
              </w:rPr>
            </w:pPr>
            <w:r>
              <w:rPr>
                <w:rFonts w:ascii="Arial" w:cs="Arial" w:eastAsia="Arial" w:hAnsi="Arial"/>
                <w:sz w:val="17"/>
                <w:szCs w:val="17"/>
                <w:color w:val="auto"/>
              </w:rPr>
              <w:t>1</w:t>
            </w:r>
          </w:p>
        </w:tc>
        <w:tc>
          <w:tcPr>
            <w:tcW w:w="3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 – FINANCIAL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MURPHY OIL CORPORATION AND CONSOLIDATED SUBSIDIARIES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BALANCE SHEETS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88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(Thousands of dollars, except share amounts)</w:t>
            </w:r>
          </w:p>
        </w:tc>
        <w:tc>
          <w:tcPr>
            <w:tcW w:w="260" w:type="dxa"/>
            <w:vAlign w:val="bottom"/>
          </w:tcPr>
          <w:p>
            <w:pPr>
              <w:spacing w:after="0"/>
              <w:rPr>
                <w:sz w:val="16"/>
                <w:szCs w:val="16"/>
                <w:color w:val="auto"/>
              </w:rPr>
            </w:pPr>
          </w:p>
        </w:tc>
        <w:tc>
          <w:tcPr>
            <w:tcW w:w="142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6"/>
                <w:szCs w:val="16"/>
                <w:color w:val="auto"/>
              </w:rPr>
            </w:pPr>
          </w:p>
        </w:tc>
        <w:tc>
          <w:tcPr>
            <w:tcW w:w="1380" w:type="dxa"/>
            <w:vAlign w:val="bottom"/>
          </w:tcPr>
          <w:p>
            <w:pPr>
              <w:jc w:val="right"/>
              <w:ind w:right="198"/>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jc w:val="right"/>
              <w:ind w:right="518"/>
              <w:spacing w:after="0" w:line="135" w:lineRule="exact"/>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right"/>
              <w:ind w:right="518"/>
              <w:spacing w:after="0" w:line="135" w:lineRule="exact"/>
              <w:rPr>
                <w:sz w:val="20"/>
                <w:szCs w:val="20"/>
                <w:color w:val="auto"/>
              </w:rPr>
            </w:pPr>
            <w:r>
              <w:rPr>
                <w:rFonts w:ascii="Arial" w:cs="Arial" w:eastAsia="Arial" w:hAnsi="Arial"/>
                <w:sz w:val="15"/>
                <w:szCs w:val="15"/>
                <w:color w:val="auto"/>
              </w:rPr>
              <w:t>2024</w:t>
            </w: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332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6"/>
                <w:szCs w:val="16"/>
                <w:b w:val="1"/>
                <w:bCs w:val="1"/>
                <w:color w:val="auto"/>
              </w:rPr>
              <w:t>ASSETS</w:t>
            </w:r>
          </w:p>
        </w:tc>
        <w:tc>
          <w:tcPr>
            <w:tcW w:w="4560" w:type="dxa"/>
            <w:vAlign w:val="bottom"/>
            <w:vMerge w:val="restart"/>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3320" w:type="dxa"/>
            <w:vAlign w:val="bottom"/>
            <w:vMerge w:val="continue"/>
          </w:tcPr>
          <w:p>
            <w:pPr>
              <w:spacing w:after="0"/>
              <w:rPr>
                <w:sz w:val="16"/>
                <w:szCs w:val="16"/>
                <w:color w:val="auto"/>
              </w:rPr>
            </w:pPr>
          </w:p>
        </w:tc>
        <w:tc>
          <w:tcPr>
            <w:tcW w:w="45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8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8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78"/>
              <w:spacing w:after="0"/>
              <w:rPr>
                <w:sz w:val="20"/>
                <w:szCs w:val="20"/>
                <w:color w:val="auto"/>
              </w:rPr>
            </w:pPr>
            <w:r>
              <w:rPr>
                <w:rFonts w:ascii="Arial" w:cs="Arial" w:eastAsia="Arial" w:hAnsi="Arial"/>
                <w:sz w:val="16"/>
                <w:szCs w:val="16"/>
                <w:b w:val="1"/>
                <w:bCs w:val="1"/>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392,914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423,569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80" w:type="dxa"/>
            <w:vAlign w:val="bottom"/>
            <w:gridSpan w:val="2"/>
          </w:tcPr>
          <w:p>
            <w:pPr>
              <w:ind w:left="340"/>
              <w:spacing w:after="0"/>
              <w:rPr>
                <w:sz w:val="20"/>
                <w:szCs w:val="20"/>
                <w:color w:val="auto"/>
              </w:rPr>
            </w:pPr>
            <w:r>
              <w:rPr>
                <w:rFonts w:ascii="Arial" w:cs="Arial" w:eastAsia="Arial" w:hAnsi="Arial"/>
                <w:sz w:val="16"/>
                <w:szCs w:val="16"/>
                <w:color w:val="auto"/>
              </w:rPr>
              <w:t>Accounts receivable, net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282,249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272,530</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8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Inventories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71,048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54,858</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788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Prepaid expenses</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25,200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34,322</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88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Total current assets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771,411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785,279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80" w:type="dxa"/>
            <w:vAlign w:val="bottom"/>
            <w:gridSpan w:val="2"/>
          </w:tcPr>
          <w:p>
            <w:pPr>
              <w:spacing w:after="0" w:line="155" w:lineRule="exact"/>
              <w:rPr>
                <w:sz w:val="20"/>
                <w:szCs w:val="20"/>
                <w:color w:val="auto"/>
              </w:rPr>
            </w:pPr>
            <w:r>
              <w:rPr>
                <w:rFonts w:ascii="Arial" w:cs="Arial" w:eastAsia="Arial" w:hAnsi="Arial"/>
                <w:sz w:val="16"/>
                <w:szCs w:val="16"/>
                <w:color w:val="auto"/>
              </w:rPr>
              <w:t>Property, plant and equipment, at cost less accumulated depreciation, depletion and amortization of</w:t>
            </w:r>
          </w:p>
        </w:tc>
        <w:tc>
          <w:tcPr>
            <w:tcW w:w="26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8,279,284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8,054,653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6"/>
                <w:szCs w:val="16"/>
                <w:color w:val="auto"/>
              </w:rPr>
              <w:t>$14,007,994 in 2025 and $13,811,539 in 2024</w:t>
            </w:r>
          </w:p>
        </w:tc>
        <w:tc>
          <w:tcPr>
            <w:tcW w:w="2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lease assets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714,091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777,536</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78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Deferred charges and other assets</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55,537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50,011</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788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9,820,323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9,667,479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8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LIABILITIES AND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vMerge w:val="continue"/>
          </w:tcPr>
          <w:p>
            <w:pPr>
              <w:spacing w:after="0"/>
              <w:rPr>
                <w:sz w:val="14"/>
                <w:szCs w:val="14"/>
                <w:color w:val="auto"/>
              </w:rPr>
            </w:pPr>
          </w:p>
        </w:tc>
        <w:tc>
          <w:tcPr>
            <w:tcW w:w="78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80" w:type="dxa"/>
            <w:vAlign w:val="bottom"/>
            <w:gridSpan w:val="2"/>
          </w:tcPr>
          <w:p>
            <w:pPr>
              <w:ind w:left="340"/>
              <w:spacing w:after="0"/>
              <w:rPr>
                <w:sz w:val="20"/>
                <w:szCs w:val="20"/>
                <w:color w:val="auto"/>
              </w:rPr>
            </w:pPr>
            <w:r>
              <w:rPr>
                <w:rFonts w:ascii="Arial" w:cs="Arial" w:eastAsia="Arial" w:hAnsi="Arial"/>
                <w:sz w:val="16"/>
                <w:szCs w:val="16"/>
                <w:color w:val="auto"/>
              </w:rPr>
              <w:t>Current maturities of long-term debt, finance lease</w:t>
            </w:r>
          </w:p>
        </w:tc>
        <w:tc>
          <w:tcPr>
            <w:tcW w:w="260" w:type="dxa"/>
            <w:vAlign w:val="bottom"/>
          </w:tcPr>
          <w:p>
            <w:pPr>
              <w:jc w:val="right"/>
              <w:ind w:right="78"/>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892</w:t>
            </w:r>
          </w:p>
        </w:tc>
        <w:tc>
          <w:tcPr>
            <w:tcW w:w="100" w:type="dxa"/>
            <w:vAlign w:val="bottom"/>
          </w:tcPr>
          <w:p>
            <w:pPr>
              <w:spacing w:after="0"/>
              <w:rPr>
                <w:sz w:val="19"/>
                <w:szCs w:val="19"/>
                <w:color w:val="auto"/>
              </w:rPr>
            </w:pPr>
          </w:p>
        </w:tc>
        <w:tc>
          <w:tcPr>
            <w:tcW w:w="200" w:type="dxa"/>
            <w:vAlign w:val="bottom"/>
          </w:tcPr>
          <w:p>
            <w:pPr>
              <w:jc w:val="right"/>
              <w:ind w:right="18"/>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871</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8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538,290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472,165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80" w:type="dxa"/>
            <w:vAlign w:val="bottom"/>
            <w:gridSpan w:val="2"/>
          </w:tcPr>
          <w:p>
            <w:pPr>
              <w:ind w:left="340"/>
              <w:spacing w:after="0"/>
              <w:rPr>
                <w:sz w:val="20"/>
                <w:szCs w:val="20"/>
                <w:color w:val="auto"/>
              </w:rPr>
            </w:pPr>
            <w:r>
              <w:rPr>
                <w:rFonts w:ascii="Arial" w:cs="Arial" w:eastAsia="Arial" w:hAnsi="Arial"/>
                <w:sz w:val="16"/>
                <w:szCs w:val="16"/>
                <w:color w:val="auto"/>
              </w:rPr>
              <w:t>Income taxes payable</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25,217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19,003</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8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Other taxes payable</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32,874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31,685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80" w:type="dxa"/>
            <w:vAlign w:val="bottom"/>
            <w:gridSpan w:val="2"/>
          </w:tcPr>
          <w:p>
            <w:pPr>
              <w:ind w:left="340"/>
              <w:spacing w:after="0"/>
              <w:rPr>
                <w:sz w:val="20"/>
                <w:szCs w:val="20"/>
                <w:color w:val="auto"/>
              </w:rPr>
            </w:pPr>
            <w:r>
              <w:rPr>
                <w:rFonts w:ascii="Arial" w:cs="Arial" w:eastAsia="Arial" w:hAnsi="Arial"/>
                <w:sz w:val="16"/>
                <w:szCs w:val="16"/>
                <w:color w:val="auto"/>
              </w:rPr>
              <w:t>Operating lease liabilities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243,232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253,208</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8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Other accrued liabilities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90,566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117,802</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788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Current asset retirement obligations</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77,452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48,080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88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Total current liabilities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1,008,523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942,814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80" w:type="dxa"/>
            <w:vAlign w:val="bottom"/>
            <w:gridSpan w:val="2"/>
          </w:tcPr>
          <w:p>
            <w:pPr>
              <w:spacing w:after="0"/>
              <w:rPr>
                <w:sz w:val="20"/>
                <w:szCs w:val="20"/>
                <w:color w:val="auto"/>
              </w:rPr>
            </w:pPr>
            <w:r>
              <w:rPr>
                <w:rFonts w:ascii="Arial" w:cs="Arial" w:eastAsia="Arial" w:hAnsi="Arial"/>
                <w:sz w:val="16"/>
                <w:szCs w:val="16"/>
                <w:color w:val="auto"/>
              </w:rPr>
              <w:t>Long-term debt, including finance lease obligation</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1,474,828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1,274,502</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 retirement obligations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954,709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960,804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80" w:type="dxa"/>
            <w:vAlign w:val="bottom"/>
            <w:gridSpan w:val="2"/>
          </w:tcPr>
          <w:p>
            <w:pPr>
              <w:spacing w:after="0"/>
              <w:rPr>
                <w:sz w:val="20"/>
                <w:szCs w:val="20"/>
                <w:color w:val="auto"/>
              </w:rPr>
            </w:pPr>
            <w:r>
              <w:rPr>
                <w:rFonts w:ascii="Arial" w:cs="Arial" w:eastAsia="Arial" w:hAnsi="Arial"/>
                <w:sz w:val="16"/>
                <w:szCs w:val="16"/>
                <w:color w:val="auto"/>
              </w:rPr>
              <w:t>Deferred credits and other liabilities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269,334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274,345</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Non-current operating lease liabilities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483,370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537,381</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78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Deferred income taxes</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352,280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335,790</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788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4,543,044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4,325,636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8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78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788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Cumulative Preferred Stock, par $100, authorized 400,000 shares, none issued</w:t>
            </w:r>
          </w:p>
        </w:tc>
        <w:tc>
          <w:tcPr>
            <w:tcW w:w="260" w:type="dxa"/>
            <w:vAlign w:val="bottom"/>
            <w:shd w:val="clear" w:color="auto" w:fill="CCEEFF"/>
          </w:tcPr>
          <w:p>
            <w:pPr>
              <w:jc w:val="right"/>
              <w:ind w:right="78"/>
              <w:spacing w:after="0"/>
              <w:rPr>
                <w:sz w:val="20"/>
                <w:szCs w:val="20"/>
                <w:color w:val="auto"/>
              </w:rPr>
            </w:pPr>
            <w:r>
              <w:rPr>
                <w:rFonts w:ascii="Arial" w:cs="Arial" w:eastAsia="Arial" w:hAnsi="Arial"/>
                <w:sz w:val="16"/>
                <w:szCs w:val="16"/>
                <w:b w:val="1"/>
                <w:bCs w:val="1"/>
                <w:color w:val="auto"/>
                <w:w w:val="89"/>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80" w:type="dxa"/>
            <w:vAlign w:val="bottom"/>
            <w:gridSpan w:val="2"/>
          </w:tcPr>
          <w:p>
            <w:pPr>
              <w:ind w:left="320"/>
              <w:spacing w:after="0" w:line="155" w:lineRule="exact"/>
              <w:rPr>
                <w:sz w:val="20"/>
                <w:szCs w:val="20"/>
                <w:color w:val="auto"/>
              </w:rPr>
            </w:pPr>
            <w:r>
              <w:rPr>
                <w:rFonts w:ascii="Arial" w:cs="Arial" w:eastAsia="Arial" w:hAnsi="Arial"/>
                <w:sz w:val="16"/>
                <w:szCs w:val="16"/>
                <w:color w:val="auto"/>
              </w:rPr>
              <w:t>Common Stock, par $1.00, authorized 450,000,000 shares, issued 195,100,628 shares in 2025 and</w:t>
            </w:r>
          </w:p>
        </w:tc>
        <w:tc>
          <w:tcPr>
            <w:tcW w:w="26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195,101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195,101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80" w:type="dxa"/>
            <w:vAlign w:val="bottom"/>
            <w:gridSpan w:val="2"/>
          </w:tcPr>
          <w:p>
            <w:pPr>
              <w:ind w:left="320"/>
              <w:spacing w:after="0"/>
              <w:rPr>
                <w:sz w:val="20"/>
                <w:szCs w:val="20"/>
                <w:color w:val="auto"/>
              </w:rPr>
            </w:pPr>
            <w:r>
              <w:rPr>
                <w:rFonts w:ascii="Arial" w:cs="Arial" w:eastAsia="Arial" w:hAnsi="Arial"/>
                <w:sz w:val="16"/>
                <w:szCs w:val="16"/>
                <w:color w:val="auto"/>
              </w:rPr>
              <w:t>195,100,628 shares in 2024</w:t>
            </w:r>
          </w:p>
        </w:tc>
        <w:tc>
          <w:tcPr>
            <w:tcW w:w="2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78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Capital in excess of par value</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830,945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848,950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80" w:type="dxa"/>
            <w:vAlign w:val="bottom"/>
            <w:gridSpan w:val="2"/>
          </w:tcPr>
          <w:p>
            <w:pPr>
              <w:ind w:left="340"/>
              <w:spacing w:after="0"/>
              <w:rPr>
                <w:sz w:val="20"/>
                <w:szCs w:val="20"/>
                <w:color w:val="auto"/>
              </w:rPr>
            </w:pPr>
            <w:r>
              <w:rPr>
                <w:rFonts w:ascii="Arial" w:cs="Arial" w:eastAsia="Arial" w:hAnsi="Arial"/>
                <w:sz w:val="16"/>
                <w:szCs w:val="16"/>
                <w:color w:val="auto"/>
              </w:rPr>
              <w:t>Retained earnings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6,799,299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6,773,289</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8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(628,875)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(628,072)</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788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Treasury stock</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(2,076,211)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(1,995,018)</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88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Murphy Shareholders' Equity</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5,120,259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5,194,250</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788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Noncontrolling interest</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157,020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147,593</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88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Total equity</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5,277,279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5,341,843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80" w:type="dxa"/>
            <w:vAlign w:val="bottom"/>
            <w:gridSpan w:val="2"/>
          </w:tcPr>
          <w:p>
            <w:pPr>
              <w:ind w:left="820"/>
              <w:spacing w:after="0"/>
              <w:rPr>
                <w:sz w:val="20"/>
                <w:szCs w:val="20"/>
                <w:color w:val="auto"/>
              </w:rPr>
            </w:pPr>
            <w:r>
              <w:rPr>
                <w:rFonts w:ascii="Arial" w:cs="Arial" w:eastAsia="Arial" w:hAnsi="Arial"/>
                <w:sz w:val="16"/>
                <w:szCs w:val="16"/>
                <w:color w:val="auto"/>
              </w:rPr>
              <w:t>Total liabilities and equity</w:t>
            </w:r>
          </w:p>
        </w:tc>
        <w:tc>
          <w:tcPr>
            <w:tcW w:w="2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9,820,323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9,667,479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278" w:right="41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MURPHY OIL CORPORATION AND CONSOLIDATED SUBSIDIARIES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gridSpan w:val="4"/>
          </w:tcPr>
          <w:p>
            <w:pPr>
              <w:jc w:val="right"/>
              <w:ind w:right="478"/>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(Thousands of dollars, except per share amounts)</w:t>
            </w: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4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ind w:right="398"/>
              <w:spacing w:after="0" w:line="135" w:lineRule="exact"/>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jc w:val="right"/>
              <w:ind w:right="398"/>
              <w:spacing w:after="0" w:line="135" w:lineRule="exact"/>
              <w:rPr>
                <w:sz w:val="20"/>
                <w:szCs w:val="20"/>
                <w:color w:val="auto"/>
              </w:rPr>
            </w:pPr>
            <w:r>
              <w:rPr>
                <w:rFonts w:ascii="Arial" w:cs="Arial" w:eastAsia="Arial" w:hAnsi="Arial"/>
                <w:sz w:val="15"/>
                <w:szCs w:val="15"/>
                <w:color w:val="auto"/>
              </w:rPr>
              <w:t>2024</w:t>
            </w:r>
          </w:p>
        </w:tc>
        <w:tc>
          <w:tcPr>
            <w:tcW w:w="0" w:type="dxa"/>
            <w:vAlign w:val="bottom"/>
          </w:tcPr>
          <w:p>
            <w:pPr>
              <w:spacing w:after="0"/>
              <w:rPr>
                <w:sz w:val="1"/>
                <w:szCs w:val="1"/>
                <w:color w:val="auto"/>
              </w:rPr>
            </w:pPr>
          </w:p>
        </w:tc>
      </w:tr>
      <w:tr>
        <w:trPr>
          <w:trHeight w:val="45"/>
        </w:trPr>
        <w:tc>
          <w:tcPr>
            <w:tcW w:w="20" w:type="dxa"/>
            <w:vAlign w:val="bottom"/>
            <w:tcBorders>
              <w:bottom w:val="single" w:sz="8" w:color="CCEEFF"/>
            </w:tcBorders>
          </w:tcPr>
          <w:p>
            <w:pPr>
              <w:spacing w:after="0"/>
              <w:rPr>
                <w:sz w:val="3"/>
                <w:szCs w:val="3"/>
                <w:color w:val="auto"/>
              </w:rPr>
            </w:pPr>
          </w:p>
        </w:tc>
        <w:tc>
          <w:tcPr>
            <w:tcW w:w="3600" w:type="dxa"/>
            <w:vAlign w:val="bottom"/>
            <w:tcBorders>
              <w:top w:val="single" w:sz="8" w:color="auto"/>
              <w:bottom w:val="single" w:sz="8" w:color="CCEEFF"/>
            </w:tcBorders>
          </w:tcPr>
          <w:p>
            <w:pPr>
              <w:spacing w:after="0"/>
              <w:rPr>
                <w:sz w:val="3"/>
                <w:szCs w:val="3"/>
                <w:color w:val="auto"/>
              </w:rPr>
            </w:pPr>
          </w:p>
        </w:tc>
        <w:tc>
          <w:tcPr>
            <w:tcW w:w="48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 and other income</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480" w:type="dxa"/>
            <w:vAlign w:val="bottom"/>
            <w:gridSpan w:val="2"/>
          </w:tcPr>
          <w:p>
            <w:pPr>
              <w:ind w:left="340"/>
              <w:spacing w:after="0"/>
              <w:rPr>
                <w:sz w:val="20"/>
                <w:szCs w:val="20"/>
                <w:color w:val="auto"/>
              </w:rPr>
            </w:pPr>
            <w:r>
              <w:rPr>
                <w:rFonts w:ascii="Arial" w:cs="Arial" w:eastAsia="Arial" w:hAnsi="Arial"/>
                <w:sz w:val="16"/>
                <w:szCs w:val="16"/>
                <w:color w:val="auto"/>
              </w:rPr>
              <w:t>Revenue from production</w:t>
            </w:r>
          </w:p>
        </w:tc>
        <w:tc>
          <w:tcPr>
            <w:tcW w:w="280" w:type="dxa"/>
            <w:vAlign w:val="bottom"/>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672,730</w:t>
            </w:r>
          </w:p>
        </w:tc>
        <w:tc>
          <w:tcPr>
            <w:tcW w:w="100" w:type="dxa"/>
            <w:vAlign w:val="bottom"/>
          </w:tcPr>
          <w:p>
            <w:pPr>
              <w:spacing w:after="0"/>
              <w:rPr>
                <w:sz w:val="19"/>
                <w:szCs w:val="19"/>
                <w:color w:val="auto"/>
              </w:rPr>
            </w:pPr>
          </w:p>
        </w:tc>
        <w:tc>
          <w:tcPr>
            <w:tcW w:w="400" w:type="dxa"/>
            <w:vAlign w:val="bottom"/>
          </w:tcPr>
          <w:p>
            <w:pPr>
              <w:jc w:val="right"/>
              <w:ind w:right="218"/>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794,603</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4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Sales of purchased natural gas</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80" w:type="dxa"/>
            <w:vAlign w:val="bottom"/>
            <w:gridSpan w:val="2"/>
          </w:tcPr>
          <w:p>
            <w:pPr>
              <w:ind w:left="540"/>
              <w:spacing w:after="0"/>
              <w:rPr>
                <w:sz w:val="20"/>
                <w:szCs w:val="20"/>
                <w:color w:val="auto"/>
              </w:rPr>
            </w:pPr>
            <w:r>
              <w:rPr>
                <w:rFonts w:ascii="Arial" w:cs="Arial" w:eastAsia="Arial" w:hAnsi="Arial"/>
                <w:sz w:val="16"/>
                <w:szCs w:val="16"/>
                <w:color w:val="auto"/>
              </w:rPr>
              <w:t>Total revenue from sales to customers</w:t>
            </w: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672,730</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794,848</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4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(Loss) on derivative instruments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(9,459)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848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Gain on sale of assets and other operating income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2,440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1,564</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48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Total revenues and other income</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665,711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796,412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480" w:type="dxa"/>
            <w:vAlign w:val="bottom"/>
            <w:gridSpan w:val="2"/>
          </w:tcPr>
          <w:p>
            <w:pPr>
              <w:spacing w:after="0"/>
              <w:rPr>
                <w:sz w:val="20"/>
                <w:szCs w:val="20"/>
                <w:color w:val="auto"/>
              </w:rPr>
            </w:pPr>
            <w:r>
              <w:rPr>
                <w:rFonts w:ascii="Arial" w:cs="Arial" w:eastAsia="Arial" w:hAnsi="Arial"/>
                <w:sz w:val="16"/>
                <w:szCs w:val="16"/>
                <w:b w:val="1"/>
                <w:bCs w:val="1"/>
                <w:color w:val="auto"/>
              </w:rPr>
              <w:t>Costs and expenses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4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Lease operating expenses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205,079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234,264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480" w:type="dxa"/>
            <w:vAlign w:val="bottom"/>
            <w:gridSpan w:val="2"/>
          </w:tcPr>
          <w:p>
            <w:pPr>
              <w:ind w:left="340"/>
              <w:spacing w:after="0"/>
              <w:rPr>
                <w:sz w:val="20"/>
                <w:szCs w:val="20"/>
                <w:color w:val="auto"/>
              </w:rPr>
            </w:pPr>
            <w:r>
              <w:rPr>
                <w:rFonts w:ascii="Arial" w:cs="Arial" w:eastAsia="Arial" w:hAnsi="Arial"/>
                <w:sz w:val="16"/>
                <w:szCs w:val="16"/>
                <w:color w:val="auto"/>
              </w:rPr>
              <w:t>Severance and ad valorem taxes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8,650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10,086</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4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Transportation, gathering and processing</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48,851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56,553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480" w:type="dxa"/>
            <w:vAlign w:val="bottom"/>
            <w:gridSpan w:val="2"/>
          </w:tcPr>
          <w:p>
            <w:pPr>
              <w:ind w:left="340"/>
              <w:spacing w:after="0"/>
              <w:rPr>
                <w:sz w:val="20"/>
                <w:szCs w:val="20"/>
                <w:color w:val="auto"/>
              </w:rPr>
            </w:pPr>
            <w:r>
              <w:rPr>
                <w:rFonts w:ascii="Arial" w:cs="Arial" w:eastAsia="Arial" w:hAnsi="Arial"/>
                <w:sz w:val="16"/>
                <w:szCs w:val="16"/>
                <w:color w:val="auto"/>
              </w:rPr>
              <w:t>Costs of purchased natural gas</w:t>
            </w: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4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Exploration expenses, including undeveloped lease amortization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14,488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44,429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480" w:type="dxa"/>
            <w:vAlign w:val="bottom"/>
            <w:gridSpan w:val="2"/>
          </w:tcPr>
          <w:p>
            <w:pPr>
              <w:ind w:left="340"/>
              <w:spacing w:after="0"/>
              <w:rPr>
                <w:sz w:val="20"/>
                <w:szCs w:val="20"/>
                <w:color w:val="auto"/>
              </w:rPr>
            </w:pPr>
            <w:r>
              <w:rPr>
                <w:rFonts w:ascii="Arial" w:cs="Arial" w:eastAsia="Arial" w:hAnsi="Arial"/>
                <w:sz w:val="16"/>
                <w:szCs w:val="16"/>
                <w:color w:val="auto"/>
              </w:rPr>
              <w:t>Selling and general expenses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30,915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31,161</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4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Depreciation, depletion and amortization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194,160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211,134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480" w:type="dxa"/>
            <w:vAlign w:val="bottom"/>
            <w:gridSpan w:val="2"/>
          </w:tcPr>
          <w:p>
            <w:pPr>
              <w:ind w:left="340"/>
              <w:spacing w:after="0"/>
              <w:rPr>
                <w:sz w:val="20"/>
                <w:szCs w:val="20"/>
                <w:color w:val="auto"/>
              </w:rPr>
            </w:pPr>
            <w:r>
              <w:rPr>
                <w:rFonts w:ascii="Arial" w:cs="Arial" w:eastAsia="Arial" w:hAnsi="Arial"/>
                <w:sz w:val="16"/>
                <w:szCs w:val="16"/>
                <w:color w:val="auto"/>
              </w:rPr>
              <w:t>Accretion of asset retirement obligations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14,045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12,774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4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Impairment of assets</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34,528</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848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Other operating expense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5,629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7,266</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48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Total costs and expenses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521,817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642,355</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4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Operating income from continuing operations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143,894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154,057</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Other income (loss)</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480" w:type="dxa"/>
            <w:vAlign w:val="bottom"/>
            <w:gridSpan w:val="2"/>
          </w:tcPr>
          <w:p>
            <w:pPr>
              <w:ind w:left="340"/>
              <w:spacing w:after="0"/>
              <w:rPr>
                <w:sz w:val="20"/>
                <w:szCs w:val="20"/>
                <w:color w:val="auto"/>
              </w:rPr>
            </w:pPr>
            <w:r>
              <w:rPr>
                <w:rFonts w:ascii="Arial" w:cs="Arial" w:eastAsia="Arial" w:hAnsi="Arial"/>
                <w:sz w:val="16"/>
                <w:szCs w:val="16"/>
                <w:color w:val="auto"/>
              </w:rPr>
              <w:t>Other income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2,402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11,551</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4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Interest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(23,523)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(20,021)</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480" w:type="dxa"/>
            <w:vAlign w:val="bottom"/>
            <w:tcBorders>
              <w:bottom w:val="single" w:sz="8" w:color="CCEEFF"/>
            </w:tcBorders>
            <w:gridSpan w:val="2"/>
          </w:tcPr>
          <w:p>
            <w:pPr>
              <w:ind w:left="540"/>
              <w:spacing w:after="0"/>
              <w:rPr>
                <w:sz w:val="20"/>
                <w:szCs w:val="20"/>
                <w:color w:val="auto"/>
              </w:rPr>
            </w:pPr>
            <w:r>
              <w:rPr>
                <w:rFonts w:ascii="Arial" w:cs="Arial" w:eastAsia="Arial" w:hAnsi="Arial"/>
                <w:sz w:val="16"/>
                <w:szCs w:val="16"/>
                <w:color w:val="auto"/>
              </w:rPr>
              <w:t>Total other loss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(21,121)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from continuing operations before income taxes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122,773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145,587</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84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Income tax expense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32,722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30,057</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from continuing operations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90,051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115,530</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84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Loss from discontinued operations, net of income taxes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including noncontrolling interest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89,418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114,658</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84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Less: Net income attributable to noncontrolling interest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16,382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24,656</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NET INCOME ATTRIBUTABLE TO MURPHY</w:t>
            </w: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73,036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90,002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4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NET INCOME (LOSS) PER COMMON SHARE – BASIC</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vMerge w:val="continue"/>
          </w:tcPr>
          <w:p>
            <w:pPr>
              <w:spacing w:after="0"/>
              <w:rPr>
                <w:sz w:val="14"/>
                <w:szCs w:val="14"/>
                <w:color w:val="auto"/>
              </w:rPr>
            </w:pPr>
          </w:p>
        </w:tc>
        <w:tc>
          <w:tcPr>
            <w:tcW w:w="84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4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Continuing operations</w:t>
            </w: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480" w:type="dxa"/>
            <w:vAlign w:val="bottom"/>
            <w:gridSpan w:val="2"/>
          </w:tcPr>
          <w:p>
            <w:pPr>
              <w:ind w:left="340"/>
              <w:spacing w:after="0"/>
              <w:rPr>
                <w:sz w:val="20"/>
                <w:szCs w:val="20"/>
                <w:color w:val="auto"/>
              </w:rPr>
            </w:pPr>
            <w:r>
              <w:rPr>
                <w:rFonts w:ascii="Arial" w:cs="Arial" w:eastAsia="Arial" w:hAnsi="Arial"/>
                <w:sz w:val="16"/>
                <w:szCs w:val="16"/>
                <w:color w:val="auto"/>
              </w:rPr>
              <w:t>Discontinued operations</w:t>
            </w: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480" w:type="dxa"/>
            <w:vAlign w:val="bottom"/>
            <w:tcBorders>
              <w:top w:val="single" w:sz="8" w:color="CCEEFF"/>
              <w:bottom w:val="single" w:sz="8" w:color="CCEEFF"/>
            </w:tcBorders>
            <w:gridSpan w:val="2"/>
            <w:shd w:val="clear" w:color="auto" w:fill="CCEEFF"/>
          </w:tcPr>
          <w:p>
            <w:pPr>
              <w:ind w:left="540"/>
              <w:spacing w:after="0"/>
              <w:rPr>
                <w:sz w:val="20"/>
                <w:szCs w:val="20"/>
                <w:color w:val="auto"/>
              </w:rPr>
            </w:pPr>
            <w:r>
              <w:rPr>
                <w:rFonts w:ascii="Arial" w:cs="Arial" w:eastAsia="Arial" w:hAnsi="Arial"/>
                <w:sz w:val="16"/>
                <w:szCs w:val="16"/>
                <w:color w:val="auto"/>
              </w:rPr>
              <w:t>Net income</w:t>
            </w:r>
          </w:p>
        </w:tc>
        <w:tc>
          <w:tcPr>
            <w:tcW w:w="28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8"/>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4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NET INCOME (LOSS) PER COMMON SHARE – 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vMerge w:val="continue"/>
          </w:tcPr>
          <w:p>
            <w:pPr>
              <w:spacing w:after="0"/>
              <w:rPr>
                <w:sz w:val="14"/>
                <w:szCs w:val="14"/>
                <w:color w:val="auto"/>
              </w:rPr>
            </w:pPr>
          </w:p>
        </w:tc>
        <w:tc>
          <w:tcPr>
            <w:tcW w:w="84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4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Continuing operations</w:t>
            </w: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480" w:type="dxa"/>
            <w:vAlign w:val="bottom"/>
            <w:gridSpan w:val="2"/>
          </w:tcPr>
          <w:p>
            <w:pPr>
              <w:ind w:left="340"/>
              <w:spacing w:after="0"/>
              <w:rPr>
                <w:sz w:val="20"/>
                <w:szCs w:val="20"/>
                <w:color w:val="auto"/>
              </w:rPr>
            </w:pPr>
            <w:r>
              <w:rPr>
                <w:rFonts w:ascii="Arial" w:cs="Arial" w:eastAsia="Arial" w:hAnsi="Arial"/>
                <w:sz w:val="16"/>
                <w:szCs w:val="16"/>
                <w:color w:val="auto"/>
              </w:rPr>
              <w:t>Discontinued operations</w:t>
            </w: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480" w:type="dxa"/>
            <w:vAlign w:val="bottom"/>
            <w:tcBorders>
              <w:top w:val="single" w:sz="8" w:color="CCEEFF"/>
              <w:bottom w:val="single" w:sz="8" w:color="CCEEFF"/>
            </w:tcBorders>
            <w:gridSpan w:val="2"/>
            <w:shd w:val="clear" w:color="auto" w:fill="CCEEFF"/>
          </w:tcPr>
          <w:p>
            <w:pPr>
              <w:ind w:left="540"/>
              <w:spacing w:after="0"/>
              <w:rPr>
                <w:sz w:val="20"/>
                <w:szCs w:val="20"/>
                <w:color w:val="auto"/>
              </w:rPr>
            </w:pPr>
            <w:r>
              <w:rPr>
                <w:rFonts w:ascii="Arial" w:cs="Arial" w:eastAsia="Arial" w:hAnsi="Arial"/>
                <w:sz w:val="16"/>
                <w:szCs w:val="16"/>
                <w:color w:val="auto"/>
              </w:rPr>
              <w:t>Net income</w:t>
            </w:r>
          </w:p>
        </w:tc>
        <w:tc>
          <w:tcPr>
            <w:tcW w:w="28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8"/>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4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Cash dividends per common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8480" w:type="dxa"/>
            <w:vAlign w:val="bottom"/>
            <w:gridSpan w:val="2"/>
            <w:vMerge w:val="continue"/>
          </w:tcPr>
          <w:p>
            <w:pPr>
              <w:spacing w:after="0"/>
              <w:rPr>
                <w:sz w:val="16"/>
                <w:szCs w:val="16"/>
                <w:color w:val="auto"/>
              </w:rPr>
            </w:pPr>
          </w:p>
        </w:tc>
        <w:tc>
          <w:tcPr>
            <w:tcW w:w="280" w:type="dxa"/>
            <w:vAlign w:val="bottom"/>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0.325</w:t>
            </w:r>
          </w:p>
        </w:tc>
        <w:tc>
          <w:tcPr>
            <w:tcW w:w="100" w:type="dxa"/>
            <w:vAlign w:val="bottom"/>
          </w:tcPr>
          <w:p>
            <w:pPr>
              <w:spacing w:after="0"/>
              <w:rPr>
                <w:sz w:val="16"/>
                <w:szCs w:val="16"/>
                <w:color w:val="auto"/>
              </w:rPr>
            </w:pPr>
          </w:p>
        </w:tc>
        <w:tc>
          <w:tcPr>
            <w:tcW w:w="400" w:type="dxa"/>
            <w:vAlign w:val="bottom"/>
          </w:tcPr>
          <w:p>
            <w:pPr>
              <w:jc w:val="right"/>
              <w:ind w:right="218"/>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0.300</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Average common shares outstanding (thousands)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480" w:type="dxa"/>
            <w:vAlign w:val="bottom"/>
            <w:gridSpan w:val="2"/>
          </w:tcPr>
          <w:p>
            <w:pPr>
              <w:ind w:left="300"/>
              <w:spacing w:after="0"/>
              <w:rPr>
                <w:sz w:val="20"/>
                <w:szCs w:val="20"/>
                <w:color w:val="auto"/>
              </w:rPr>
            </w:pPr>
            <w:r>
              <w:rPr>
                <w:rFonts w:ascii="Arial" w:cs="Arial" w:eastAsia="Arial" w:hAnsi="Arial"/>
                <w:sz w:val="16"/>
                <w:szCs w:val="16"/>
                <w:color w:val="auto"/>
              </w:rPr>
              <w:t>Basic</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144,284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152,664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4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145,072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153,817</w:t>
            </w:r>
          </w:p>
        </w:tc>
        <w:tc>
          <w:tcPr>
            <w:tcW w:w="0" w:type="dxa"/>
            <w:vAlign w:val="bottom"/>
          </w:tcPr>
          <w:p>
            <w:pPr>
              <w:spacing w:after="0"/>
              <w:rPr>
                <w:sz w:val="1"/>
                <w:szCs w:val="1"/>
                <w:color w:val="auto"/>
              </w:rPr>
            </w:pPr>
          </w:p>
        </w:tc>
      </w:tr>
    </w:tbl>
    <w:p>
      <w:pPr>
        <w:spacing w:after="0" w:line="182"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5460"/>
        <w:spacing w:after="0" w:line="279" w:lineRule="auto"/>
        <w:rPr>
          <w:sz w:val="20"/>
          <w:szCs w:val="20"/>
          <w:color w:val="auto"/>
        </w:rPr>
      </w:pPr>
      <w:r>
        <w:rPr>
          <w:rFonts w:ascii="Arial" w:cs="Arial" w:eastAsia="Arial" w:hAnsi="Arial"/>
          <w:sz w:val="17"/>
          <w:szCs w:val="17"/>
          <w:b w:val="1"/>
          <w:bCs w:val="1"/>
          <w:color w:val="auto"/>
        </w:rPr>
        <w:t>MURPHY OIL CORPORATION AND CONSOLIDATED SUBSIDIARIES CONSOLIDATED STATEMENTS OF COMPREHENSIVE INCOME (LOSS) (UNAUDITED)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40" w:type="dxa"/>
            <w:vAlign w:val="bottom"/>
            <w:gridSpan w:val="4"/>
          </w:tcPr>
          <w:p>
            <w:pPr>
              <w:jc w:val="right"/>
              <w:ind w:right="538"/>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(Thousands of dollars)</w:t>
            </w:r>
          </w:p>
        </w:tc>
        <w:tc>
          <w:tcPr>
            <w:tcW w:w="3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18"/>
              <w:spacing w:after="0"/>
              <w:rPr>
                <w:sz w:val="20"/>
                <w:szCs w:val="20"/>
                <w:color w:val="auto"/>
              </w:rPr>
            </w:pPr>
            <w:r>
              <w:rPr>
                <w:rFonts w:ascii="Arial" w:cs="Arial" w:eastAsia="Arial" w:hAnsi="Arial"/>
                <w:sz w:val="16"/>
                <w:szCs w:val="16"/>
                <w:b w:val="1"/>
                <w:bCs w:val="1"/>
                <w:color w:val="auto"/>
              </w:rPr>
              <w:t>March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34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458"/>
              <w:spacing w:after="0" w:line="161"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jc w:val="right"/>
              <w:ind w:right="398"/>
              <w:spacing w:after="0" w:line="161" w:lineRule="exact"/>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1620" w:type="dxa"/>
            <w:vAlign w:val="bottom"/>
            <w:tcBorders>
              <w:top w:val="single" w:sz="8" w:color="auto"/>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including noncontrolling interest</w:t>
            </w:r>
          </w:p>
        </w:tc>
        <w:tc>
          <w:tcPr>
            <w:tcW w:w="340" w:type="dxa"/>
            <w:vAlign w:val="bottom"/>
            <w:shd w:val="clear" w:color="auto" w:fill="CCEEFF"/>
          </w:tcPr>
          <w:p>
            <w:pPr>
              <w:jc w:val="right"/>
              <w:ind w:right="138"/>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89,418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114,658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6"/>
                <w:szCs w:val="16"/>
                <w:color w:val="auto"/>
              </w:rPr>
              <w:t>Other comprehensive income (loss), net of tax</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Net gain (loss) from foreign currency translation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(35,528)</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834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Retirement and postretirement benefit plans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3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Other comprehensive income (loss)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(803)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(34,618)</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3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Comprehensive income including noncontrolling interest</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88,615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80,040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3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Less: Comprehensive income attributable to noncontrolling interest</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16,382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24,656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6"/>
                <w:szCs w:val="16"/>
                <w:b w:val="1"/>
                <w:bCs w:val="1"/>
                <w:color w:val="auto"/>
              </w:rPr>
              <w:t>COMPREHENSIVE INCOME ATTRIBUTABLE TO MURPHY</w:t>
            </w:r>
          </w:p>
        </w:tc>
        <w:tc>
          <w:tcPr>
            <w:tcW w:w="34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72,233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MURPHY OIL CORPORATION AND CONSOLIDATED SUBSIDIARIES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gridSpan w:val="4"/>
          </w:tcPr>
          <w:p>
            <w:pPr>
              <w:jc w:val="right"/>
              <w:ind w:right="458"/>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8360" w:type="dxa"/>
            <w:vAlign w:val="bottom"/>
            <w:gridSpan w:val="3"/>
          </w:tcPr>
          <w:p>
            <w:pPr>
              <w:ind w:left="20"/>
              <w:spacing w:after="0" w:line="161" w:lineRule="exact"/>
              <w:rPr>
                <w:sz w:val="20"/>
                <w:szCs w:val="20"/>
                <w:color w:val="auto"/>
              </w:rPr>
            </w:pPr>
            <w:r>
              <w:rPr>
                <w:rFonts w:ascii="Arial" w:cs="Arial" w:eastAsia="Arial" w:hAnsi="Arial"/>
                <w:sz w:val="16"/>
                <w:szCs w:val="16"/>
                <w:i w:val="1"/>
                <w:iCs w:val="1"/>
                <w:color w:val="auto"/>
              </w:rPr>
              <w:t>(Thousands of dollars)</w:t>
            </w:r>
          </w:p>
        </w:tc>
        <w:tc>
          <w:tcPr>
            <w:tcW w:w="280" w:type="dxa"/>
            <w:vAlign w:val="bottom"/>
          </w:tcPr>
          <w:p>
            <w:pPr>
              <w:spacing w:after="0"/>
              <w:rPr>
                <w:sz w:val="13"/>
                <w:szCs w:val="13"/>
                <w:color w:val="auto"/>
              </w:rPr>
            </w:pPr>
          </w:p>
        </w:tc>
        <w:tc>
          <w:tcPr>
            <w:tcW w:w="1020" w:type="dxa"/>
            <w:vAlign w:val="bottom"/>
          </w:tcPr>
          <w:p>
            <w:pPr>
              <w:jc w:val="right"/>
              <w:ind w:right="378"/>
              <w:spacing w:after="0" w:line="161"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jc w:val="right"/>
              <w:ind w:right="398"/>
              <w:spacing w:after="0" w:line="161" w:lineRule="exact"/>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
        </w:trPr>
        <w:tc>
          <w:tcPr>
            <w:tcW w:w="83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836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3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Net income including noncontrolling interest</w:t>
            </w: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89,418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114,658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40" w:type="dxa"/>
            <w:vAlign w:val="bottom"/>
            <w:gridSpan w:val="2"/>
          </w:tcPr>
          <w:p>
            <w:pPr>
              <w:ind w:left="100"/>
              <w:spacing w:after="0"/>
              <w:rPr>
                <w:sz w:val="20"/>
                <w:szCs w:val="20"/>
                <w:color w:val="auto"/>
              </w:rPr>
            </w:pPr>
            <w:r>
              <w:rPr>
                <w:rFonts w:ascii="Arial" w:cs="Arial" w:eastAsia="Arial" w:hAnsi="Arial"/>
                <w:sz w:val="16"/>
                <w:szCs w:val="16"/>
                <w:color w:val="auto"/>
              </w:rPr>
              <w:t>Adjustments to reconcile net income to net cash provided by continuing operations activities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Depreciation, depletion and amortization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194,160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211,134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340" w:type="dxa"/>
            <w:vAlign w:val="bottom"/>
            <w:gridSpan w:val="2"/>
          </w:tcPr>
          <w:p>
            <w:pPr>
              <w:ind w:left="200"/>
              <w:spacing w:after="0"/>
              <w:rPr>
                <w:sz w:val="20"/>
                <w:szCs w:val="20"/>
                <w:color w:val="auto"/>
              </w:rPr>
            </w:pPr>
            <w:r>
              <w:rPr>
                <w:rFonts w:ascii="Arial" w:cs="Arial" w:eastAsia="Arial" w:hAnsi="Arial"/>
                <w:sz w:val="16"/>
                <w:szCs w:val="16"/>
                <w:color w:val="auto"/>
              </w:rPr>
              <w:t>Deferred income tax expense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16,343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19,478</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Accretion of asset retirement obligations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14,045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12,774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340" w:type="dxa"/>
            <w:vAlign w:val="bottom"/>
            <w:gridSpan w:val="2"/>
          </w:tcPr>
          <w:p>
            <w:pPr>
              <w:ind w:left="200"/>
              <w:spacing w:after="0"/>
              <w:rPr>
                <w:sz w:val="20"/>
                <w:szCs w:val="20"/>
                <w:color w:val="auto"/>
              </w:rPr>
            </w:pPr>
            <w:r>
              <w:rPr>
                <w:rFonts w:ascii="Arial" w:cs="Arial" w:eastAsia="Arial" w:hAnsi="Arial"/>
                <w:sz w:val="16"/>
                <w:szCs w:val="16"/>
                <w:color w:val="auto"/>
              </w:rPr>
              <w:t>Long-term non-cash compensation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9,905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9,851</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Mark-to-market loss on derivative instruments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8,916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340" w:type="dxa"/>
            <w:vAlign w:val="bottom"/>
            <w:gridSpan w:val="2"/>
          </w:tcPr>
          <w:p>
            <w:pPr>
              <w:ind w:left="200"/>
              <w:spacing w:after="0"/>
              <w:rPr>
                <w:sz w:val="20"/>
                <w:szCs w:val="20"/>
                <w:color w:val="auto"/>
              </w:rPr>
            </w:pPr>
            <w:r>
              <w:rPr>
                <w:rFonts w:ascii="Arial" w:cs="Arial" w:eastAsia="Arial" w:hAnsi="Arial"/>
                <w:sz w:val="16"/>
                <w:szCs w:val="16"/>
                <w:color w:val="auto"/>
              </w:rPr>
              <w:t>Amortization of undeveloped leases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1,654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2,793</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Loss from discontinued operations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340" w:type="dxa"/>
            <w:vAlign w:val="bottom"/>
            <w:gridSpan w:val="2"/>
          </w:tcPr>
          <w:p>
            <w:pPr>
              <w:ind w:left="200"/>
              <w:spacing w:after="0"/>
              <w:rPr>
                <w:sz w:val="20"/>
                <w:szCs w:val="20"/>
                <w:color w:val="auto"/>
              </w:rPr>
            </w:pPr>
            <w:r>
              <w:rPr>
                <w:rFonts w:ascii="Arial" w:cs="Arial" w:eastAsia="Arial" w:hAnsi="Arial"/>
                <w:sz w:val="16"/>
                <w:szCs w:val="16"/>
                <w:color w:val="auto"/>
              </w:rPr>
              <w:t>Unsuccessful exploration well costs and previously suspended exploration costs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32,437</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Impairment of assets</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34,528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340" w:type="dxa"/>
            <w:vAlign w:val="bottom"/>
            <w:gridSpan w:val="2"/>
          </w:tcPr>
          <w:p>
            <w:pPr>
              <w:ind w:left="200"/>
              <w:spacing w:after="0"/>
              <w:rPr>
                <w:sz w:val="20"/>
                <w:szCs w:val="20"/>
                <w:color w:val="auto"/>
              </w:rPr>
            </w:pPr>
            <w:r>
              <w:rPr>
                <w:rFonts w:ascii="Arial" w:cs="Arial" w:eastAsia="Arial" w:hAnsi="Arial"/>
                <w:sz w:val="16"/>
                <w:szCs w:val="16"/>
                <w:color w:val="auto"/>
              </w:rPr>
              <w:t>Other operating activities, net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(11,799)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(15,381)</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(increase) in non-cash working capital</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(22,784)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(24,353)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340" w:type="dxa"/>
            <w:vAlign w:val="bottom"/>
            <w:tcBorders>
              <w:bottom w:val="single" w:sz="8" w:color="CCEEFF"/>
            </w:tcBorders>
            <w:gridSpan w:val="2"/>
          </w:tcPr>
          <w:p>
            <w:pPr>
              <w:ind w:left="400"/>
              <w:spacing w:after="0"/>
              <w:rPr>
                <w:sz w:val="20"/>
                <w:szCs w:val="20"/>
                <w:color w:val="auto"/>
              </w:rPr>
            </w:pPr>
            <w:r>
              <w:rPr>
                <w:rFonts w:ascii="Arial" w:cs="Arial" w:eastAsia="Arial" w:hAnsi="Arial"/>
                <w:sz w:val="16"/>
                <w:szCs w:val="16"/>
                <w:color w:val="auto"/>
              </w:rPr>
              <w:t>Net cash provided by continuing operations activities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300,681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398,791</w:t>
            </w:r>
          </w:p>
        </w:tc>
        <w:tc>
          <w:tcPr>
            <w:tcW w:w="0" w:type="dxa"/>
            <w:vAlign w:val="bottom"/>
          </w:tcPr>
          <w:p>
            <w:pPr>
              <w:spacing w:after="0"/>
              <w:rPr>
                <w:sz w:val="1"/>
                <w:szCs w:val="1"/>
                <w:color w:val="auto"/>
              </w:rPr>
            </w:pPr>
          </w:p>
        </w:tc>
      </w:tr>
      <w:tr>
        <w:trPr>
          <w:trHeight w:val="200"/>
        </w:trPr>
        <w:tc>
          <w:tcPr>
            <w:tcW w:w="836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340" w:type="dxa"/>
            <w:vAlign w:val="bottom"/>
            <w:gridSpan w:val="2"/>
          </w:tcPr>
          <w:p>
            <w:pPr>
              <w:ind w:left="100"/>
              <w:spacing w:after="0"/>
              <w:rPr>
                <w:sz w:val="20"/>
                <w:szCs w:val="20"/>
                <w:color w:val="auto"/>
              </w:rPr>
            </w:pPr>
            <w:r>
              <w:rPr>
                <w:rFonts w:ascii="Arial" w:cs="Arial" w:eastAsia="Arial" w:hAnsi="Arial"/>
                <w:sz w:val="16"/>
                <w:szCs w:val="16"/>
                <w:color w:val="auto"/>
              </w:rPr>
              <w:t>Property additions and dry hole costs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(368,421)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(249,085)</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Acquisition of oil and natural gas properties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(1,364)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340" w:type="dxa"/>
            <w:vAlign w:val="bottom"/>
            <w:tcBorders>
              <w:bottom w:val="single" w:sz="8" w:color="CCEEFF"/>
            </w:tcBorders>
            <w:gridSpan w:val="2"/>
          </w:tcPr>
          <w:p>
            <w:pPr>
              <w:ind w:left="400"/>
              <w:spacing w:after="0"/>
              <w:rPr>
                <w:sz w:val="20"/>
                <w:szCs w:val="20"/>
                <w:color w:val="auto"/>
              </w:rPr>
            </w:pPr>
            <w:r>
              <w:rPr>
                <w:rFonts w:ascii="Arial" w:cs="Arial" w:eastAsia="Arial" w:hAnsi="Arial"/>
                <w:sz w:val="16"/>
                <w:szCs w:val="16"/>
                <w:color w:val="auto"/>
              </w:rPr>
              <w:t>Net cash required by investing activities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(369,785)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(249,085)</w:t>
            </w:r>
          </w:p>
        </w:tc>
        <w:tc>
          <w:tcPr>
            <w:tcW w:w="0" w:type="dxa"/>
            <w:vAlign w:val="bottom"/>
          </w:tcPr>
          <w:p>
            <w:pPr>
              <w:spacing w:after="0"/>
              <w:rPr>
                <w:sz w:val="1"/>
                <w:szCs w:val="1"/>
                <w:color w:val="auto"/>
              </w:rPr>
            </w:pPr>
          </w:p>
        </w:tc>
      </w:tr>
      <w:tr>
        <w:trPr>
          <w:trHeight w:val="200"/>
        </w:trPr>
        <w:tc>
          <w:tcPr>
            <w:tcW w:w="836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340" w:type="dxa"/>
            <w:vAlign w:val="bottom"/>
            <w:gridSpan w:val="2"/>
          </w:tcPr>
          <w:p>
            <w:pPr>
              <w:ind w:left="100"/>
              <w:spacing w:after="0"/>
              <w:rPr>
                <w:sz w:val="20"/>
                <w:szCs w:val="20"/>
                <w:color w:val="auto"/>
              </w:rPr>
            </w:pPr>
            <w:r>
              <w:rPr>
                <w:rFonts w:ascii="Arial" w:cs="Arial" w:eastAsia="Arial" w:hAnsi="Arial"/>
                <w:sz w:val="16"/>
                <w:szCs w:val="16"/>
                <w:color w:val="auto"/>
              </w:rPr>
              <w:t>Borrowings on revolving credit facility</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250,000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Repayment of revolving credit facility</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340" w:type="dxa"/>
            <w:vAlign w:val="bottom"/>
            <w:gridSpan w:val="2"/>
          </w:tcPr>
          <w:p>
            <w:pPr>
              <w:ind w:left="100"/>
              <w:spacing w:after="0"/>
              <w:rPr>
                <w:sz w:val="20"/>
                <w:szCs w:val="20"/>
                <w:color w:val="auto"/>
              </w:rPr>
            </w:pPr>
            <w:r>
              <w:rPr>
                <w:rFonts w:ascii="Arial" w:cs="Arial" w:eastAsia="Arial" w:hAnsi="Arial"/>
                <w:sz w:val="16"/>
                <w:szCs w:val="16"/>
                <w:color w:val="auto"/>
              </w:rPr>
              <w:t>Repurchase of common stock</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(100,072)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(50,000)</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Cash dividends paid</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(47,026)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(45,773)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340" w:type="dxa"/>
            <w:vAlign w:val="bottom"/>
            <w:gridSpan w:val="2"/>
          </w:tcPr>
          <w:p>
            <w:pPr>
              <w:ind w:left="100"/>
              <w:spacing w:after="0"/>
              <w:rPr>
                <w:sz w:val="20"/>
                <w:szCs w:val="20"/>
                <w:color w:val="auto"/>
              </w:rPr>
            </w:pPr>
            <w:r>
              <w:rPr>
                <w:rFonts w:ascii="Arial" w:cs="Arial" w:eastAsia="Arial" w:hAnsi="Arial"/>
                <w:sz w:val="16"/>
                <w:szCs w:val="16"/>
                <w:color w:val="auto"/>
              </w:rPr>
              <w:t>Withholding tax on stock-based incentive awards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(7,673)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(25,270)</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Distributions to noncontrolling interest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(6,955)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(23,001)</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834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Finance lease obligation payments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3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Net cash provided (required) by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38,158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(144,208)</w:t>
            </w:r>
          </w:p>
        </w:tc>
        <w:tc>
          <w:tcPr>
            <w:tcW w:w="0" w:type="dxa"/>
            <w:vAlign w:val="bottom"/>
          </w:tcPr>
          <w:p>
            <w:pPr>
              <w:spacing w:after="0"/>
              <w:rPr>
                <w:sz w:val="1"/>
                <w:szCs w:val="1"/>
                <w:color w:val="auto"/>
              </w:rPr>
            </w:pPr>
          </w:p>
        </w:tc>
      </w:tr>
      <w:tr>
        <w:trPr>
          <w:trHeight w:val="213"/>
        </w:trPr>
        <w:tc>
          <w:tcPr>
            <w:tcW w:w="836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b w:val="1"/>
                <w:bCs w:val="1"/>
                <w:color w:val="auto"/>
              </w:rPr>
              <w:t>Effect of exchange rate changes on cash and cash equivalents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3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Net (decrease) increase in cash and cash equivalents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(30,655)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6,356</w:t>
            </w:r>
          </w:p>
        </w:tc>
        <w:tc>
          <w:tcPr>
            <w:tcW w:w="0" w:type="dxa"/>
            <w:vAlign w:val="bottom"/>
          </w:tcPr>
          <w:p>
            <w:pPr>
              <w:spacing w:after="0"/>
              <w:rPr>
                <w:sz w:val="1"/>
                <w:szCs w:val="1"/>
                <w:color w:val="auto"/>
              </w:rPr>
            </w:pPr>
          </w:p>
        </w:tc>
      </w:tr>
      <w:tr>
        <w:trPr>
          <w:trHeight w:val="220"/>
        </w:trPr>
        <w:tc>
          <w:tcPr>
            <w:tcW w:w="836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423,569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317,074</w:t>
            </w:r>
          </w:p>
        </w:tc>
        <w:tc>
          <w:tcPr>
            <w:tcW w:w="0" w:type="dxa"/>
            <w:vAlign w:val="bottom"/>
          </w:tcPr>
          <w:p>
            <w:pPr>
              <w:spacing w:after="0"/>
              <w:rPr>
                <w:sz w:val="1"/>
                <w:szCs w:val="1"/>
                <w:color w:val="auto"/>
              </w:rPr>
            </w:pPr>
          </w:p>
        </w:tc>
      </w:tr>
      <w:tr>
        <w:trPr>
          <w:trHeight w:val="238"/>
        </w:trPr>
        <w:tc>
          <w:tcPr>
            <w:tcW w:w="8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392,914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323,430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5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80"/>
          </w:cols>
          <w:pgMar w:left="320" w:top="278" w:right="49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MURPHY OIL CORPORATION AND CONSOLIDATED SUBSIDIARIES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4"/>
          </w:tcPr>
          <w:p>
            <w:pPr>
              <w:jc w:val="right"/>
              <w:ind w:right="498"/>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6"/>
        </w:trPr>
        <w:tc>
          <w:tcPr>
            <w:tcW w:w="8380" w:type="dxa"/>
            <w:vAlign w:val="bottom"/>
            <w:gridSpan w:val="3"/>
            <w:vMerge w:val="restart"/>
          </w:tcPr>
          <w:p>
            <w:pPr>
              <w:ind w:left="20"/>
              <w:spacing w:after="0"/>
              <w:rPr>
                <w:sz w:val="20"/>
                <w:szCs w:val="20"/>
                <w:color w:val="auto"/>
              </w:rPr>
            </w:pPr>
            <w:r>
              <w:rPr>
                <w:rFonts w:ascii="Arial" w:cs="Arial" w:eastAsia="Arial" w:hAnsi="Arial"/>
                <w:sz w:val="16"/>
                <w:szCs w:val="16"/>
                <w:i w:val="1"/>
                <w:iCs w:val="1"/>
                <w:color w:val="auto"/>
              </w:rPr>
              <w:t>(Thousands of dollars except number of shares)</w:t>
            </w: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838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jc w:val="right"/>
              <w:ind w:right="418"/>
              <w:spacing w:after="0" w:line="148" w:lineRule="exact"/>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jc w:val="right"/>
              <w:ind w:right="418"/>
              <w:spacing w:after="0" w:line="148" w:lineRule="exact"/>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45"/>
        </w:trPr>
        <w:tc>
          <w:tcPr>
            <w:tcW w:w="20" w:type="dxa"/>
            <w:vAlign w:val="bottom"/>
            <w:tcBorders>
              <w:bottom w:val="single" w:sz="8" w:color="CCEEFF"/>
            </w:tcBorders>
          </w:tcPr>
          <w:p>
            <w:pPr>
              <w:spacing w:after="0"/>
              <w:rPr>
                <w:sz w:val="3"/>
                <w:szCs w:val="3"/>
                <w:color w:val="auto"/>
              </w:rPr>
            </w:pPr>
          </w:p>
        </w:tc>
        <w:tc>
          <w:tcPr>
            <w:tcW w:w="3460" w:type="dxa"/>
            <w:vAlign w:val="bottom"/>
            <w:tcBorders>
              <w:top w:val="single" w:sz="8" w:color="auto"/>
              <w:bottom w:val="single" w:sz="8" w:color="CCEEFF"/>
            </w:tcBorders>
          </w:tcPr>
          <w:p>
            <w:pPr>
              <w:spacing w:after="0"/>
              <w:rPr>
                <w:sz w:val="3"/>
                <w:szCs w:val="3"/>
                <w:color w:val="auto"/>
              </w:rPr>
            </w:pPr>
          </w:p>
        </w:tc>
        <w:tc>
          <w:tcPr>
            <w:tcW w:w="49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838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Common Stock</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8380" w:type="dxa"/>
            <w:vAlign w:val="bottom"/>
            <w:gridSpan w:val="3"/>
          </w:tcPr>
          <w:p>
            <w:pPr>
              <w:ind w:left="20"/>
              <w:spacing w:after="0" w:line="159" w:lineRule="exact"/>
              <w:rPr>
                <w:sz w:val="20"/>
                <w:szCs w:val="20"/>
                <w:color w:val="auto"/>
              </w:rPr>
            </w:pPr>
            <w:r>
              <w:rPr>
                <w:rFonts w:ascii="Arial" w:cs="Arial" w:eastAsia="Arial" w:hAnsi="Arial"/>
                <w:sz w:val="16"/>
                <w:szCs w:val="16"/>
                <w:color w:val="auto"/>
              </w:rPr>
              <w:t>Balance at beginning and end of period – par $1.00, authorized 450,000,000 shares at March 31, 2025 and</w:t>
            </w:r>
          </w:p>
        </w:tc>
        <w:tc>
          <w:tcPr>
            <w:tcW w:w="280" w:type="dxa"/>
            <w:vAlign w:val="bottom"/>
            <w:vMerge w:val="restart"/>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195,101</w:t>
            </w:r>
          </w:p>
        </w:tc>
        <w:tc>
          <w:tcPr>
            <w:tcW w:w="80" w:type="dxa"/>
            <w:vAlign w:val="bottom"/>
          </w:tcPr>
          <w:p>
            <w:pPr>
              <w:spacing w:after="0"/>
              <w:rPr>
                <w:sz w:val="13"/>
                <w:szCs w:val="13"/>
                <w:color w:val="auto"/>
              </w:rPr>
            </w:pPr>
          </w:p>
        </w:tc>
        <w:tc>
          <w:tcPr>
            <w:tcW w:w="400" w:type="dxa"/>
            <w:vAlign w:val="bottom"/>
            <w:vMerge w:val="restart"/>
          </w:tcPr>
          <w:p>
            <w:pPr>
              <w:jc w:val="right"/>
              <w:ind w:right="198"/>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195,101</w:t>
            </w:r>
          </w:p>
        </w:tc>
        <w:tc>
          <w:tcPr>
            <w:tcW w:w="0" w:type="dxa"/>
            <w:vAlign w:val="bottom"/>
          </w:tcPr>
          <w:p>
            <w:pPr>
              <w:spacing w:after="0"/>
              <w:rPr>
                <w:sz w:val="1"/>
                <w:szCs w:val="1"/>
                <w:color w:val="auto"/>
              </w:rPr>
            </w:pPr>
          </w:p>
        </w:tc>
      </w:tr>
      <w:tr>
        <w:trPr>
          <w:trHeight w:val="216"/>
        </w:trPr>
        <w:tc>
          <w:tcPr>
            <w:tcW w:w="838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March 31, 2024, issued 195,100,628 shares at March 31, 2025 and March 31, 2024</w:t>
            </w:r>
          </w:p>
        </w:tc>
        <w:tc>
          <w:tcPr>
            <w:tcW w:w="28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838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Capital in Excess of Par Value</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380" w:type="dxa"/>
            <w:vAlign w:val="bottom"/>
            <w:gridSpan w:val="3"/>
          </w:tcPr>
          <w:p>
            <w:pPr>
              <w:ind w:left="20"/>
              <w:spacing w:after="0"/>
              <w:rPr>
                <w:sz w:val="20"/>
                <w:szCs w:val="20"/>
                <w:color w:val="auto"/>
              </w:rPr>
            </w:pPr>
            <w:r>
              <w:rPr>
                <w:rFonts w:ascii="Arial" w:cs="Arial" w:eastAsia="Arial" w:hAnsi="Arial"/>
                <w:sz w:val="16"/>
                <w:szCs w:val="16"/>
                <w:color w:val="auto"/>
              </w:rPr>
              <w:t>Balance at beginning of period</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848,950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880,297</w:t>
            </w:r>
          </w:p>
        </w:tc>
        <w:tc>
          <w:tcPr>
            <w:tcW w:w="0" w:type="dxa"/>
            <w:vAlign w:val="bottom"/>
          </w:tcPr>
          <w:p>
            <w:pPr>
              <w:spacing w:after="0"/>
              <w:rPr>
                <w:sz w:val="1"/>
                <w:szCs w:val="1"/>
                <w:color w:val="auto"/>
              </w:rPr>
            </w:pPr>
          </w:p>
        </w:tc>
      </w:tr>
      <w:tr>
        <w:trPr>
          <w:trHeight w:val="220"/>
        </w:trPr>
        <w:tc>
          <w:tcPr>
            <w:tcW w:w="83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Restricted stock transactions and other</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(27,338)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(70,387)</w:t>
            </w:r>
          </w:p>
        </w:tc>
        <w:tc>
          <w:tcPr>
            <w:tcW w:w="0" w:type="dxa"/>
            <w:vAlign w:val="bottom"/>
          </w:tcPr>
          <w:p>
            <w:pPr>
              <w:spacing w:after="0"/>
              <w:rPr>
                <w:sz w:val="1"/>
                <w:szCs w:val="1"/>
                <w:color w:val="auto"/>
              </w:rPr>
            </w:pPr>
          </w:p>
        </w:tc>
      </w:tr>
      <w:tr>
        <w:trPr>
          <w:trHeight w:val="220"/>
        </w:trPr>
        <w:tc>
          <w:tcPr>
            <w:tcW w:w="838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Share-based compensation</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9,333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6,905</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3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Balance at end of period</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830,945</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816,815</w:t>
            </w:r>
          </w:p>
        </w:tc>
        <w:tc>
          <w:tcPr>
            <w:tcW w:w="0" w:type="dxa"/>
            <w:vAlign w:val="bottom"/>
          </w:tcPr>
          <w:p>
            <w:pPr>
              <w:spacing w:after="0"/>
              <w:rPr>
                <w:sz w:val="1"/>
                <w:szCs w:val="1"/>
                <w:color w:val="auto"/>
              </w:rPr>
            </w:pPr>
          </w:p>
        </w:tc>
      </w:tr>
      <w:tr>
        <w:trPr>
          <w:trHeight w:val="200"/>
        </w:trPr>
        <w:tc>
          <w:tcPr>
            <w:tcW w:w="8380" w:type="dxa"/>
            <w:vAlign w:val="bottom"/>
            <w:gridSpan w:val="3"/>
          </w:tcPr>
          <w:p>
            <w:pPr>
              <w:ind w:left="20"/>
              <w:spacing w:after="0"/>
              <w:rPr>
                <w:sz w:val="20"/>
                <w:szCs w:val="20"/>
                <w:color w:val="auto"/>
              </w:rPr>
            </w:pPr>
            <w:r>
              <w:rPr>
                <w:rFonts w:ascii="Arial" w:cs="Arial" w:eastAsia="Arial" w:hAnsi="Arial"/>
                <w:sz w:val="16"/>
                <w:szCs w:val="16"/>
                <w:b w:val="1"/>
                <w:bCs w:val="1"/>
                <w:color w:val="auto"/>
              </w:rPr>
              <w:t>Retained Earnings</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3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6,773,289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6,546,079</w:t>
            </w:r>
          </w:p>
        </w:tc>
        <w:tc>
          <w:tcPr>
            <w:tcW w:w="0" w:type="dxa"/>
            <w:vAlign w:val="bottom"/>
          </w:tcPr>
          <w:p>
            <w:pPr>
              <w:spacing w:after="0"/>
              <w:rPr>
                <w:sz w:val="1"/>
                <w:szCs w:val="1"/>
                <w:color w:val="auto"/>
              </w:rPr>
            </w:pPr>
          </w:p>
        </w:tc>
      </w:tr>
      <w:tr>
        <w:trPr>
          <w:trHeight w:val="220"/>
        </w:trPr>
        <w:tc>
          <w:tcPr>
            <w:tcW w:w="8380" w:type="dxa"/>
            <w:vAlign w:val="bottom"/>
            <w:gridSpan w:val="3"/>
          </w:tcPr>
          <w:p>
            <w:pPr>
              <w:ind w:left="20"/>
              <w:spacing w:after="0"/>
              <w:rPr>
                <w:sz w:val="20"/>
                <w:szCs w:val="20"/>
                <w:color w:val="auto"/>
              </w:rPr>
            </w:pPr>
            <w:r>
              <w:rPr>
                <w:rFonts w:ascii="Arial" w:cs="Arial" w:eastAsia="Arial" w:hAnsi="Arial"/>
                <w:sz w:val="16"/>
                <w:szCs w:val="16"/>
                <w:color w:val="auto"/>
              </w:rPr>
              <w:t>Net income attributable to Murphy</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73,036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90,002</w:t>
            </w:r>
          </w:p>
        </w:tc>
        <w:tc>
          <w:tcPr>
            <w:tcW w:w="0" w:type="dxa"/>
            <w:vAlign w:val="bottom"/>
          </w:tcPr>
          <w:p>
            <w:pPr>
              <w:spacing w:after="0"/>
              <w:rPr>
                <w:sz w:val="1"/>
                <w:szCs w:val="1"/>
                <w:color w:val="auto"/>
              </w:rPr>
            </w:pPr>
          </w:p>
        </w:tc>
      </w:tr>
      <w:tr>
        <w:trPr>
          <w:trHeight w:val="220"/>
        </w:trPr>
        <w:tc>
          <w:tcPr>
            <w:tcW w:w="83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Cash dividends paid</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(47,026)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(45,773)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360" w:type="dxa"/>
            <w:vAlign w:val="bottom"/>
            <w:tcBorders>
              <w:bottom w:val="single" w:sz="8" w:color="CCEEFF"/>
            </w:tcBorders>
            <w:gridSpan w:val="2"/>
          </w:tcPr>
          <w:p>
            <w:pPr>
              <w:ind w:left="420"/>
              <w:spacing w:after="0"/>
              <w:rPr>
                <w:sz w:val="20"/>
                <w:szCs w:val="20"/>
                <w:color w:val="auto"/>
              </w:rPr>
            </w:pPr>
            <w:r>
              <w:rPr>
                <w:rFonts w:ascii="Arial" w:cs="Arial" w:eastAsia="Arial" w:hAnsi="Arial"/>
                <w:sz w:val="16"/>
                <w:szCs w:val="16"/>
                <w:color w:val="auto"/>
              </w:rPr>
              <w:t>Balance at end of period</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6,799,299</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6,590,308</w:t>
            </w:r>
          </w:p>
        </w:tc>
        <w:tc>
          <w:tcPr>
            <w:tcW w:w="0" w:type="dxa"/>
            <w:vAlign w:val="bottom"/>
          </w:tcPr>
          <w:p>
            <w:pPr>
              <w:spacing w:after="0"/>
              <w:rPr>
                <w:sz w:val="1"/>
                <w:szCs w:val="1"/>
                <w:color w:val="auto"/>
              </w:rPr>
            </w:pPr>
          </w:p>
        </w:tc>
      </w:tr>
      <w:tr>
        <w:trPr>
          <w:trHeight w:val="200"/>
        </w:trPr>
        <w:tc>
          <w:tcPr>
            <w:tcW w:w="838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Accumulated Other Comprehensive Loss</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380" w:type="dxa"/>
            <w:vAlign w:val="bottom"/>
            <w:gridSpan w:val="3"/>
          </w:tcPr>
          <w:p>
            <w:pPr>
              <w:ind w:left="20"/>
              <w:spacing w:after="0"/>
              <w:rPr>
                <w:sz w:val="20"/>
                <w:szCs w:val="20"/>
                <w:color w:val="auto"/>
              </w:rPr>
            </w:pPr>
            <w:r>
              <w:rPr>
                <w:rFonts w:ascii="Arial" w:cs="Arial" w:eastAsia="Arial" w:hAnsi="Arial"/>
                <w:sz w:val="16"/>
                <w:szCs w:val="16"/>
                <w:color w:val="auto"/>
              </w:rPr>
              <w:t>Balance at beginning of period</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(628,072)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(521,117)</w:t>
            </w:r>
          </w:p>
        </w:tc>
        <w:tc>
          <w:tcPr>
            <w:tcW w:w="0" w:type="dxa"/>
            <w:vAlign w:val="bottom"/>
          </w:tcPr>
          <w:p>
            <w:pPr>
              <w:spacing w:after="0"/>
              <w:rPr>
                <w:sz w:val="1"/>
                <w:szCs w:val="1"/>
                <w:color w:val="auto"/>
              </w:rPr>
            </w:pPr>
          </w:p>
        </w:tc>
      </w:tr>
      <w:tr>
        <w:trPr>
          <w:trHeight w:val="220"/>
        </w:trPr>
        <w:tc>
          <w:tcPr>
            <w:tcW w:w="83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Foreign currency translation, net of income taxes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(1,667)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(35,528)</w:t>
            </w:r>
          </w:p>
        </w:tc>
        <w:tc>
          <w:tcPr>
            <w:tcW w:w="0" w:type="dxa"/>
            <w:vAlign w:val="bottom"/>
          </w:tcPr>
          <w:p>
            <w:pPr>
              <w:spacing w:after="0"/>
              <w:rPr>
                <w:sz w:val="1"/>
                <w:szCs w:val="1"/>
                <w:color w:val="auto"/>
              </w:rPr>
            </w:pPr>
          </w:p>
        </w:tc>
      </w:tr>
      <w:tr>
        <w:trPr>
          <w:trHeight w:val="220"/>
        </w:trPr>
        <w:tc>
          <w:tcPr>
            <w:tcW w:w="838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Retirement and postretirement benefit plans, net of income taxes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864</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3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Balance at end of period</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(628,875)</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(555,735)</w:t>
            </w:r>
          </w:p>
        </w:tc>
        <w:tc>
          <w:tcPr>
            <w:tcW w:w="0" w:type="dxa"/>
            <w:vAlign w:val="bottom"/>
          </w:tcPr>
          <w:p>
            <w:pPr>
              <w:spacing w:after="0"/>
              <w:rPr>
                <w:sz w:val="1"/>
                <w:szCs w:val="1"/>
                <w:color w:val="auto"/>
              </w:rPr>
            </w:pPr>
          </w:p>
        </w:tc>
      </w:tr>
      <w:tr>
        <w:trPr>
          <w:trHeight w:val="200"/>
        </w:trPr>
        <w:tc>
          <w:tcPr>
            <w:tcW w:w="8380" w:type="dxa"/>
            <w:vAlign w:val="bottom"/>
            <w:gridSpan w:val="3"/>
          </w:tcPr>
          <w:p>
            <w:pPr>
              <w:ind w:left="20"/>
              <w:spacing w:after="0"/>
              <w:rPr>
                <w:sz w:val="20"/>
                <w:szCs w:val="20"/>
                <w:color w:val="auto"/>
              </w:rPr>
            </w:pPr>
            <w:r>
              <w:rPr>
                <w:rFonts w:ascii="Arial" w:cs="Arial" w:eastAsia="Arial" w:hAnsi="Arial"/>
                <w:sz w:val="16"/>
                <w:szCs w:val="16"/>
                <w:b w:val="1"/>
                <w:bCs w:val="1"/>
                <w:color w:val="auto"/>
              </w:rPr>
              <w:t>Treasury Stock</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3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(1,995,018)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(1,737,566)</w:t>
            </w:r>
          </w:p>
        </w:tc>
        <w:tc>
          <w:tcPr>
            <w:tcW w:w="0" w:type="dxa"/>
            <w:vAlign w:val="bottom"/>
          </w:tcPr>
          <w:p>
            <w:pPr>
              <w:spacing w:after="0"/>
              <w:rPr>
                <w:sz w:val="1"/>
                <w:szCs w:val="1"/>
                <w:color w:val="auto"/>
              </w:rPr>
            </w:pPr>
          </w:p>
        </w:tc>
      </w:tr>
      <w:tr>
        <w:trPr>
          <w:trHeight w:val="220"/>
        </w:trPr>
        <w:tc>
          <w:tcPr>
            <w:tcW w:w="8380" w:type="dxa"/>
            <w:vAlign w:val="bottom"/>
            <w:gridSpan w:val="3"/>
          </w:tcPr>
          <w:p>
            <w:pPr>
              <w:ind w:left="20"/>
              <w:spacing w:after="0"/>
              <w:rPr>
                <w:sz w:val="20"/>
                <w:szCs w:val="20"/>
                <w:color w:val="auto"/>
              </w:rPr>
            </w:pPr>
            <w:r>
              <w:rPr>
                <w:rFonts w:ascii="Arial" w:cs="Arial" w:eastAsia="Arial" w:hAnsi="Arial"/>
                <w:sz w:val="16"/>
                <w:szCs w:val="16"/>
                <w:color w:val="auto"/>
              </w:rPr>
              <w:t>Repurchase of common stock</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(100,876)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(50,049)</w:t>
            </w:r>
          </w:p>
        </w:tc>
        <w:tc>
          <w:tcPr>
            <w:tcW w:w="0" w:type="dxa"/>
            <w:vAlign w:val="bottom"/>
          </w:tcPr>
          <w:p>
            <w:pPr>
              <w:spacing w:after="0"/>
              <w:rPr>
                <w:sz w:val="1"/>
                <w:szCs w:val="1"/>
                <w:color w:val="auto"/>
              </w:rPr>
            </w:pPr>
          </w:p>
        </w:tc>
      </w:tr>
      <w:tr>
        <w:trPr>
          <w:trHeight w:val="220"/>
        </w:trPr>
        <w:tc>
          <w:tcPr>
            <w:tcW w:w="83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Awarded restricted stock, net of forfeitures</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19,683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45,117</w:t>
            </w:r>
          </w:p>
        </w:tc>
        <w:tc>
          <w:tcPr>
            <w:tcW w:w="0" w:type="dxa"/>
            <w:vAlign w:val="bottom"/>
          </w:tcPr>
          <w:p>
            <w:pPr>
              <w:spacing w:after="0"/>
              <w:rPr>
                <w:sz w:val="1"/>
                <w:szCs w:val="1"/>
                <w:color w:val="auto"/>
              </w:rPr>
            </w:pPr>
          </w:p>
        </w:tc>
      </w:tr>
      <w:tr>
        <w:trPr>
          <w:trHeight w:val="139"/>
        </w:trPr>
        <w:tc>
          <w:tcPr>
            <w:tcW w:w="8380" w:type="dxa"/>
            <w:vAlign w:val="bottom"/>
            <w:gridSpan w:val="3"/>
          </w:tcPr>
          <w:p>
            <w:pPr>
              <w:ind w:left="20"/>
              <w:spacing w:after="0" w:line="139" w:lineRule="exact"/>
              <w:rPr>
                <w:sz w:val="20"/>
                <w:szCs w:val="20"/>
                <w:color w:val="auto"/>
              </w:rPr>
            </w:pPr>
            <w:r>
              <w:rPr>
                <w:rFonts w:ascii="Arial" w:cs="Arial" w:eastAsia="Arial" w:hAnsi="Arial"/>
                <w:sz w:val="16"/>
                <w:szCs w:val="16"/>
                <w:color w:val="auto"/>
              </w:rPr>
              <w:t>Balance at end of period – 52,384,566 shares of common stock in 2025 and 42,524,472 shares of common stock in</w:t>
            </w:r>
          </w:p>
        </w:tc>
        <w:tc>
          <w:tcPr>
            <w:tcW w:w="28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(2,076,211)</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(1,742,498)</w:t>
            </w:r>
          </w:p>
        </w:tc>
        <w:tc>
          <w:tcPr>
            <w:tcW w:w="0" w:type="dxa"/>
            <w:vAlign w:val="bottom"/>
          </w:tcPr>
          <w:p>
            <w:pPr>
              <w:spacing w:after="0"/>
              <w:rPr>
                <w:sz w:val="1"/>
                <w:szCs w:val="1"/>
                <w:color w:val="auto"/>
              </w:rPr>
            </w:pPr>
          </w:p>
        </w:tc>
      </w:tr>
      <w:tr>
        <w:trPr>
          <w:trHeight w:val="216"/>
        </w:trPr>
        <w:tc>
          <w:tcPr>
            <w:tcW w:w="838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2024, at cost</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8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Murphy Shareholders’ Equity</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5,120,259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5,303,991</w:t>
            </w:r>
          </w:p>
        </w:tc>
        <w:tc>
          <w:tcPr>
            <w:tcW w:w="0" w:type="dxa"/>
            <w:vAlign w:val="bottom"/>
          </w:tcPr>
          <w:p>
            <w:pPr>
              <w:spacing w:after="0"/>
              <w:rPr>
                <w:sz w:val="1"/>
                <w:szCs w:val="1"/>
                <w:color w:val="auto"/>
              </w:rPr>
            </w:pPr>
          </w:p>
        </w:tc>
      </w:tr>
      <w:tr>
        <w:trPr>
          <w:trHeight w:val="220"/>
        </w:trPr>
        <w:tc>
          <w:tcPr>
            <w:tcW w:w="8380" w:type="dxa"/>
            <w:vAlign w:val="bottom"/>
            <w:gridSpan w:val="3"/>
          </w:tcPr>
          <w:p>
            <w:pPr>
              <w:ind w:left="20"/>
              <w:spacing w:after="0"/>
              <w:rPr>
                <w:sz w:val="20"/>
                <w:szCs w:val="20"/>
                <w:color w:val="auto"/>
              </w:rPr>
            </w:pPr>
            <w:r>
              <w:rPr>
                <w:rFonts w:ascii="Arial" w:cs="Arial" w:eastAsia="Arial" w:hAnsi="Arial"/>
                <w:sz w:val="16"/>
                <w:szCs w:val="16"/>
                <w:b w:val="1"/>
                <w:bCs w:val="1"/>
                <w:color w:val="auto"/>
              </w:rPr>
              <w:t>Noncontrolling Interest</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3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147,593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186,859</w:t>
            </w:r>
          </w:p>
        </w:tc>
        <w:tc>
          <w:tcPr>
            <w:tcW w:w="0" w:type="dxa"/>
            <w:vAlign w:val="bottom"/>
          </w:tcPr>
          <w:p>
            <w:pPr>
              <w:spacing w:after="0"/>
              <w:rPr>
                <w:sz w:val="1"/>
                <w:szCs w:val="1"/>
                <w:color w:val="auto"/>
              </w:rPr>
            </w:pPr>
          </w:p>
        </w:tc>
      </w:tr>
      <w:tr>
        <w:trPr>
          <w:trHeight w:val="220"/>
        </w:trPr>
        <w:tc>
          <w:tcPr>
            <w:tcW w:w="8380" w:type="dxa"/>
            <w:vAlign w:val="bottom"/>
            <w:gridSpan w:val="3"/>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16,382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24,656</w:t>
            </w:r>
          </w:p>
        </w:tc>
        <w:tc>
          <w:tcPr>
            <w:tcW w:w="0" w:type="dxa"/>
            <w:vAlign w:val="bottom"/>
          </w:tcPr>
          <w:p>
            <w:pPr>
              <w:spacing w:after="0"/>
              <w:rPr>
                <w:sz w:val="1"/>
                <w:szCs w:val="1"/>
                <w:color w:val="auto"/>
              </w:rPr>
            </w:pPr>
          </w:p>
        </w:tc>
      </w:tr>
      <w:tr>
        <w:trPr>
          <w:trHeight w:val="220"/>
        </w:trPr>
        <w:tc>
          <w:tcPr>
            <w:tcW w:w="83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Distributions to noncontrolling interest owners</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(6,955)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(23,001)</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360" w:type="dxa"/>
            <w:vAlign w:val="bottom"/>
            <w:tcBorders>
              <w:bottom w:val="single" w:sz="8" w:color="CCEEFF"/>
            </w:tcBorders>
            <w:gridSpan w:val="2"/>
          </w:tcPr>
          <w:p>
            <w:pPr>
              <w:ind w:left="420"/>
              <w:spacing w:after="0"/>
              <w:rPr>
                <w:sz w:val="20"/>
                <w:szCs w:val="20"/>
                <w:color w:val="auto"/>
              </w:rPr>
            </w:pPr>
            <w:r>
              <w:rPr>
                <w:rFonts w:ascii="Arial" w:cs="Arial" w:eastAsia="Arial" w:hAnsi="Arial"/>
                <w:sz w:val="16"/>
                <w:szCs w:val="16"/>
                <w:color w:val="auto"/>
              </w:rPr>
              <w:t>Balance at end of period</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157,020</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188,514</w:t>
            </w:r>
          </w:p>
        </w:tc>
        <w:tc>
          <w:tcPr>
            <w:tcW w:w="0" w:type="dxa"/>
            <w:vAlign w:val="bottom"/>
          </w:tcPr>
          <w:p>
            <w:pPr>
              <w:spacing w:after="0"/>
              <w:rPr>
                <w:sz w:val="1"/>
                <w:szCs w:val="1"/>
                <w:color w:val="auto"/>
              </w:rPr>
            </w:pPr>
          </w:p>
        </w:tc>
      </w:tr>
      <w:tr>
        <w:trPr>
          <w:trHeight w:val="238"/>
        </w:trPr>
        <w:tc>
          <w:tcPr>
            <w:tcW w:w="8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Total Equity</w:t>
            </w: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5,277,279</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5,492,505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278" w:right="37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155"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 xml:space="preserve">These notes are an integral part of the financial statements of Murphy Oil Corporation and Consolidated Subsidiaries (the Company or Murphy) on pages </w:t>
      </w:r>
      <w:r>
        <w:rPr>
          <w:rFonts w:ascii="Arial" w:cs="Arial" w:eastAsia="Arial" w:hAnsi="Arial"/>
          <w:sz w:val="17"/>
          <w:szCs w:val="17"/>
          <w:u w:val="single" w:color="auto"/>
          <w:color w:val="0000FF"/>
        </w:rPr>
        <w:t>2</w:t>
      </w:r>
      <w:r>
        <w:rPr>
          <w:rFonts w:ascii="Arial" w:cs="Arial" w:eastAsia="Arial" w:hAnsi="Arial"/>
          <w:sz w:val="17"/>
          <w:szCs w:val="17"/>
          <w:color w:val="auto"/>
        </w:rPr>
        <w:t xml:space="preserve"> through </w:t>
      </w:r>
      <w:r>
        <w:rPr>
          <w:rFonts w:ascii="Arial" w:cs="Arial" w:eastAsia="Arial" w:hAnsi="Arial"/>
          <w:sz w:val="17"/>
          <w:szCs w:val="17"/>
          <w:u w:val="single" w:color="auto"/>
          <w:color w:val="0000FF"/>
        </w:rPr>
        <w:t>6</w:t>
      </w:r>
      <w:r>
        <w:rPr>
          <w:rFonts w:ascii="Arial" w:cs="Arial" w:eastAsia="Arial" w:hAnsi="Arial"/>
          <w:sz w:val="17"/>
          <w:szCs w:val="17"/>
          <w:color w:val="auto"/>
        </w:rPr>
        <w:t xml:space="preserve"> of this Form 10-Q report.</w:t>
      </w: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A – Basis of Presentation</w:t>
      </w:r>
    </w:p>
    <w:p>
      <w:pPr>
        <w:spacing w:after="0" w:line="117" w:lineRule="exact"/>
        <w:rPr>
          <w:sz w:val="20"/>
          <w:szCs w:val="20"/>
          <w:color w:val="auto"/>
        </w:rPr>
      </w:pPr>
    </w:p>
    <w:p>
      <w:pPr>
        <w:ind w:right="200"/>
        <w:spacing w:after="0" w:line="261" w:lineRule="auto"/>
        <w:rPr>
          <w:sz w:val="20"/>
          <w:szCs w:val="20"/>
          <w:color w:val="auto"/>
        </w:rPr>
      </w:pPr>
      <w:r>
        <w:rPr>
          <w:rFonts w:ascii="Arial" w:cs="Arial" w:eastAsia="Arial" w:hAnsi="Arial"/>
          <w:sz w:val="17"/>
          <w:szCs w:val="17"/>
          <w:color w:val="auto"/>
        </w:rPr>
        <w:t>The unaudited financial statements presented herein, in the opinion of Murphy’s management, include all adjustments necessary to present fairly the Company’s financial position as at March 31, 2025 and December 31, 2024, and the results of operations, cash flows and changes in stockholders’ equity for the interim periods ended March 31, 2025 and 2024, in conformity with U.S. generally accepted accounting principles (GAAP). In preparing the financial statements of the Company in conformity with GAAP, management has made a number of estimates and assumptions that affect the reporting of assets, liabilities, revenues, and expenses and the disclosure of contingent assets and liabilities. Actual results may differ from the estimates.</w:t>
      </w:r>
    </w:p>
    <w:p>
      <w:pPr>
        <w:spacing w:after="0" w:line="68"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Consolidated financial statements and notes to consolidated financial statements included in this Form 10-Q report should be read in conjunction with the Company’s 2024 Form 10-K report, as certain notes and other pertinent information have been abbreviated or omitted in this report. Financial results for the three-month period ended March 31, 2025 are not necessarily indicative of future results.</w:t>
      </w:r>
    </w:p>
    <w:p>
      <w:pPr>
        <w:spacing w:after="0" w:line="393" w:lineRule="exact"/>
        <w:rPr>
          <w:sz w:val="20"/>
          <w:szCs w:val="20"/>
          <w:color w:val="auto"/>
        </w:rPr>
      </w:pPr>
    </w:p>
    <w:p>
      <w:pPr>
        <w:ind w:right="4820"/>
        <w:spacing w:after="0" w:line="381" w:lineRule="auto"/>
        <w:rPr>
          <w:sz w:val="20"/>
          <w:szCs w:val="20"/>
          <w:color w:val="auto"/>
        </w:rPr>
      </w:pPr>
      <w:r>
        <w:rPr>
          <w:rFonts w:ascii="Arial" w:cs="Arial" w:eastAsia="Arial" w:hAnsi="Arial"/>
          <w:sz w:val="17"/>
          <w:szCs w:val="17"/>
          <w:b w:val="1"/>
          <w:bCs w:val="1"/>
          <w:color w:val="auto"/>
        </w:rPr>
        <w:t xml:space="preserve">Note B – New Accounting Principles and Recent Accounting Pronouncements </w:t>
      </w:r>
      <w:r>
        <w:rPr>
          <w:rFonts w:ascii="Arial" w:cs="Arial" w:eastAsia="Arial" w:hAnsi="Arial"/>
          <w:sz w:val="17"/>
          <w:szCs w:val="17"/>
          <w:u w:val="single" w:color="auto"/>
          <w:color w:val="auto"/>
        </w:rPr>
        <w:t>Accounting Principles Adopted</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7"/>
          <w:szCs w:val="17"/>
          <w:i w:val="1"/>
          <w:iCs w:val="1"/>
          <w:color w:val="auto"/>
        </w:rPr>
        <w:t xml:space="preserve">Reportable Segment Disclosures. </w:t>
      </w:r>
      <w:r>
        <w:rPr>
          <w:rFonts w:ascii="Arial" w:cs="Arial" w:eastAsia="Arial" w:hAnsi="Arial"/>
          <w:sz w:val="17"/>
          <w:szCs w:val="17"/>
          <w:color w:val="auto"/>
        </w:rPr>
        <w:t>In November 2023, the Financial Accounting Standards Board (FASB) issued</w:t>
      </w:r>
      <w:r>
        <w:rPr>
          <w:rFonts w:ascii="Arial" w:cs="Arial" w:eastAsia="Arial" w:hAnsi="Arial"/>
          <w:sz w:val="17"/>
          <w:szCs w:val="17"/>
          <w:i w:val="1"/>
          <w:iCs w:val="1"/>
          <w:color w:val="auto"/>
        </w:rPr>
        <w:t xml:space="preserve"> Accounting Standards Update (ASU) 2023-07 Segment Reporting (Topic 280): Improvements to Reportable Segment Disclosures</w:t>
      </w:r>
      <w:r>
        <w:rPr>
          <w:rFonts w:ascii="Arial" w:cs="Arial" w:eastAsia="Arial" w:hAnsi="Arial"/>
          <w:sz w:val="17"/>
          <w:szCs w:val="17"/>
          <w:color w:val="auto"/>
        </w:rPr>
        <w:t>. The standard requires additional disclosures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about operating segments, including segment expense information provided to the chief operating decision maker, and extends certain disclosure requirements to interim periods. The Company adopted this standard in the fourth quarter of 2024. The adoption did not impact the determination of significant segments and had no material impact on the Company’s consolidated financial statements. These new disclosure requirements are applied retrospectively to all prior periods included in the financial statements. Refer to </w:t>
      </w:r>
      <w:r>
        <w:rPr>
          <w:rFonts w:ascii="Arial" w:cs="Arial" w:eastAsia="Arial" w:hAnsi="Arial"/>
          <w:sz w:val="17"/>
          <w:szCs w:val="17"/>
          <w:u w:val="single" w:color="auto"/>
          <w:color w:val="0000FF"/>
        </w:rPr>
        <w:t>Note P</w:t>
      </w:r>
      <w:r>
        <w:rPr>
          <w:rFonts w:ascii="Arial" w:cs="Arial" w:eastAsia="Arial" w:hAnsi="Arial"/>
          <w:sz w:val="17"/>
          <w:szCs w:val="17"/>
          <w:color w:val="auto"/>
        </w:rPr>
        <w:t>.</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Recent Accounting Pronouncements</w:t>
      </w:r>
    </w:p>
    <w:p>
      <w:pPr>
        <w:spacing w:after="0" w:line="115"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i w:val="1"/>
          <w:iCs w:val="1"/>
          <w:color w:val="auto"/>
        </w:rPr>
        <w:t xml:space="preserve">Expense Disaggregation Disclosures. </w:t>
      </w:r>
      <w:r>
        <w:rPr>
          <w:rFonts w:ascii="Arial" w:cs="Arial" w:eastAsia="Arial" w:hAnsi="Arial"/>
          <w:sz w:val="17"/>
          <w:szCs w:val="17"/>
          <w:color w:val="auto"/>
        </w:rPr>
        <w:t>In November 2024, the FASB issued</w:t>
      </w:r>
      <w:r>
        <w:rPr>
          <w:rFonts w:ascii="Arial" w:cs="Arial" w:eastAsia="Arial" w:hAnsi="Arial"/>
          <w:sz w:val="17"/>
          <w:szCs w:val="17"/>
          <w:i w:val="1"/>
          <w:iCs w:val="1"/>
          <w:color w:val="auto"/>
        </w:rPr>
        <w:t xml:space="preserve"> ASU 2024-03 Income Statement—Reporting Comprehensive Income— Expense Disaggregation Disclosures (Subtopic 220-40): Disaggregation of Income Statement Expenses. </w:t>
      </w:r>
      <w:r>
        <w:rPr>
          <w:rFonts w:ascii="Arial" w:cs="Arial" w:eastAsia="Arial" w:hAnsi="Arial"/>
          <w:sz w:val="17"/>
          <w:szCs w:val="17"/>
          <w:color w:val="auto"/>
        </w:rPr>
        <w:t>The standard becomes effective for</w:t>
      </w:r>
      <w:r>
        <w:rPr>
          <w:rFonts w:ascii="Arial" w:cs="Arial" w:eastAsia="Arial" w:hAnsi="Arial"/>
          <w:sz w:val="17"/>
          <w:szCs w:val="17"/>
          <w:i w:val="1"/>
          <w:iCs w:val="1"/>
          <w:color w:val="auto"/>
        </w:rPr>
        <w:t xml:space="preserve"> </w:t>
      </w:r>
      <w:r>
        <w:rPr>
          <w:rFonts w:ascii="Arial" w:cs="Arial" w:eastAsia="Arial" w:hAnsi="Arial"/>
          <w:sz w:val="17"/>
          <w:szCs w:val="17"/>
          <w:color w:val="auto"/>
        </w:rPr>
        <w:t>annual reporting periods beginning after December 15, 2026, and interim reporting periods beginning after December 15, 2027. The standard requires specified information about certain costs and expenses presented on the face of the income statement to be further disaggregated in the notes to the financial statements. In addition, the standard requires certain expense and cost information that is not separately disaggregated to be qualitatively described. We expect this ASU to only impact our disclosures with no impacts to our results of operations, cash flows and financial condition.</w:t>
      </w:r>
    </w:p>
    <w:p>
      <w:pPr>
        <w:spacing w:after="0" w:line="280"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i w:val="1"/>
          <w:iCs w:val="1"/>
          <w:color w:val="auto"/>
        </w:rPr>
        <w:t>Income Tax Disclosures</w:t>
      </w:r>
      <w:r>
        <w:rPr>
          <w:rFonts w:ascii="Arial" w:cs="Arial" w:eastAsia="Arial" w:hAnsi="Arial"/>
          <w:sz w:val="17"/>
          <w:szCs w:val="17"/>
          <w:color w:val="auto"/>
        </w:rPr>
        <w:t>. In December 2023, the FASB issued</w:t>
      </w:r>
      <w:r>
        <w:rPr>
          <w:rFonts w:ascii="Arial" w:cs="Arial" w:eastAsia="Arial" w:hAnsi="Arial"/>
          <w:sz w:val="17"/>
          <w:szCs w:val="17"/>
          <w:i w:val="1"/>
          <w:iCs w:val="1"/>
          <w:color w:val="auto"/>
        </w:rPr>
        <w:t xml:space="preserve"> ASU 2023-09 Income Taxes (Topic 740): Improvements to Income Tax Disclosures. </w:t>
      </w:r>
      <w:r>
        <w:rPr>
          <w:rFonts w:ascii="Arial" w:cs="Arial" w:eastAsia="Arial" w:hAnsi="Arial"/>
          <w:sz w:val="17"/>
          <w:szCs w:val="17"/>
          <w:color w:val="auto"/>
        </w:rPr>
        <w:t>The standard becomes effective for annual periods beginning after December 15, 2024. The update requires financial statements to include consistent categories and greater disaggregation of information in the rate reconciliation, as well as income taxes paid disaggregated by jurisdiction. We expect this ASU to only impact our disclosures with no impacts to our results of operations, cash flows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C – Revenue from Contracts with Customers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Nature of Goods and Services</w:t>
      </w:r>
    </w:p>
    <w:p>
      <w:pPr>
        <w:spacing w:after="0" w:line="115"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Company explores for and produces crude oil, natural gas and natural gas liquids (collectively referred to as oil and natural gas) in select basins around the world. The Company’s revenue from sales of oil and natural gas production activities is primarily subdivided into two key geographic segments: the United States (U.S.) and Canada. Additionally, revenue from sales to customers is generated from three primary revenue streams: crude oil, natural gas and natural gas liquids (NGLs).</w:t>
      </w:r>
    </w:p>
    <w:p>
      <w:pPr>
        <w:spacing w:after="0" w:line="64" w:lineRule="exact"/>
        <w:rPr>
          <w:sz w:val="20"/>
          <w:szCs w:val="20"/>
          <w:color w:val="auto"/>
        </w:rPr>
      </w:pPr>
    </w:p>
    <w:p>
      <w:pPr>
        <w:ind w:right="420"/>
        <w:spacing w:after="0" w:line="266" w:lineRule="auto"/>
        <w:rPr>
          <w:sz w:val="20"/>
          <w:szCs w:val="20"/>
          <w:color w:val="auto"/>
        </w:rPr>
      </w:pPr>
      <w:r>
        <w:rPr>
          <w:rFonts w:ascii="Arial" w:cs="Arial" w:eastAsia="Arial" w:hAnsi="Arial"/>
          <w:sz w:val="17"/>
          <w:szCs w:val="17"/>
          <w:color w:val="auto"/>
        </w:rPr>
        <w:t>For operated oil and natural gas production where a non-operated working interest owner does not take in kind its proportionate interest in the produced commodity, the Company acts as an agent for the working interest owner and recognizes revenue only for its own share of the commingled production. The exception to this is the reporting of the noncontrolling interest (NCI) in MP Gulf of Mexico, LLC (MP GOM) as prescribed by GAAP.</w:t>
      </w:r>
    </w:p>
    <w:p>
      <w:pPr>
        <w:spacing w:after="0" w:line="64"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i w:val="1"/>
          <w:iCs w:val="1"/>
          <w:color w:val="auto"/>
        </w:rPr>
        <w:t xml:space="preserve">U.S. - </w:t>
      </w:r>
      <w:r>
        <w:rPr>
          <w:rFonts w:ascii="Arial" w:cs="Arial" w:eastAsia="Arial" w:hAnsi="Arial"/>
          <w:sz w:val="17"/>
          <w:szCs w:val="17"/>
          <w:color w:val="auto"/>
        </w:rPr>
        <w:t>In the U.S., the Company primarily produces oil and natural gas from fields in the Eagle Ford Shale area of South Texas and in the Gulf of</w:t>
      </w:r>
      <w:r>
        <w:rPr>
          <w:rFonts w:ascii="Arial" w:cs="Arial" w:eastAsia="Arial" w:hAnsi="Arial"/>
          <w:sz w:val="17"/>
          <w:szCs w:val="17"/>
          <w:i w:val="1"/>
          <w:iCs w:val="1"/>
          <w:color w:val="auto"/>
        </w:rPr>
        <w:t xml:space="preserve"> </w:t>
      </w:r>
      <w:r>
        <w:rPr>
          <w:rFonts w:ascii="Arial" w:cs="Arial" w:eastAsia="Arial" w:hAnsi="Arial"/>
          <w:sz w:val="17"/>
          <w:szCs w:val="17"/>
          <w:color w:val="auto"/>
        </w:rPr>
        <w:t>America. Revenue is generally recognized when oil and natural gas is transferred to the customer at the delivery point. Revenue recognized is largely index-based with price adjustments for floating market differentials.</w:t>
      </w:r>
    </w:p>
    <w:p>
      <w:pPr>
        <w:spacing w:after="0" w:line="59" w:lineRule="exact"/>
        <w:rPr>
          <w:sz w:val="20"/>
          <w:szCs w:val="20"/>
          <w:color w:val="auto"/>
        </w:rPr>
      </w:pPr>
    </w:p>
    <w:p>
      <w:pPr>
        <w:jc w:val="both"/>
        <w:ind w:right="140"/>
        <w:spacing w:after="0" w:line="272" w:lineRule="auto"/>
        <w:rPr>
          <w:sz w:val="20"/>
          <w:szCs w:val="20"/>
          <w:color w:val="auto"/>
        </w:rPr>
      </w:pPr>
      <w:r>
        <w:rPr>
          <w:rFonts w:ascii="Arial" w:cs="Arial" w:eastAsia="Arial" w:hAnsi="Arial"/>
          <w:sz w:val="17"/>
          <w:szCs w:val="17"/>
          <w:i w:val="1"/>
          <w:iCs w:val="1"/>
          <w:color w:val="auto"/>
        </w:rPr>
        <w:t xml:space="preserve">Canada - </w:t>
      </w:r>
      <w:r>
        <w:rPr>
          <w:rFonts w:ascii="Arial" w:cs="Arial" w:eastAsia="Arial" w:hAnsi="Arial"/>
          <w:sz w:val="17"/>
          <w:szCs w:val="17"/>
          <w:color w:val="auto"/>
        </w:rPr>
        <w:t>In Canada, contracts include long-term floating commodity index priced and natural gas physical forward sales fixed price contracts.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offshore business in Canada, contracts are based on index prices and revenue is recognized at the time of vessel load based on the volumes on the bill of lading and point of custody transfer. The Company also purchases natural gas in Canada to meet certain sales commitments.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Disaggregation of Revenue</w:t>
      </w:r>
    </w:p>
    <w:p>
      <w:pPr>
        <w:spacing w:after="0" w:line="115"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The Company reviews performance based on two key geographical segments and between onshore and offshore sources of revenue within these geographies.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C - Revenue from Contracts with Customers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The Company’s revenues and other income for the three-month periods ended March 31, 2025 and 2024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4"/>
          </w:tcPr>
          <w:p>
            <w:pPr>
              <w:jc w:val="right"/>
              <w:ind w:right="614"/>
              <w:spacing w:after="0"/>
              <w:rPr>
                <w:sz w:val="20"/>
                <w:szCs w:val="20"/>
                <w:color w:val="auto"/>
              </w:rPr>
            </w:pPr>
            <w:r>
              <w:rPr>
                <w:rFonts w:ascii="Arial" w:cs="Arial" w:eastAsia="Arial" w:hAnsi="Arial"/>
                <w:sz w:val="17"/>
                <w:szCs w:val="17"/>
                <w:b w:val="1"/>
                <w:bCs w:val="1"/>
                <w:color w:val="auto"/>
              </w:rPr>
              <w:t>Three Months Ended</w:t>
            </w:r>
          </w:p>
        </w:tc>
      </w:tr>
      <w:tr>
        <w:trPr>
          <w:trHeight w:val="233"/>
        </w:trPr>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7"/>
                <w:szCs w:val="17"/>
                <w:b w:val="1"/>
                <w:bCs w:val="1"/>
                <w:color w:val="auto"/>
              </w:rPr>
              <w:t>March 31,</w:t>
            </w:r>
          </w:p>
        </w:tc>
        <w:tc>
          <w:tcPr>
            <w:tcW w:w="1060" w:type="dxa"/>
            <w:vAlign w:val="bottom"/>
            <w:tcBorders>
              <w:bottom w:val="single" w:sz="8" w:color="auto"/>
            </w:tcBorders>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7560" w:type="dxa"/>
            <w:vAlign w:val="bottom"/>
            <w:gridSpan w:val="2"/>
          </w:tcPr>
          <w:p>
            <w:pPr>
              <w:spacing w:after="0" w:line="174" w:lineRule="exact"/>
              <w:rPr>
                <w:sz w:val="20"/>
                <w:szCs w:val="20"/>
                <w:color w:val="auto"/>
              </w:rPr>
            </w:pPr>
            <w:r>
              <w:rPr>
                <w:rFonts w:ascii="Arial" w:cs="Arial" w:eastAsia="Arial" w:hAnsi="Arial"/>
                <w:sz w:val="17"/>
                <w:szCs w:val="17"/>
                <w:i w:val="1"/>
                <w:iCs w:val="1"/>
                <w:color w:val="auto"/>
              </w:rPr>
              <w:t>(Thousands of dollars)</w:t>
            </w:r>
          </w:p>
        </w:tc>
        <w:tc>
          <w:tcPr>
            <w:tcW w:w="340" w:type="dxa"/>
            <w:vAlign w:val="bottom"/>
          </w:tcPr>
          <w:p>
            <w:pPr>
              <w:spacing w:after="0"/>
              <w:rPr>
                <w:sz w:val="15"/>
                <w:szCs w:val="15"/>
                <w:color w:val="auto"/>
              </w:rPr>
            </w:pPr>
          </w:p>
        </w:tc>
        <w:tc>
          <w:tcPr>
            <w:tcW w:w="1180" w:type="dxa"/>
            <w:vAlign w:val="bottom"/>
          </w:tcPr>
          <w:p>
            <w:pPr>
              <w:jc w:val="right"/>
              <w:ind w:right="474"/>
              <w:spacing w:after="0" w:line="174" w:lineRule="exact"/>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jc w:val="right"/>
              <w:ind w:right="474"/>
              <w:spacing w:after="0" w:line="174" w:lineRule="exact"/>
              <w:rPr>
                <w:sz w:val="20"/>
                <w:szCs w:val="20"/>
                <w:color w:val="auto"/>
              </w:rPr>
            </w:pPr>
            <w:r>
              <w:rPr>
                <w:rFonts w:ascii="Arial" w:cs="Arial" w:eastAsia="Arial" w:hAnsi="Arial"/>
                <w:sz w:val="17"/>
                <w:szCs w:val="17"/>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crude oil and condensate revenue</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7560" w:type="dxa"/>
            <w:vAlign w:val="bottom"/>
            <w:gridSpan w:val="2"/>
          </w:tcPr>
          <w:p>
            <w:pPr>
              <w:ind w:left="420"/>
              <w:spacing w:after="0"/>
              <w:rPr>
                <w:sz w:val="20"/>
                <w:szCs w:val="20"/>
                <w:color w:val="auto"/>
              </w:rPr>
            </w:pPr>
            <w:r>
              <w:rPr>
                <w:rFonts w:ascii="Arial" w:cs="Arial" w:eastAsia="Arial" w:hAnsi="Arial"/>
                <w:sz w:val="17"/>
                <w:szCs w:val="17"/>
                <w:color w:val="auto"/>
              </w:rPr>
              <w:t>United States - Onshore</w:t>
            </w:r>
          </w:p>
        </w:tc>
        <w:tc>
          <w:tcPr>
            <w:tcW w:w="34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109,458</w:t>
            </w:r>
          </w:p>
        </w:tc>
        <w:tc>
          <w:tcPr>
            <w:tcW w:w="10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142,543</w:t>
            </w:r>
          </w:p>
        </w:tc>
      </w:tr>
      <w:tr>
        <w:trPr>
          <w:trHeight w:val="220"/>
        </w:trPr>
        <w:tc>
          <w:tcPr>
            <w:tcW w:w="20" w:type="dxa"/>
            <w:vAlign w:val="bottom"/>
            <w:shd w:val="clear" w:color="auto" w:fill="CCEEFF"/>
          </w:tcPr>
          <w:p>
            <w:pPr>
              <w:spacing w:after="0"/>
              <w:rPr>
                <w:sz w:val="19"/>
                <w:szCs w:val="19"/>
                <w:color w:val="auto"/>
              </w:rPr>
            </w:pPr>
          </w:p>
        </w:tc>
        <w:tc>
          <w:tcPr>
            <w:tcW w:w="7560" w:type="dxa"/>
            <w:vAlign w:val="bottom"/>
            <w:gridSpan w:val="2"/>
            <w:shd w:val="clear" w:color="auto" w:fill="CCEEFF"/>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352,362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480,439</w:t>
            </w:r>
          </w:p>
        </w:tc>
      </w:tr>
      <w:tr>
        <w:trPr>
          <w:trHeight w:val="220"/>
        </w:trPr>
        <w:tc>
          <w:tcPr>
            <w:tcW w:w="20" w:type="dxa"/>
            <w:vAlign w:val="bottom"/>
          </w:tcPr>
          <w:p>
            <w:pPr>
              <w:spacing w:after="0"/>
              <w:rPr>
                <w:sz w:val="19"/>
                <w:szCs w:val="19"/>
                <w:color w:val="auto"/>
              </w:rPr>
            </w:pPr>
          </w:p>
        </w:tc>
        <w:tc>
          <w:tcPr>
            <w:tcW w:w="7560" w:type="dxa"/>
            <w:vAlign w:val="bottom"/>
            <w:gridSpan w:val="2"/>
          </w:tcPr>
          <w:p>
            <w:pPr>
              <w:ind w:left="420"/>
              <w:spacing w:after="0"/>
              <w:rPr>
                <w:sz w:val="20"/>
                <w:szCs w:val="20"/>
                <w:color w:val="auto"/>
              </w:rPr>
            </w:pPr>
            <w:r>
              <w:rPr>
                <w:rFonts w:ascii="Arial" w:cs="Arial" w:eastAsia="Arial" w:hAnsi="Arial"/>
                <w:sz w:val="17"/>
                <w:szCs w:val="17"/>
                <w:color w:val="auto"/>
              </w:rPr>
              <w:t>Canada - Onshore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14,730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13,873</w:t>
            </w:r>
          </w:p>
        </w:tc>
      </w:tr>
      <w:tr>
        <w:trPr>
          <w:trHeight w:val="220"/>
        </w:trPr>
        <w:tc>
          <w:tcPr>
            <w:tcW w:w="20" w:type="dxa"/>
            <w:vAlign w:val="bottom"/>
            <w:shd w:val="clear" w:color="auto" w:fill="CCEEFF"/>
          </w:tcPr>
          <w:p>
            <w:pPr>
              <w:spacing w:after="0"/>
              <w:rPr>
                <w:sz w:val="19"/>
                <w:szCs w:val="19"/>
                <w:color w:val="auto"/>
              </w:rPr>
            </w:pPr>
          </w:p>
        </w:tc>
        <w:tc>
          <w:tcPr>
            <w:tcW w:w="75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Canada - Offshore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74,469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54,775</w:t>
            </w:r>
          </w:p>
        </w:tc>
      </w:tr>
      <w:tr>
        <w:trPr>
          <w:trHeight w:val="220"/>
        </w:trPr>
        <w:tc>
          <w:tcPr>
            <w:tcW w:w="20" w:type="dxa"/>
            <w:vAlign w:val="bottom"/>
          </w:tcPr>
          <w:p>
            <w:pPr>
              <w:spacing w:after="0"/>
              <w:rPr>
                <w:sz w:val="19"/>
                <w:szCs w:val="19"/>
                <w:color w:val="auto"/>
              </w:rPr>
            </w:pPr>
          </w:p>
        </w:tc>
        <w:tc>
          <w:tcPr>
            <w:tcW w:w="7560" w:type="dxa"/>
            <w:vAlign w:val="bottom"/>
            <w:gridSpan w:val="2"/>
          </w:tcPr>
          <w:p>
            <w:pPr>
              <w:ind w:left="420"/>
              <w:spacing w:after="0"/>
              <w:rPr>
                <w:sz w:val="20"/>
                <w:szCs w:val="20"/>
                <w:color w:val="auto"/>
              </w:rPr>
            </w:pPr>
            <w:r>
              <w:rPr>
                <w:rFonts w:ascii="Arial" w:cs="Arial" w:eastAsia="Arial" w:hAnsi="Arial"/>
                <w:sz w:val="17"/>
                <w:szCs w:val="17"/>
                <w:color w:val="auto"/>
              </w:rPr>
              <w:t>Other</w:t>
            </w: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(98)</w:t>
            </w: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756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Total crude oil and condensate revenue</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551,019</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691,532</w:t>
            </w:r>
          </w:p>
        </w:tc>
      </w:tr>
      <w:tr>
        <w:trPr>
          <w:trHeight w:val="200"/>
        </w:trPr>
        <w:tc>
          <w:tcPr>
            <w:tcW w:w="20" w:type="dxa"/>
            <w:vAlign w:val="bottom"/>
          </w:tcPr>
          <w:p>
            <w:pPr>
              <w:spacing w:after="0"/>
              <w:rPr>
                <w:sz w:val="17"/>
                <w:szCs w:val="17"/>
                <w:color w:val="auto"/>
              </w:rPr>
            </w:pPr>
          </w:p>
        </w:tc>
        <w:tc>
          <w:tcPr>
            <w:tcW w:w="7560" w:type="dxa"/>
            <w:vAlign w:val="bottom"/>
            <w:gridSpan w:val="2"/>
          </w:tcPr>
          <w:p>
            <w:pPr>
              <w:spacing w:after="0"/>
              <w:rPr>
                <w:sz w:val="20"/>
                <w:szCs w:val="20"/>
                <w:color w:val="auto"/>
              </w:rPr>
            </w:pPr>
            <w:r>
              <w:rPr>
                <w:rFonts w:ascii="Arial" w:cs="Arial" w:eastAsia="Arial" w:hAnsi="Arial"/>
                <w:sz w:val="17"/>
                <w:szCs w:val="17"/>
                <w:color w:val="auto"/>
              </w:rPr>
              <w:t>Net natural gas liquids revenue</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0"/>
        </w:trPr>
        <w:tc>
          <w:tcPr>
            <w:tcW w:w="20" w:type="dxa"/>
            <w:vAlign w:val="bottom"/>
            <w:shd w:val="clear" w:color="auto" w:fill="CCEEFF"/>
          </w:tcPr>
          <w:p>
            <w:pPr>
              <w:spacing w:after="0"/>
              <w:rPr>
                <w:sz w:val="19"/>
                <w:szCs w:val="19"/>
                <w:color w:val="auto"/>
              </w:rPr>
            </w:pPr>
          </w:p>
        </w:tc>
        <w:tc>
          <w:tcPr>
            <w:tcW w:w="75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United States - Onshore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8,487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7,836</w:t>
            </w:r>
          </w:p>
        </w:tc>
      </w:tr>
      <w:tr>
        <w:trPr>
          <w:trHeight w:val="220"/>
        </w:trPr>
        <w:tc>
          <w:tcPr>
            <w:tcW w:w="20" w:type="dxa"/>
            <w:vAlign w:val="bottom"/>
          </w:tcPr>
          <w:p>
            <w:pPr>
              <w:spacing w:after="0"/>
              <w:rPr>
                <w:sz w:val="19"/>
                <w:szCs w:val="19"/>
                <w:color w:val="auto"/>
              </w:rPr>
            </w:pPr>
          </w:p>
        </w:tc>
        <w:tc>
          <w:tcPr>
            <w:tcW w:w="7560" w:type="dxa"/>
            <w:vAlign w:val="bottom"/>
            <w:gridSpan w:val="2"/>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9,249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10,374</w:t>
            </w:r>
          </w:p>
        </w:tc>
      </w:tr>
      <w:tr>
        <w:trPr>
          <w:trHeight w:val="220"/>
        </w:trPr>
        <w:tc>
          <w:tcPr>
            <w:tcW w:w="20" w:type="dxa"/>
            <w:vAlign w:val="bottom"/>
            <w:shd w:val="clear" w:color="auto" w:fill="CCEEFF"/>
          </w:tcPr>
          <w:p>
            <w:pPr>
              <w:spacing w:after="0"/>
              <w:rPr>
                <w:sz w:val="19"/>
                <w:szCs w:val="19"/>
                <w:color w:val="auto"/>
              </w:rPr>
            </w:pPr>
          </w:p>
        </w:tc>
        <w:tc>
          <w:tcPr>
            <w:tcW w:w="75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Canada - Onshore</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1,747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1,437</w:t>
            </w:r>
          </w:p>
        </w:tc>
      </w:tr>
      <w:tr>
        <w:trPr>
          <w:trHeight w:val="213"/>
        </w:trPr>
        <w:tc>
          <w:tcPr>
            <w:tcW w:w="20" w:type="dxa"/>
            <w:vAlign w:val="bottom"/>
            <w:tcBorders>
              <w:bottom w:val="single" w:sz="8" w:color="CCEEFF"/>
            </w:tcBorders>
          </w:tcPr>
          <w:p>
            <w:pPr>
              <w:spacing w:after="0"/>
              <w:rPr>
                <w:sz w:val="18"/>
                <w:szCs w:val="18"/>
                <w:color w:val="auto"/>
              </w:rPr>
            </w:pPr>
          </w:p>
        </w:tc>
        <w:tc>
          <w:tcPr>
            <w:tcW w:w="756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Total natural gas liquids revenue</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19,483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19,647</w:t>
            </w:r>
          </w:p>
        </w:tc>
      </w:tr>
      <w:tr>
        <w:trPr>
          <w:trHeight w:val="200"/>
        </w:trPr>
        <w:tc>
          <w:tcPr>
            <w:tcW w:w="20" w:type="dxa"/>
            <w:vAlign w:val="bottom"/>
            <w:shd w:val="clear" w:color="auto" w:fill="CCEEFF"/>
          </w:tcPr>
          <w:p>
            <w:pPr>
              <w:spacing w:after="0"/>
              <w:rPr>
                <w:sz w:val="17"/>
                <w:szCs w:val="17"/>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natural gas revenue</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7560" w:type="dxa"/>
            <w:vAlign w:val="bottom"/>
            <w:gridSpan w:val="2"/>
          </w:tcPr>
          <w:p>
            <w:pPr>
              <w:ind w:left="420"/>
              <w:spacing w:after="0"/>
              <w:rPr>
                <w:sz w:val="20"/>
                <w:szCs w:val="20"/>
                <w:color w:val="auto"/>
              </w:rPr>
            </w:pPr>
            <w:r>
              <w:rPr>
                <w:rFonts w:ascii="Arial" w:cs="Arial" w:eastAsia="Arial" w:hAnsi="Arial"/>
                <w:sz w:val="17"/>
                <w:szCs w:val="17"/>
                <w:color w:val="auto"/>
              </w:rPr>
              <w:t>United States - Onshore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7,967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4,276</w:t>
            </w:r>
          </w:p>
        </w:tc>
      </w:tr>
      <w:tr>
        <w:trPr>
          <w:trHeight w:val="220"/>
        </w:trPr>
        <w:tc>
          <w:tcPr>
            <w:tcW w:w="20" w:type="dxa"/>
            <w:vAlign w:val="bottom"/>
            <w:shd w:val="clear" w:color="auto" w:fill="CCEEFF"/>
          </w:tcPr>
          <w:p>
            <w:pPr>
              <w:spacing w:after="0"/>
              <w:rPr>
                <w:sz w:val="19"/>
                <w:szCs w:val="19"/>
                <w:color w:val="auto"/>
              </w:rPr>
            </w:pPr>
          </w:p>
        </w:tc>
        <w:tc>
          <w:tcPr>
            <w:tcW w:w="7560" w:type="dxa"/>
            <w:vAlign w:val="bottom"/>
            <w:gridSpan w:val="2"/>
            <w:shd w:val="clear" w:color="auto" w:fill="CCEEFF"/>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19,941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12,889</w:t>
            </w:r>
          </w:p>
        </w:tc>
      </w:tr>
      <w:tr>
        <w:trPr>
          <w:trHeight w:val="220"/>
        </w:trPr>
        <w:tc>
          <w:tcPr>
            <w:tcW w:w="20" w:type="dxa"/>
            <w:vAlign w:val="bottom"/>
            <w:tcBorders>
              <w:bottom w:val="single" w:sz="8" w:color="CCEEFF"/>
            </w:tcBorders>
          </w:tcPr>
          <w:p>
            <w:pPr>
              <w:spacing w:after="0"/>
              <w:rPr>
                <w:sz w:val="19"/>
                <w:szCs w:val="19"/>
                <w:color w:val="auto"/>
              </w:rPr>
            </w:pPr>
          </w:p>
        </w:tc>
        <w:tc>
          <w:tcPr>
            <w:tcW w:w="7560" w:type="dxa"/>
            <w:vAlign w:val="bottom"/>
            <w:tcBorders>
              <w:bottom w:val="single" w:sz="8" w:color="CCEEFF"/>
            </w:tcBorders>
            <w:gridSpan w:val="2"/>
          </w:tcPr>
          <w:p>
            <w:pPr>
              <w:ind w:left="420"/>
              <w:spacing w:after="0"/>
              <w:rPr>
                <w:sz w:val="20"/>
                <w:szCs w:val="20"/>
                <w:color w:val="auto"/>
              </w:rPr>
            </w:pPr>
            <w:r>
              <w:rPr>
                <w:rFonts w:ascii="Arial" w:cs="Arial" w:eastAsia="Arial" w:hAnsi="Arial"/>
                <w:sz w:val="17"/>
                <w:szCs w:val="17"/>
                <w:color w:val="auto"/>
              </w:rPr>
              <w:t>Canada - Onshore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74,320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66,259</w:t>
            </w:r>
          </w:p>
        </w:tc>
      </w:tr>
      <w:tr>
        <w:trPr>
          <w:trHeight w:val="213"/>
        </w:trPr>
        <w:tc>
          <w:tcPr>
            <w:tcW w:w="20" w:type="dxa"/>
            <w:vAlign w:val="bottom"/>
            <w:shd w:val="clear" w:color="auto" w:fill="CCEEFF"/>
          </w:tcPr>
          <w:p>
            <w:pPr>
              <w:spacing w:after="0"/>
              <w:rPr>
                <w:sz w:val="18"/>
                <w:szCs w:val="18"/>
                <w:color w:val="auto"/>
              </w:rPr>
            </w:pPr>
          </w:p>
        </w:tc>
        <w:tc>
          <w:tcPr>
            <w:tcW w:w="7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Total natural gas revenue</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102,228</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83,424</w:t>
            </w:r>
          </w:p>
        </w:tc>
      </w:tr>
      <w:tr>
        <w:trPr>
          <w:trHeight w:val="213"/>
        </w:trPr>
        <w:tc>
          <w:tcPr>
            <w:tcW w:w="20" w:type="dxa"/>
            <w:vAlign w:val="bottom"/>
            <w:tcBorders>
              <w:bottom w:val="single" w:sz="8" w:color="CCEEFF"/>
            </w:tcBorders>
          </w:tcPr>
          <w:p>
            <w:pPr>
              <w:spacing w:after="0"/>
              <w:rPr>
                <w:sz w:val="18"/>
                <w:szCs w:val="18"/>
                <w:color w:val="auto"/>
              </w:rPr>
            </w:pPr>
          </w:p>
        </w:tc>
        <w:tc>
          <w:tcPr>
            <w:tcW w:w="75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b w:val="1"/>
                <w:bCs w:val="1"/>
                <w:color w:val="auto"/>
              </w:rPr>
              <w:t>Revenue from production</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672,730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794,603</w:t>
            </w:r>
          </w:p>
        </w:tc>
      </w:tr>
      <w:tr>
        <w:trPr>
          <w:trHeight w:val="200"/>
        </w:trPr>
        <w:tc>
          <w:tcPr>
            <w:tcW w:w="20" w:type="dxa"/>
            <w:vAlign w:val="bottom"/>
            <w:shd w:val="clear" w:color="auto" w:fill="CCEEFF"/>
          </w:tcPr>
          <w:p>
            <w:pPr>
              <w:spacing w:after="0"/>
              <w:rPr>
                <w:sz w:val="17"/>
                <w:szCs w:val="17"/>
                <w:color w:val="auto"/>
              </w:rPr>
            </w:pPr>
          </w:p>
        </w:tc>
        <w:tc>
          <w:tcPr>
            <w:tcW w:w="7560" w:type="dxa"/>
            <w:vAlign w:val="bottom"/>
            <w:gridSpan w:val="2"/>
            <w:shd w:val="clear" w:color="auto" w:fill="CCEEFF"/>
          </w:tcPr>
          <w:p>
            <w:pPr>
              <w:spacing w:after="0" w:line="200" w:lineRule="exact"/>
              <w:rPr>
                <w:sz w:val="20"/>
                <w:szCs w:val="20"/>
                <w:color w:val="auto"/>
              </w:rPr>
            </w:pPr>
            <w:r>
              <w:rPr>
                <w:rFonts w:ascii="Arial" w:cs="Arial" w:eastAsia="Arial" w:hAnsi="Arial"/>
                <w:sz w:val="17"/>
                <w:szCs w:val="17"/>
                <w:color w:val="auto"/>
              </w:rPr>
              <w:t xml:space="preserve">Sales of purchased natural gas </w:t>
            </w:r>
            <w:r>
              <w:rPr>
                <w:rFonts w:ascii="Arial" w:cs="Arial" w:eastAsia="Arial" w:hAnsi="Arial"/>
                <w:sz w:val="22"/>
                <w:szCs w:val="22"/>
                <w:color w:val="auto"/>
                <w:vertAlign w:val="superscript"/>
              </w:rPr>
              <w:t>2</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7560" w:type="dxa"/>
            <w:vAlign w:val="bottom"/>
            <w:gridSpan w:val="2"/>
          </w:tcPr>
          <w:p>
            <w:pPr>
              <w:ind w:left="420"/>
              <w:spacing w:after="0"/>
              <w:rPr>
                <w:sz w:val="20"/>
                <w:szCs w:val="20"/>
                <w:color w:val="auto"/>
              </w:rPr>
            </w:pPr>
            <w:r>
              <w:rPr>
                <w:rFonts w:ascii="Arial" w:cs="Arial" w:eastAsia="Arial" w:hAnsi="Arial"/>
                <w:sz w:val="17"/>
                <w:szCs w:val="17"/>
                <w:color w:val="auto"/>
              </w:rPr>
              <w:t>Canada - Onshore</w:t>
            </w: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245</w:t>
            </w: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756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Total sales of purchased natural gas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w:t>
            </w:r>
          </w:p>
        </w:tc>
      </w:tr>
      <w:tr>
        <w:trPr>
          <w:trHeight w:val="213"/>
        </w:trPr>
        <w:tc>
          <w:tcPr>
            <w:tcW w:w="20" w:type="dxa"/>
            <w:vAlign w:val="bottom"/>
            <w:tcBorders>
              <w:bottom w:val="single" w:sz="8" w:color="CCEEFF"/>
            </w:tcBorders>
          </w:tcPr>
          <w:p>
            <w:pPr>
              <w:spacing w:after="0"/>
              <w:rPr>
                <w:sz w:val="18"/>
                <w:szCs w:val="18"/>
                <w:color w:val="auto"/>
              </w:rPr>
            </w:pPr>
          </w:p>
        </w:tc>
        <w:tc>
          <w:tcPr>
            <w:tcW w:w="75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b w:val="1"/>
                <w:bCs w:val="1"/>
                <w:color w:val="auto"/>
              </w:rPr>
              <w:t>Total revenue from sales to customers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672,730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794,848</w:t>
            </w:r>
          </w:p>
        </w:tc>
      </w:tr>
      <w:tr>
        <w:trPr>
          <w:trHeight w:val="213"/>
        </w:trPr>
        <w:tc>
          <w:tcPr>
            <w:tcW w:w="20" w:type="dxa"/>
            <w:vAlign w:val="bottom"/>
            <w:shd w:val="clear" w:color="auto" w:fill="CCEEFF"/>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on derivative instruments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(9,459)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20" w:type="dxa"/>
            <w:vAlign w:val="bottom"/>
            <w:tcBorders>
              <w:bottom w:val="single" w:sz="8" w:color="CCEEFF"/>
            </w:tcBorders>
          </w:tcPr>
          <w:p>
            <w:pPr>
              <w:spacing w:after="0"/>
              <w:rPr>
                <w:sz w:val="19"/>
                <w:szCs w:val="19"/>
                <w:color w:val="auto"/>
              </w:rPr>
            </w:pPr>
          </w:p>
        </w:tc>
        <w:tc>
          <w:tcPr>
            <w:tcW w:w="75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Gain on sale of assets and other operating income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2,440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1,564</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7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Total revenues and other income</w:t>
            </w: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665,711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796,412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100" w:hanging="90"/>
        <w:spacing w:after="0"/>
        <w:tabs>
          <w:tab w:leader="none" w:pos="100" w:val="left"/>
        </w:tabs>
        <w:numPr>
          <w:ilvl w:val="0"/>
          <w:numId w:val="3"/>
        </w:numPr>
        <w:rPr>
          <w:rFonts w:ascii="Arial" w:cs="Arial" w:eastAsia="Arial" w:hAnsi="Arial"/>
          <w:sz w:val="20"/>
          <w:szCs w:val="20"/>
          <w:color w:val="auto"/>
          <w:vertAlign w:val="superscript"/>
        </w:rPr>
      </w:pPr>
      <w:r>
        <w:rPr>
          <w:rFonts w:ascii="Arial" w:cs="Arial" w:eastAsia="Arial" w:hAnsi="Arial"/>
          <w:sz w:val="16"/>
          <w:szCs w:val="16"/>
          <w:color w:val="auto"/>
        </w:rPr>
        <w:t>Includes revenue attributable to noncontrolling interest in MP GOM.</w:t>
      </w:r>
    </w:p>
    <w:p>
      <w:pPr>
        <w:spacing w:after="0" w:line="27" w:lineRule="exact"/>
        <w:rPr>
          <w:sz w:val="20"/>
          <w:szCs w:val="20"/>
          <w:color w:val="auto"/>
        </w:rPr>
      </w:pPr>
    </w:p>
    <w:p>
      <w:pPr>
        <w:ind w:left="160" w:right="140" w:hanging="150"/>
        <w:spacing w:after="0" w:line="227" w:lineRule="auto"/>
        <w:tabs>
          <w:tab w:leader="none" w:pos="95" w:val="left"/>
        </w:tabs>
        <w:numPr>
          <w:ilvl w:val="0"/>
          <w:numId w:val="4"/>
        </w:numPr>
        <w:rPr>
          <w:rFonts w:ascii="Arial" w:cs="Arial" w:eastAsia="Arial" w:hAnsi="Arial"/>
          <w:sz w:val="20"/>
          <w:szCs w:val="20"/>
          <w:color w:val="auto"/>
          <w:vertAlign w:val="superscript"/>
        </w:rPr>
      </w:pPr>
      <w:r>
        <w:rPr>
          <w:rFonts w:ascii="Arial" w:cs="Arial" w:eastAsia="Arial" w:hAnsi="Arial"/>
          <w:sz w:val="16"/>
          <w:szCs w:val="16"/>
          <w:color w:val="auto"/>
        </w:rPr>
        <w:t>Purchases of natural gas are reported on a gross basis when Murphy takes control of the product and has risks and rewards of ownership. Sales of purchased natural gas are reported when the contractual performance obligations are satisfied. This occurs at the time the product is delivered to a third-party purchaser at the contractually determinable price.</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Contract Balances and Asset Recognition</w:t>
      </w:r>
    </w:p>
    <w:p>
      <w:pPr>
        <w:spacing w:after="0" w:line="115"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As of March 31, 2025, and December 31, 2024, receivables from contracts with customers, net of royalties and associated payables, on the balance sheet from continuing operations, were $203.7 million and $178.3 million, respectively. Payment terms for the Company’s sales vary across contracts and geographical regions, with the majority of the cash receipts required within 30 days of billing. Based on a forward-looking expected loss model in accordance with ASU 2016-13, the Company did not recognize any impairment losses on receivables or contract assets arising from customer contracts during the reporting periods.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not entered into any revenue contracts that have financing components as of March 31, 2025.</w:t>
      </w:r>
    </w:p>
    <w:p>
      <w:pPr>
        <w:spacing w:after="0" w:line="115" w:lineRule="exact"/>
        <w:rPr>
          <w:sz w:val="20"/>
          <w:szCs w:val="20"/>
          <w:color w:val="auto"/>
        </w:rPr>
      </w:pPr>
    </w:p>
    <w:p>
      <w:pPr>
        <w:ind w:right="840"/>
        <w:spacing w:after="0" w:line="291" w:lineRule="auto"/>
        <w:rPr>
          <w:sz w:val="20"/>
          <w:szCs w:val="20"/>
          <w:color w:val="auto"/>
        </w:rPr>
      </w:pPr>
      <w:r>
        <w:rPr>
          <w:rFonts w:ascii="Arial" w:cs="Arial" w:eastAsia="Arial" w:hAnsi="Arial"/>
          <w:sz w:val="17"/>
          <w:szCs w:val="17"/>
          <w:color w:val="auto"/>
        </w:rPr>
        <w:t>The Company does not employ sales incentive strategies such as commissions or bonuses for obtaining sales contracts. For the periods presented, the Company did not identify any assets to be recognized associated with the costs to obtain a contract with a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C – Revenue from Contracts with Customers (Continued)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Performance Obligations</w:t>
      </w:r>
    </w:p>
    <w:p>
      <w:pPr>
        <w:spacing w:after="0" w:line="115"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Company recognizes oil and natural gas revenue when it satisfies a performance obligation by transferring control over a commodity to a customer. Judgment is required to determine whether some customers simultaneously receive and consume the benefit of commodities. As a result of this assessment for the Company, each unit of measure of the specified commodity is considered to represent a distinct performance obligation that is satisfied at a point in time upon the transfer of control of the commodity.</w:t>
      </w:r>
    </w:p>
    <w:p>
      <w:pPr>
        <w:spacing w:after="0" w:line="64"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For contracts with market or index-based pricing, which represent the majority of sales contracts, the Company has elected the allocation exception and allocates the variable consideration to each single performance obligation in the contract. As a result, there is no price allocation to unsatisfied remaining performance obligations for delivery of commodity product in subsequent periods.</w:t>
      </w:r>
    </w:p>
    <w:p>
      <w:pPr>
        <w:spacing w:after="0" w:line="59" w:lineRule="exact"/>
        <w:rPr>
          <w:sz w:val="20"/>
          <w:szCs w:val="20"/>
          <w:color w:val="auto"/>
        </w:rPr>
      </w:pPr>
    </w:p>
    <w:p>
      <w:pPr>
        <w:jc w:val="both"/>
        <w:ind w:right="480"/>
        <w:spacing w:after="0" w:line="291" w:lineRule="auto"/>
        <w:rPr>
          <w:sz w:val="20"/>
          <w:szCs w:val="20"/>
          <w:color w:val="auto"/>
        </w:rPr>
      </w:pPr>
      <w:r>
        <w:rPr>
          <w:rFonts w:ascii="Arial" w:cs="Arial" w:eastAsia="Arial" w:hAnsi="Arial"/>
          <w:sz w:val="17"/>
          <w:szCs w:val="17"/>
          <w:color w:val="auto"/>
        </w:rPr>
        <w:t>The Company has entered into several long-term, fixed price contracts in Canada. The underlying reason for entering a fixed price contract is generally unrelated to anticipated future prices or other observable data and serves a particular purpose in the Company’s long-term strategy.</w:t>
      </w:r>
    </w:p>
    <w:p>
      <w:pPr>
        <w:spacing w:after="0" w:line="43"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As of March 31, 2025, the Company had the following sales contracts in place which are expected to generate revenue from sales to customers for a period over 12 months starting at the inception of the contract:</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8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Location</w:t>
            </w:r>
          </w:p>
        </w:tc>
        <w:tc>
          <w:tcPr>
            <w:tcW w:w="2400" w:type="dxa"/>
            <w:vAlign w:val="bottom"/>
            <w:gridSpan w:val="2"/>
            <w:vMerge w:val="restart"/>
          </w:tcPr>
          <w:p>
            <w:pPr>
              <w:ind w:left="660"/>
              <w:spacing w:after="0"/>
              <w:rPr>
                <w:sz w:val="20"/>
                <w:szCs w:val="20"/>
                <w:color w:val="auto"/>
              </w:rPr>
            </w:pPr>
            <w:r>
              <w:rPr>
                <w:rFonts w:ascii="Arial" w:cs="Arial" w:eastAsia="Arial" w:hAnsi="Arial"/>
                <w:sz w:val="17"/>
                <w:szCs w:val="17"/>
                <w:b w:val="1"/>
                <w:bCs w:val="1"/>
                <w:color w:val="auto"/>
              </w:rPr>
              <w:t>Commodity</w:t>
            </w:r>
          </w:p>
        </w:tc>
        <w:tc>
          <w:tcPr>
            <w:tcW w:w="1160" w:type="dxa"/>
            <w:vAlign w:val="bottom"/>
            <w:gridSpan w:val="2"/>
            <w:vMerge w:val="restart"/>
          </w:tcPr>
          <w:p>
            <w:pPr>
              <w:ind w:left="140"/>
              <w:spacing w:after="0"/>
              <w:rPr>
                <w:sz w:val="20"/>
                <w:szCs w:val="20"/>
                <w:color w:val="auto"/>
              </w:rPr>
            </w:pPr>
            <w:r>
              <w:rPr>
                <w:rFonts w:ascii="Arial" w:cs="Arial" w:eastAsia="Arial" w:hAnsi="Arial"/>
                <w:sz w:val="17"/>
                <w:szCs w:val="17"/>
                <w:b w:val="1"/>
                <w:bCs w:val="1"/>
                <w:color w:val="auto"/>
              </w:rPr>
              <w:t>End Date</w:t>
            </w:r>
          </w:p>
        </w:tc>
        <w:tc>
          <w:tcPr>
            <w:tcW w:w="5140" w:type="dxa"/>
            <w:vAlign w:val="bottom"/>
            <w:gridSpan w:val="2"/>
            <w:vMerge w:val="restart"/>
          </w:tcPr>
          <w:p>
            <w:pPr>
              <w:ind w:left="2040"/>
              <w:spacing w:after="0"/>
              <w:rPr>
                <w:sz w:val="20"/>
                <w:szCs w:val="20"/>
                <w:color w:val="auto"/>
              </w:rPr>
            </w:pPr>
            <w:r>
              <w:rPr>
                <w:rFonts w:ascii="Arial" w:cs="Arial" w:eastAsia="Arial" w:hAnsi="Arial"/>
                <w:sz w:val="17"/>
                <w:szCs w:val="17"/>
                <w:b w:val="1"/>
                <w:bCs w:val="1"/>
                <w:color w:val="auto"/>
              </w:rPr>
              <w:t>Description</w:t>
            </w:r>
          </w:p>
        </w:tc>
        <w:tc>
          <w:tcPr>
            <w:tcW w:w="1460" w:type="dxa"/>
            <w:vAlign w:val="bottom"/>
          </w:tcPr>
          <w:p>
            <w:pPr>
              <w:ind w:left="200"/>
              <w:spacing w:after="0"/>
              <w:rPr>
                <w:sz w:val="20"/>
                <w:szCs w:val="20"/>
                <w:color w:val="auto"/>
              </w:rPr>
            </w:pPr>
            <w:r>
              <w:rPr>
                <w:rFonts w:ascii="Arial" w:cs="Arial" w:eastAsia="Arial" w:hAnsi="Arial"/>
                <w:sz w:val="17"/>
                <w:szCs w:val="17"/>
                <w:b w:val="1"/>
                <w:bCs w:val="1"/>
                <w:color w:val="auto"/>
              </w:rPr>
              <w:t>Approximate</w:t>
            </w:r>
          </w:p>
        </w:tc>
        <w:tc>
          <w:tcPr>
            <w:tcW w:w="0" w:type="dxa"/>
            <w:vAlign w:val="bottom"/>
          </w:tcPr>
          <w:p>
            <w:pPr>
              <w:spacing w:after="0"/>
              <w:rPr>
                <w:sz w:val="1"/>
                <w:szCs w:val="1"/>
                <w:color w:val="auto"/>
              </w:rPr>
            </w:pPr>
          </w:p>
        </w:tc>
      </w:tr>
      <w:tr>
        <w:trPr>
          <w:trHeight w:val="233"/>
        </w:trPr>
        <w:tc>
          <w:tcPr>
            <w:tcW w:w="1080" w:type="dxa"/>
            <w:vAlign w:val="bottom"/>
            <w:gridSpan w:val="2"/>
            <w:vMerge w:val="continue"/>
          </w:tcPr>
          <w:p>
            <w:pPr>
              <w:spacing w:after="0"/>
              <w:rPr>
                <w:sz w:val="20"/>
                <w:szCs w:val="20"/>
                <w:color w:val="auto"/>
              </w:rPr>
            </w:pPr>
          </w:p>
        </w:tc>
        <w:tc>
          <w:tcPr>
            <w:tcW w:w="2400" w:type="dxa"/>
            <w:vAlign w:val="bottom"/>
            <w:gridSpan w:val="2"/>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5140" w:type="dxa"/>
            <w:vAlign w:val="bottom"/>
            <w:gridSpan w:val="2"/>
            <w:vMerge w:val="continue"/>
          </w:tcPr>
          <w:p>
            <w:pPr>
              <w:spacing w:after="0"/>
              <w:rPr>
                <w:sz w:val="20"/>
                <w:szCs w:val="20"/>
                <w:color w:val="auto"/>
              </w:rPr>
            </w:pPr>
          </w:p>
        </w:tc>
        <w:tc>
          <w:tcPr>
            <w:tcW w:w="1460" w:type="dxa"/>
            <w:vAlign w:val="bottom"/>
          </w:tcPr>
          <w:p>
            <w:pPr>
              <w:ind w:left="380"/>
              <w:spacing w:after="0"/>
              <w:rPr>
                <w:sz w:val="20"/>
                <w:szCs w:val="20"/>
                <w:color w:val="auto"/>
              </w:rPr>
            </w:pPr>
            <w:r>
              <w:rPr>
                <w:rFonts w:ascii="Arial" w:cs="Arial" w:eastAsia="Arial" w:hAnsi="Arial"/>
                <w:sz w:val="17"/>
                <w:szCs w:val="17"/>
                <w:b w:val="1"/>
                <w:bCs w:val="1"/>
                <w:color w:val="auto"/>
              </w:rPr>
              <w:t>Volumes</w:t>
            </w:r>
          </w:p>
        </w:tc>
        <w:tc>
          <w:tcPr>
            <w:tcW w:w="0" w:type="dxa"/>
            <w:vAlign w:val="bottom"/>
          </w:tcPr>
          <w:p>
            <w:pPr>
              <w:spacing w:after="0"/>
              <w:rPr>
                <w:sz w:val="1"/>
                <w:szCs w:val="1"/>
                <w:color w:val="auto"/>
              </w:rPr>
            </w:pPr>
          </w:p>
        </w:tc>
      </w:tr>
      <w:tr>
        <w:trPr>
          <w:trHeight w:val="213"/>
        </w:trPr>
        <w:tc>
          <w:tcPr>
            <w:tcW w:w="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U.S.</w:t>
            </w:r>
          </w:p>
        </w:tc>
        <w:tc>
          <w:tcPr>
            <w:tcW w:w="14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Natural Gas and NGLs</w:t>
            </w:r>
          </w:p>
        </w:tc>
        <w:tc>
          <w:tcPr>
            <w:tcW w:w="1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Q2 2030</w:t>
            </w:r>
          </w:p>
        </w:tc>
        <w:tc>
          <w:tcPr>
            <w:tcW w:w="120" w:type="dxa"/>
            <w:vAlign w:val="bottom"/>
            <w:tcBorders>
              <w:top w:val="single" w:sz="8" w:color="CCEEFF"/>
            </w:tcBorders>
            <w:shd w:val="clear" w:color="auto" w:fill="CCEEFF"/>
          </w:tcPr>
          <w:p>
            <w:pPr>
              <w:spacing w:after="0"/>
              <w:rPr>
                <w:sz w:val="18"/>
                <w:szCs w:val="18"/>
                <w:color w:val="auto"/>
              </w:rPr>
            </w:pPr>
          </w:p>
        </w:tc>
        <w:tc>
          <w:tcPr>
            <w:tcW w:w="5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Deliveries from dedicated acreage in Eagle Ford Shale</w:t>
            </w:r>
          </w:p>
        </w:tc>
        <w:tc>
          <w:tcPr>
            <w:tcW w:w="1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As produced</w:t>
            </w:r>
          </w:p>
        </w:tc>
        <w:tc>
          <w:tcPr>
            <w:tcW w:w="0" w:type="dxa"/>
            <w:vAlign w:val="bottom"/>
          </w:tcPr>
          <w:p>
            <w:pPr>
              <w:spacing w:after="0"/>
              <w:rPr>
                <w:sz w:val="1"/>
                <w:szCs w:val="1"/>
                <w:color w:val="auto"/>
              </w:rPr>
            </w:pPr>
          </w:p>
        </w:tc>
      </w:tr>
      <w:tr>
        <w:trPr>
          <w:trHeight w:val="220"/>
        </w:trPr>
        <w:tc>
          <w:tcPr>
            <w:tcW w:w="1080" w:type="dxa"/>
            <w:vAlign w:val="bottom"/>
            <w:gridSpan w:val="2"/>
          </w:tcPr>
          <w:p>
            <w:pPr>
              <w:ind w:left="20"/>
              <w:spacing w:after="0"/>
              <w:rPr>
                <w:sz w:val="20"/>
                <w:szCs w:val="20"/>
                <w:color w:val="auto"/>
              </w:rPr>
            </w:pPr>
            <w:r>
              <w:rPr>
                <w:rFonts w:ascii="Arial" w:cs="Arial" w:eastAsia="Arial" w:hAnsi="Arial"/>
                <w:sz w:val="17"/>
                <w:szCs w:val="17"/>
                <w:color w:val="auto"/>
              </w:rPr>
              <w:t>Canada</w:t>
            </w:r>
          </w:p>
        </w:tc>
        <w:tc>
          <w:tcPr>
            <w:tcW w:w="2400" w:type="dxa"/>
            <w:vAlign w:val="bottom"/>
            <w:gridSpan w:val="2"/>
          </w:tcPr>
          <w:p>
            <w:pPr>
              <w:ind w:left="20"/>
              <w:spacing w:after="0"/>
              <w:rPr>
                <w:sz w:val="20"/>
                <w:szCs w:val="20"/>
                <w:color w:val="auto"/>
              </w:rPr>
            </w:pPr>
            <w:r>
              <w:rPr>
                <w:rFonts w:ascii="Arial" w:cs="Arial" w:eastAsia="Arial" w:hAnsi="Arial"/>
                <w:sz w:val="17"/>
                <w:szCs w:val="17"/>
                <w:color w:val="auto"/>
              </w:rPr>
              <w:t>Natural Gas</w:t>
            </w:r>
          </w:p>
        </w:tc>
        <w:tc>
          <w:tcPr>
            <w:tcW w:w="1160" w:type="dxa"/>
            <w:vAlign w:val="bottom"/>
            <w:gridSpan w:val="2"/>
          </w:tcPr>
          <w:p>
            <w:pPr>
              <w:ind w:left="20"/>
              <w:spacing w:after="0"/>
              <w:rPr>
                <w:sz w:val="20"/>
                <w:szCs w:val="20"/>
                <w:color w:val="auto"/>
              </w:rPr>
            </w:pPr>
            <w:r>
              <w:rPr>
                <w:rFonts w:ascii="Arial" w:cs="Arial" w:eastAsia="Arial" w:hAnsi="Arial"/>
                <w:sz w:val="17"/>
                <w:szCs w:val="17"/>
                <w:color w:val="auto"/>
              </w:rPr>
              <w:t>Q4 2025</w:t>
            </w:r>
          </w:p>
        </w:tc>
        <w:tc>
          <w:tcPr>
            <w:tcW w:w="5140" w:type="dxa"/>
            <w:vAlign w:val="bottom"/>
            <w:gridSpan w:val="2"/>
          </w:tcPr>
          <w:p>
            <w:pPr>
              <w:ind w:left="20"/>
              <w:spacing w:after="0"/>
              <w:rPr>
                <w:sz w:val="20"/>
                <w:szCs w:val="20"/>
                <w:color w:val="auto"/>
              </w:rPr>
            </w:pPr>
            <w:r>
              <w:rPr>
                <w:rFonts w:ascii="Arial" w:cs="Arial" w:eastAsia="Arial" w:hAnsi="Arial"/>
                <w:sz w:val="17"/>
                <w:szCs w:val="17"/>
                <w:color w:val="auto"/>
              </w:rPr>
              <w:t>Contracts to sell natural gas at USD index pricing</w:t>
            </w:r>
          </w:p>
        </w:tc>
        <w:tc>
          <w:tcPr>
            <w:tcW w:w="1460" w:type="dxa"/>
            <w:vAlign w:val="bottom"/>
          </w:tcPr>
          <w:p>
            <w:pPr>
              <w:ind w:left="20"/>
              <w:spacing w:after="0"/>
              <w:rPr>
                <w:sz w:val="20"/>
                <w:szCs w:val="20"/>
                <w:color w:val="auto"/>
              </w:rPr>
            </w:pPr>
            <w:r>
              <w:rPr>
                <w:rFonts w:ascii="Arial" w:cs="Arial" w:eastAsia="Arial" w:hAnsi="Arial"/>
                <w:sz w:val="17"/>
                <w:szCs w:val="17"/>
                <w:color w:val="auto"/>
              </w:rPr>
              <w:t>25 MMCFD</w:t>
            </w:r>
          </w:p>
        </w:tc>
        <w:tc>
          <w:tcPr>
            <w:tcW w:w="0" w:type="dxa"/>
            <w:vAlign w:val="bottom"/>
          </w:tcPr>
          <w:p>
            <w:pPr>
              <w:spacing w:after="0"/>
              <w:rPr>
                <w:sz w:val="1"/>
                <w:szCs w:val="1"/>
                <w:color w:val="auto"/>
              </w:rPr>
            </w:pPr>
          </w:p>
        </w:tc>
      </w:tr>
      <w:tr>
        <w:trPr>
          <w:trHeight w:val="220"/>
        </w:trPr>
        <w:tc>
          <w:tcPr>
            <w:tcW w:w="1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Canada</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Natural Gas</w:t>
            </w: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Q4 2026</w:t>
            </w:r>
          </w:p>
        </w:tc>
        <w:tc>
          <w:tcPr>
            <w:tcW w:w="5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Contracts to sell natural gas at USD index pricing</w:t>
            </w:r>
          </w:p>
        </w:tc>
        <w:tc>
          <w:tcPr>
            <w:tcW w:w="1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49 MMCFD</w:t>
            </w:r>
          </w:p>
        </w:tc>
        <w:tc>
          <w:tcPr>
            <w:tcW w:w="0" w:type="dxa"/>
            <w:vAlign w:val="bottom"/>
          </w:tcPr>
          <w:p>
            <w:pPr>
              <w:spacing w:after="0"/>
              <w:rPr>
                <w:sz w:val="1"/>
                <w:szCs w:val="1"/>
                <w:color w:val="auto"/>
              </w:rPr>
            </w:pPr>
          </w:p>
        </w:tc>
      </w:tr>
      <w:tr>
        <w:trPr>
          <w:trHeight w:val="220"/>
        </w:trPr>
        <w:tc>
          <w:tcPr>
            <w:tcW w:w="1080" w:type="dxa"/>
            <w:vAlign w:val="bottom"/>
            <w:gridSpan w:val="2"/>
          </w:tcPr>
          <w:p>
            <w:pPr>
              <w:ind w:left="20"/>
              <w:spacing w:after="0"/>
              <w:rPr>
                <w:sz w:val="20"/>
                <w:szCs w:val="20"/>
                <w:color w:val="auto"/>
              </w:rPr>
            </w:pPr>
            <w:r>
              <w:rPr>
                <w:rFonts w:ascii="Arial" w:cs="Arial" w:eastAsia="Arial" w:hAnsi="Arial"/>
                <w:sz w:val="17"/>
                <w:szCs w:val="17"/>
                <w:color w:val="auto"/>
              </w:rPr>
              <w:t>Canada</w:t>
            </w:r>
          </w:p>
        </w:tc>
        <w:tc>
          <w:tcPr>
            <w:tcW w:w="2400" w:type="dxa"/>
            <w:vAlign w:val="bottom"/>
            <w:gridSpan w:val="2"/>
          </w:tcPr>
          <w:p>
            <w:pPr>
              <w:ind w:left="20"/>
              <w:spacing w:after="0"/>
              <w:rPr>
                <w:sz w:val="20"/>
                <w:szCs w:val="20"/>
                <w:color w:val="auto"/>
              </w:rPr>
            </w:pPr>
            <w:r>
              <w:rPr>
                <w:rFonts w:ascii="Arial" w:cs="Arial" w:eastAsia="Arial" w:hAnsi="Arial"/>
                <w:sz w:val="17"/>
                <w:szCs w:val="17"/>
                <w:color w:val="auto"/>
              </w:rPr>
              <w:t>Natural Gas</w:t>
            </w:r>
          </w:p>
        </w:tc>
        <w:tc>
          <w:tcPr>
            <w:tcW w:w="1160" w:type="dxa"/>
            <w:vAlign w:val="bottom"/>
            <w:gridSpan w:val="2"/>
          </w:tcPr>
          <w:p>
            <w:pPr>
              <w:ind w:left="20"/>
              <w:spacing w:after="0"/>
              <w:rPr>
                <w:sz w:val="20"/>
                <w:szCs w:val="20"/>
                <w:color w:val="auto"/>
              </w:rPr>
            </w:pPr>
            <w:r>
              <w:rPr>
                <w:rFonts w:ascii="Arial" w:cs="Arial" w:eastAsia="Arial" w:hAnsi="Arial"/>
                <w:sz w:val="17"/>
                <w:szCs w:val="17"/>
                <w:color w:val="auto"/>
              </w:rPr>
              <w:t>Q4 2027</w:t>
            </w:r>
          </w:p>
        </w:tc>
        <w:tc>
          <w:tcPr>
            <w:tcW w:w="5140" w:type="dxa"/>
            <w:vAlign w:val="bottom"/>
            <w:gridSpan w:val="2"/>
          </w:tcPr>
          <w:p>
            <w:pPr>
              <w:ind w:left="20"/>
              <w:spacing w:after="0"/>
              <w:rPr>
                <w:sz w:val="20"/>
                <w:szCs w:val="20"/>
                <w:color w:val="auto"/>
              </w:rPr>
            </w:pPr>
            <w:r>
              <w:rPr>
                <w:rFonts w:ascii="Arial" w:cs="Arial" w:eastAsia="Arial" w:hAnsi="Arial"/>
                <w:sz w:val="17"/>
                <w:szCs w:val="17"/>
                <w:color w:val="auto"/>
              </w:rPr>
              <w:t>Contracts to sell natural gas at USD index pricing</w:t>
            </w:r>
          </w:p>
        </w:tc>
        <w:tc>
          <w:tcPr>
            <w:tcW w:w="1460" w:type="dxa"/>
            <w:vAlign w:val="bottom"/>
          </w:tcPr>
          <w:p>
            <w:pPr>
              <w:ind w:left="20"/>
              <w:spacing w:after="0"/>
              <w:rPr>
                <w:sz w:val="20"/>
                <w:szCs w:val="20"/>
                <w:color w:val="auto"/>
              </w:rPr>
            </w:pPr>
            <w:r>
              <w:rPr>
                <w:rFonts w:ascii="Arial" w:cs="Arial" w:eastAsia="Arial" w:hAnsi="Arial"/>
                <w:sz w:val="17"/>
                <w:szCs w:val="17"/>
                <w:color w:val="auto"/>
              </w:rPr>
              <w:t>30 MMCFD</w:t>
            </w:r>
          </w:p>
        </w:tc>
        <w:tc>
          <w:tcPr>
            <w:tcW w:w="0" w:type="dxa"/>
            <w:vAlign w:val="bottom"/>
          </w:tcPr>
          <w:p>
            <w:pPr>
              <w:spacing w:after="0"/>
              <w:rPr>
                <w:sz w:val="1"/>
                <w:szCs w:val="1"/>
                <w:color w:val="auto"/>
              </w:rPr>
            </w:pPr>
          </w:p>
        </w:tc>
      </w:tr>
      <w:tr>
        <w:trPr>
          <w:trHeight w:val="220"/>
        </w:trPr>
        <w:tc>
          <w:tcPr>
            <w:tcW w:w="1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Canada</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Natural Gas</w:t>
            </w: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Q4 2028</w:t>
            </w:r>
          </w:p>
        </w:tc>
        <w:tc>
          <w:tcPr>
            <w:tcW w:w="5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Contracts to sell natural gas at USD index pricing</w:t>
            </w:r>
          </w:p>
        </w:tc>
        <w:tc>
          <w:tcPr>
            <w:tcW w:w="1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10 MMCFD</w:t>
            </w:r>
          </w:p>
        </w:tc>
        <w:tc>
          <w:tcPr>
            <w:tcW w:w="0" w:type="dxa"/>
            <w:vAlign w:val="bottom"/>
          </w:tcPr>
          <w:p>
            <w:pPr>
              <w:spacing w:after="0"/>
              <w:rPr>
                <w:sz w:val="1"/>
                <w:szCs w:val="1"/>
                <w:color w:val="auto"/>
              </w:rPr>
            </w:pPr>
          </w:p>
        </w:tc>
      </w:tr>
      <w:tr>
        <w:trPr>
          <w:trHeight w:val="220"/>
        </w:trPr>
        <w:tc>
          <w:tcPr>
            <w:tcW w:w="1080" w:type="dxa"/>
            <w:vAlign w:val="bottom"/>
            <w:gridSpan w:val="2"/>
          </w:tcPr>
          <w:p>
            <w:pPr>
              <w:ind w:left="20"/>
              <w:spacing w:after="0"/>
              <w:rPr>
                <w:sz w:val="20"/>
                <w:szCs w:val="20"/>
                <w:color w:val="auto"/>
              </w:rPr>
            </w:pPr>
            <w:r>
              <w:rPr>
                <w:rFonts w:ascii="Arial" w:cs="Arial" w:eastAsia="Arial" w:hAnsi="Arial"/>
                <w:sz w:val="17"/>
                <w:szCs w:val="17"/>
                <w:color w:val="auto"/>
              </w:rPr>
              <w:t>Canada</w:t>
            </w:r>
          </w:p>
        </w:tc>
        <w:tc>
          <w:tcPr>
            <w:tcW w:w="2400" w:type="dxa"/>
            <w:vAlign w:val="bottom"/>
            <w:gridSpan w:val="2"/>
          </w:tcPr>
          <w:p>
            <w:pPr>
              <w:ind w:left="20"/>
              <w:spacing w:after="0"/>
              <w:rPr>
                <w:sz w:val="20"/>
                <w:szCs w:val="20"/>
                <w:color w:val="auto"/>
              </w:rPr>
            </w:pPr>
            <w:r>
              <w:rPr>
                <w:rFonts w:ascii="Arial" w:cs="Arial" w:eastAsia="Arial" w:hAnsi="Arial"/>
                <w:sz w:val="17"/>
                <w:szCs w:val="17"/>
                <w:color w:val="auto"/>
              </w:rPr>
              <w:t>Natural Gas</w:t>
            </w:r>
          </w:p>
        </w:tc>
        <w:tc>
          <w:tcPr>
            <w:tcW w:w="1160" w:type="dxa"/>
            <w:vAlign w:val="bottom"/>
            <w:gridSpan w:val="2"/>
          </w:tcPr>
          <w:p>
            <w:pPr>
              <w:ind w:left="20"/>
              <w:spacing w:after="0"/>
              <w:rPr>
                <w:sz w:val="20"/>
                <w:szCs w:val="20"/>
                <w:color w:val="auto"/>
              </w:rPr>
            </w:pPr>
            <w:r>
              <w:rPr>
                <w:rFonts w:ascii="Arial" w:cs="Arial" w:eastAsia="Arial" w:hAnsi="Arial"/>
                <w:sz w:val="17"/>
                <w:szCs w:val="17"/>
                <w:color w:val="auto"/>
              </w:rPr>
              <w:t>Q4 2025</w:t>
            </w:r>
          </w:p>
        </w:tc>
        <w:tc>
          <w:tcPr>
            <w:tcW w:w="5140" w:type="dxa"/>
            <w:vAlign w:val="bottom"/>
            <w:gridSpan w:val="2"/>
          </w:tcPr>
          <w:p>
            <w:pPr>
              <w:ind w:left="20"/>
              <w:spacing w:after="0"/>
              <w:rPr>
                <w:sz w:val="20"/>
                <w:szCs w:val="20"/>
                <w:color w:val="auto"/>
              </w:rPr>
            </w:pPr>
            <w:r>
              <w:rPr>
                <w:rFonts w:ascii="Arial" w:cs="Arial" w:eastAsia="Arial" w:hAnsi="Arial"/>
                <w:sz w:val="17"/>
                <w:szCs w:val="17"/>
                <w:color w:val="auto"/>
              </w:rPr>
              <w:t>Contracts to sell natural gas at CAD fixed pricing</w:t>
            </w:r>
          </w:p>
        </w:tc>
        <w:tc>
          <w:tcPr>
            <w:tcW w:w="1460" w:type="dxa"/>
            <w:vAlign w:val="bottom"/>
          </w:tcPr>
          <w:p>
            <w:pPr>
              <w:ind w:left="20"/>
              <w:spacing w:after="0"/>
              <w:rPr>
                <w:sz w:val="20"/>
                <w:szCs w:val="20"/>
                <w:color w:val="auto"/>
              </w:rPr>
            </w:pPr>
            <w:r>
              <w:rPr>
                <w:rFonts w:ascii="Arial" w:cs="Arial" w:eastAsia="Arial" w:hAnsi="Arial"/>
                <w:sz w:val="17"/>
                <w:szCs w:val="17"/>
                <w:color w:val="auto"/>
              </w:rPr>
              <w:t>40 MMCFD</w:t>
            </w:r>
          </w:p>
        </w:tc>
        <w:tc>
          <w:tcPr>
            <w:tcW w:w="0" w:type="dxa"/>
            <w:vAlign w:val="bottom"/>
          </w:tcPr>
          <w:p>
            <w:pPr>
              <w:spacing w:after="0"/>
              <w:rPr>
                <w:sz w:val="1"/>
                <w:szCs w:val="1"/>
                <w:color w:val="auto"/>
              </w:rPr>
            </w:pPr>
          </w:p>
        </w:tc>
      </w:tr>
      <w:tr>
        <w:trPr>
          <w:trHeight w:val="220"/>
        </w:trPr>
        <w:tc>
          <w:tcPr>
            <w:tcW w:w="1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Canada</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Natural Gas</w:t>
            </w: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Q4 2026</w:t>
            </w:r>
          </w:p>
        </w:tc>
        <w:tc>
          <w:tcPr>
            <w:tcW w:w="5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Contracts to sell natural gas at CAD fixed pricing</w:t>
            </w:r>
          </w:p>
        </w:tc>
        <w:tc>
          <w:tcPr>
            <w:tcW w:w="1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50 MMCFD</w:t>
            </w:r>
          </w:p>
        </w:tc>
        <w:tc>
          <w:tcPr>
            <w:tcW w:w="0" w:type="dxa"/>
            <w:vAlign w:val="bottom"/>
          </w:tcPr>
          <w:p>
            <w:pPr>
              <w:spacing w:after="0"/>
              <w:rPr>
                <w:sz w:val="1"/>
                <w:szCs w:val="1"/>
                <w:color w:val="auto"/>
              </w:rPr>
            </w:pPr>
          </w:p>
        </w:tc>
      </w:tr>
      <w:tr>
        <w:trPr>
          <w:trHeight w:val="226"/>
        </w:trPr>
        <w:tc>
          <w:tcPr>
            <w:tcW w:w="1080" w:type="dxa"/>
            <w:vAlign w:val="bottom"/>
            <w:gridSpan w:val="2"/>
          </w:tcPr>
          <w:p>
            <w:pPr>
              <w:ind w:left="20"/>
              <w:spacing w:after="0"/>
              <w:rPr>
                <w:sz w:val="20"/>
                <w:szCs w:val="20"/>
                <w:color w:val="auto"/>
              </w:rPr>
            </w:pPr>
            <w:r>
              <w:rPr>
                <w:rFonts w:ascii="Arial" w:cs="Arial" w:eastAsia="Arial" w:hAnsi="Arial"/>
                <w:sz w:val="17"/>
                <w:szCs w:val="17"/>
                <w:color w:val="auto"/>
              </w:rPr>
              <w:t>Canada</w:t>
            </w:r>
          </w:p>
        </w:tc>
        <w:tc>
          <w:tcPr>
            <w:tcW w:w="2400" w:type="dxa"/>
            <w:vAlign w:val="bottom"/>
            <w:gridSpan w:val="2"/>
          </w:tcPr>
          <w:p>
            <w:pPr>
              <w:ind w:left="20"/>
              <w:spacing w:after="0"/>
              <w:rPr>
                <w:sz w:val="20"/>
                <w:szCs w:val="20"/>
                <w:color w:val="auto"/>
              </w:rPr>
            </w:pPr>
            <w:r>
              <w:rPr>
                <w:rFonts w:ascii="Arial" w:cs="Arial" w:eastAsia="Arial" w:hAnsi="Arial"/>
                <w:sz w:val="17"/>
                <w:szCs w:val="17"/>
                <w:color w:val="auto"/>
              </w:rPr>
              <w:t>NGLs</w:t>
            </w:r>
          </w:p>
        </w:tc>
        <w:tc>
          <w:tcPr>
            <w:tcW w:w="1160" w:type="dxa"/>
            <w:vAlign w:val="bottom"/>
            <w:gridSpan w:val="2"/>
          </w:tcPr>
          <w:p>
            <w:pPr>
              <w:ind w:left="20"/>
              <w:spacing w:after="0"/>
              <w:rPr>
                <w:sz w:val="20"/>
                <w:szCs w:val="20"/>
                <w:color w:val="auto"/>
              </w:rPr>
            </w:pPr>
            <w:r>
              <w:rPr>
                <w:rFonts w:ascii="Arial" w:cs="Arial" w:eastAsia="Arial" w:hAnsi="Arial"/>
                <w:sz w:val="17"/>
                <w:szCs w:val="17"/>
                <w:color w:val="auto"/>
              </w:rPr>
              <w:t>Q2 2025</w:t>
            </w:r>
          </w:p>
        </w:tc>
        <w:tc>
          <w:tcPr>
            <w:tcW w:w="5140" w:type="dxa"/>
            <w:vAlign w:val="bottom"/>
            <w:gridSpan w:val="2"/>
          </w:tcPr>
          <w:p>
            <w:pPr>
              <w:ind w:left="20"/>
              <w:spacing w:after="0"/>
              <w:rPr>
                <w:sz w:val="20"/>
                <w:szCs w:val="20"/>
                <w:color w:val="auto"/>
              </w:rPr>
            </w:pPr>
            <w:r>
              <w:rPr>
                <w:rFonts w:ascii="Arial" w:cs="Arial" w:eastAsia="Arial" w:hAnsi="Arial"/>
                <w:sz w:val="17"/>
                <w:szCs w:val="17"/>
                <w:color w:val="auto"/>
              </w:rPr>
              <w:t>Contracts to sell NGLs at CAD index pricing</w:t>
            </w:r>
          </w:p>
        </w:tc>
        <w:tc>
          <w:tcPr>
            <w:tcW w:w="1460" w:type="dxa"/>
            <w:vAlign w:val="bottom"/>
          </w:tcPr>
          <w:p>
            <w:pPr>
              <w:ind w:left="20"/>
              <w:spacing w:after="0"/>
              <w:rPr>
                <w:sz w:val="20"/>
                <w:szCs w:val="20"/>
                <w:color w:val="auto"/>
              </w:rPr>
            </w:pPr>
            <w:r>
              <w:rPr>
                <w:rFonts w:ascii="Arial" w:cs="Arial" w:eastAsia="Arial" w:hAnsi="Arial"/>
                <w:sz w:val="17"/>
                <w:szCs w:val="17"/>
                <w:color w:val="auto"/>
              </w:rPr>
              <w:t>As produced</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fixed price contracts above are accounted for as normal sales and purchases for accounting purposes.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D – Property, Plant and Equipment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Exploratory Wells</w:t>
      </w:r>
    </w:p>
    <w:p>
      <w:pPr>
        <w:spacing w:after="0" w:line="11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Under FASB guidance, exploratory well costs should continue to be capitalized when the well has found a sufficient quantity of reserves to justify its completion as a producing well and the Company is making sufficient progress assessing the reserves and the economic and operating viability of the project.</w:t>
      </w:r>
    </w:p>
    <w:p>
      <w:pPr>
        <w:spacing w:after="0" w:line="59"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As of March 31, 2025, the Company had total capitalized drilling costs pending the determination of proved reserves of $ 96.8 million. The following table reflects the net changes in capitalized exploratory well costs during the three-month periods ended March 31, 2025 and 2024.</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120" w:type="dxa"/>
            <w:vAlign w:val="bottom"/>
            <w:gridSpan w:val="2"/>
          </w:tcPr>
          <w:p>
            <w:pPr>
              <w:spacing w:after="0"/>
              <w:rPr>
                <w:sz w:val="20"/>
                <w:szCs w:val="20"/>
                <w:color w:val="auto"/>
              </w:rPr>
            </w:pPr>
            <w:r>
              <w:rPr>
                <w:rFonts w:ascii="Arial" w:cs="Arial" w:eastAsia="Arial" w:hAnsi="Arial"/>
                <w:sz w:val="17"/>
                <w:szCs w:val="17"/>
                <w:i w:val="1"/>
                <w:iCs w:val="1"/>
                <w:color w:val="auto"/>
              </w:rPr>
              <w:t>(Thousands of dollars)</w:t>
            </w:r>
          </w:p>
        </w:tc>
        <w:tc>
          <w:tcPr>
            <w:tcW w:w="320" w:type="dxa"/>
            <w:vAlign w:val="bottom"/>
          </w:tcPr>
          <w:p>
            <w:pPr>
              <w:spacing w:after="0"/>
              <w:rPr>
                <w:sz w:val="16"/>
                <w:szCs w:val="16"/>
                <w:color w:val="auto"/>
              </w:rPr>
            </w:pPr>
          </w:p>
        </w:tc>
        <w:tc>
          <w:tcPr>
            <w:tcW w:w="1180" w:type="dxa"/>
            <w:vAlign w:val="bottom"/>
          </w:tcPr>
          <w:p>
            <w:pPr>
              <w:jc w:val="right"/>
              <w:ind w:right="474"/>
              <w:spacing w:after="0"/>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474"/>
              <w:spacing w:after="0"/>
              <w:rPr>
                <w:sz w:val="20"/>
                <w:szCs w:val="20"/>
                <w:color w:val="auto"/>
              </w:rPr>
            </w:pPr>
            <w:r>
              <w:rPr>
                <w:rFonts w:ascii="Arial" w:cs="Arial" w:eastAsia="Arial" w:hAnsi="Arial"/>
                <w:sz w:val="17"/>
                <w:szCs w:val="17"/>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Beginning balance at January 1</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72,055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49,118</w:t>
            </w:r>
          </w:p>
        </w:tc>
      </w:tr>
      <w:tr>
        <w:trPr>
          <w:trHeight w:val="220"/>
        </w:trPr>
        <w:tc>
          <w:tcPr>
            <w:tcW w:w="20" w:type="dxa"/>
            <w:vAlign w:val="bottom"/>
          </w:tcPr>
          <w:p>
            <w:pPr>
              <w:spacing w:after="0"/>
              <w:rPr>
                <w:sz w:val="19"/>
                <w:szCs w:val="19"/>
                <w:color w:val="auto"/>
              </w:rPr>
            </w:pPr>
          </w:p>
        </w:tc>
        <w:tc>
          <w:tcPr>
            <w:tcW w:w="8120" w:type="dxa"/>
            <w:vAlign w:val="bottom"/>
            <w:gridSpan w:val="2"/>
          </w:tcPr>
          <w:p>
            <w:pPr>
              <w:ind w:left="80"/>
              <w:spacing w:after="0"/>
              <w:rPr>
                <w:sz w:val="20"/>
                <w:szCs w:val="20"/>
                <w:color w:val="auto"/>
              </w:rPr>
            </w:pPr>
            <w:r>
              <w:rPr>
                <w:rFonts w:ascii="Arial" w:cs="Arial" w:eastAsia="Arial" w:hAnsi="Arial"/>
                <w:sz w:val="17"/>
                <w:szCs w:val="17"/>
                <w:color w:val="auto"/>
              </w:rPr>
              <w:t>Additions pending the determination of proved reserves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24,790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11,538</w:t>
            </w:r>
          </w:p>
        </w:tc>
      </w:tr>
      <w:tr>
        <w:trPr>
          <w:trHeight w:val="22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Capitalized exploratory well costs charged to expense</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(26,471)</w:t>
            </w:r>
          </w:p>
        </w:tc>
      </w:tr>
      <w:tr>
        <w:trPr>
          <w:trHeight w:val="213"/>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7"/>
                <w:szCs w:val="17"/>
                <w:color w:val="auto"/>
              </w:rPr>
              <w:t>Balance at March 31</w:t>
            </w: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96,845</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34,185</w:t>
            </w: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Capital additions of $24.8 million, for the quarter ended March 31, 2025, are mainly for the Hai Su Vang-1X (Golden Sea Lion), Block 15/2-17 and Lac Da Hong-1X (Pink Camel), Block 15-1/05 exploration wells in Vietnam and long-lead equipment for the Cello #1 and Banjo #1 exploration wells (Mississippi Canyon 385) in the Gulf of America. The Lac Da Hong-1X (Pink Camel) exploration well in Vietnam encountered 106 feet of net oil pay from one reservoir. There were no capitalized well costs charged to dry hole expense for the three months ended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D – Property, Plant and Equipment (Continued)</w:t>
      </w:r>
    </w:p>
    <w:p>
      <w:pPr>
        <w:spacing w:after="0" w:line="200" w:lineRule="exact"/>
        <w:rPr>
          <w:sz w:val="20"/>
          <w:szCs w:val="20"/>
          <w:color w:val="auto"/>
        </w:rPr>
      </w:pPr>
    </w:p>
    <w:p>
      <w:pPr>
        <w:spacing w:after="0" w:line="291"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March 31, 2025. Capitalized well costs charged to dry hole expense of $26.5 million for the three months ended March 31, 2024 were related to the Hoffe Park #1 (Mississippi Canyon 166) exploration well in the Gulf of America. The preceding table excludes well costs of $0.2 million and $5.9 million incurred and expensed directly to dry hole for the three months ended March 31, 2025 and 2024, respectively. In 2025, the amount primarily relates to the finalization of previous dry hole wells, and in 2024, the amount primarily relates to the non-operated Oso #1 (Atwater Valley 138) exploration well in the Gulf of America.</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an aging of capitalized exploration well costs based on the date the drilling was completed for each individual well.</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7"/>
                <w:szCs w:val="17"/>
                <w:b w:val="1"/>
                <w:bCs w:val="1"/>
                <w:color w:val="auto"/>
              </w:rPr>
              <w:t>March 31,</w:t>
            </w: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00" w:type="dxa"/>
            <w:vAlign w:val="bottom"/>
            <w:gridSpan w:val="2"/>
            <w:vMerge w:val="restart"/>
          </w:tcPr>
          <w:p>
            <w:pPr>
              <w:spacing w:after="0"/>
              <w:rPr>
                <w:sz w:val="20"/>
                <w:szCs w:val="20"/>
                <w:color w:val="auto"/>
              </w:rPr>
            </w:pPr>
            <w:r>
              <w:rPr>
                <w:rFonts w:ascii="Arial" w:cs="Arial" w:eastAsia="Arial" w:hAnsi="Arial"/>
                <w:sz w:val="17"/>
                <w:szCs w:val="17"/>
                <w:i w:val="1"/>
                <w:iCs w:val="1"/>
                <w:color w:val="auto"/>
              </w:rPr>
              <w:t>(Thousands of dollars)</w:t>
            </w: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7"/>
                <w:szCs w:val="17"/>
                <w:b w:val="1"/>
                <w:bCs w:val="1"/>
                <w:color w:val="auto"/>
              </w:rPr>
              <w:t>2025</w:t>
            </w:r>
          </w:p>
        </w:tc>
        <w:tc>
          <w:tcPr>
            <w:tcW w:w="1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7"/>
                <w:szCs w:val="17"/>
                <w:color w:val="auto"/>
              </w:rPr>
              <w:t>2024</w:t>
            </w: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gridSpan w:val="3"/>
          </w:tcPr>
          <w:p>
            <w:pPr>
              <w:jc w:val="right"/>
              <w:ind w:right="860"/>
              <w:spacing w:after="0" w:line="174" w:lineRule="exact"/>
              <w:rPr>
                <w:sz w:val="20"/>
                <w:szCs w:val="20"/>
                <w:color w:val="auto"/>
              </w:rPr>
            </w:pPr>
            <w:r>
              <w:rPr>
                <w:rFonts w:ascii="Arial" w:cs="Arial" w:eastAsia="Arial" w:hAnsi="Arial"/>
                <w:sz w:val="17"/>
                <w:szCs w:val="17"/>
                <w:b w:val="1"/>
                <w:bCs w:val="1"/>
                <w:color w:val="auto"/>
              </w:rPr>
              <w:t>Amount</w:t>
            </w:r>
          </w:p>
        </w:tc>
        <w:tc>
          <w:tcPr>
            <w:tcW w:w="1440" w:type="dxa"/>
            <w:vAlign w:val="bottom"/>
          </w:tcPr>
          <w:p>
            <w:pPr>
              <w:jc w:val="right"/>
              <w:ind w:right="274"/>
              <w:spacing w:after="0" w:line="174" w:lineRule="exact"/>
              <w:rPr>
                <w:sz w:val="20"/>
                <w:szCs w:val="20"/>
                <w:color w:val="auto"/>
              </w:rPr>
            </w:pPr>
            <w:r>
              <w:rPr>
                <w:rFonts w:ascii="Arial" w:cs="Arial" w:eastAsia="Arial" w:hAnsi="Arial"/>
                <w:sz w:val="17"/>
                <w:szCs w:val="17"/>
                <w:b w:val="1"/>
                <w:bCs w:val="1"/>
                <w:color w:val="auto"/>
              </w:rPr>
              <w:t>No. of Wells</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0" w:type="dxa"/>
            <w:vAlign w:val="bottom"/>
            <w:gridSpan w:val="3"/>
          </w:tcPr>
          <w:p>
            <w:pPr>
              <w:jc w:val="right"/>
              <w:ind w:right="920"/>
              <w:spacing w:after="0" w:line="174" w:lineRule="exact"/>
              <w:rPr>
                <w:sz w:val="20"/>
                <w:szCs w:val="20"/>
                <w:color w:val="auto"/>
              </w:rPr>
            </w:pPr>
            <w:r>
              <w:rPr>
                <w:rFonts w:ascii="Arial" w:cs="Arial" w:eastAsia="Arial" w:hAnsi="Arial"/>
                <w:sz w:val="17"/>
                <w:szCs w:val="17"/>
                <w:color w:val="auto"/>
              </w:rPr>
              <w:t>Amount</w:t>
            </w:r>
          </w:p>
        </w:tc>
        <w:tc>
          <w:tcPr>
            <w:tcW w:w="1440" w:type="dxa"/>
            <w:vAlign w:val="bottom"/>
          </w:tcPr>
          <w:p>
            <w:pPr>
              <w:jc w:val="right"/>
              <w:ind w:right="314"/>
              <w:spacing w:after="0" w:line="174" w:lineRule="exact"/>
              <w:rPr>
                <w:sz w:val="20"/>
                <w:szCs w:val="20"/>
                <w:color w:val="auto"/>
              </w:rPr>
            </w:pPr>
            <w:r>
              <w:rPr>
                <w:rFonts w:ascii="Arial" w:cs="Arial" w:eastAsia="Arial" w:hAnsi="Arial"/>
                <w:sz w:val="17"/>
                <w:szCs w:val="17"/>
                <w:color w:val="auto"/>
              </w:rPr>
              <w:t>No. of Wells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Aging of capitalized well costs:</w:t>
            </w: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100" w:type="dxa"/>
            <w:vAlign w:val="bottom"/>
            <w:gridSpan w:val="2"/>
          </w:tcPr>
          <w:p>
            <w:pPr>
              <w:ind w:left="200"/>
              <w:spacing w:after="0"/>
              <w:rPr>
                <w:sz w:val="20"/>
                <w:szCs w:val="20"/>
                <w:color w:val="auto"/>
              </w:rPr>
            </w:pPr>
            <w:r>
              <w:rPr>
                <w:rFonts w:ascii="Arial" w:cs="Arial" w:eastAsia="Arial" w:hAnsi="Arial"/>
                <w:sz w:val="17"/>
                <w:szCs w:val="17"/>
                <w:color w:val="auto"/>
              </w:rPr>
              <w:t>Zero to one year</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b w:val="1"/>
                <w:bCs w:val="1"/>
                <w:color w:val="auto"/>
              </w:rPr>
              <w:t>9,421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b w:val="1"/>
                <w:bCs w:val="1"/>
                <w:color w:val="auto"/>
              </w:rPr>
              <w:t>2</w:t>
            </w:r>
          </w:p>
        </w:tc>
        <w:tc>
          <w:tcPr>
            <w:tcW w:w="100" w:type="dxa"/>
            <w:vAlign w:val="bottom"/>
          </w:tcPr>
          <w:p>
            <w:pPr>
              <w:spacing w:after="0"/>
              <w:rPr>
                <w:sz w:val="19"/>
                <w:szCs w:val="19"/>
                <w:color w:val="auto"/>
              </w:rPr>
            </w:pP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11,641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One to two years</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65,160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100" w:type="dxa"/>
            <w:vAlign w:val="bottom"/>
            <w:gridSpan w:val="2"/>
          </w:tcPr>
          <w:p>
            <w:pPr>
              <w:ind w:left="200"/>
              <w:spacing w:after="0"/>
              <w:rPr>
                <w:sz w:val="20"/>
                <w:szCs w:val="20"/>
                <w:color w:val="auto"/>
              </w:rPr>
            </w:pPr>
            <w:r>
              <w:rPr>
                <w:rFonts w:ascii="Arial" w:cs="Arial" w:eastAsia="Arial" w:hAnsi="Arial"/>
                <w:sz w:val="17"/>
                <w:szCs w:val="17"/>
                <w:color w:val="auto"/>
              </w:rPr>
              <w:t>Two to three years</w:t>
            </w:r>
          </w:p>
        </w:tc>
        <w:tc>
          <w:tcPr>
            <w:tcW w:w="320" w:type="dxa"/>
            <w:vAlign w:val="bottom"/>
          </w:tcPr>
          <w:p>
            <w:pPr>
              <w:spacing w:after="0"/>
              <w:rPr>
                <w:sz w:val="19"/>
                <w:szCs w:val="19"/>
                <w:color w:val="auto"/>
              </w:rPr>
            </w:pPr>
          </w:p>
        </w:tc>
        <w:tc>
          <w:tcPr>
            <w:tcW w:w="1720" w:type="dxa"/>
            <w:vAlign w:val="bottom"/>
            <w:gridSpan w:val="3"/>
          </w:tcPr>
          <w:p>
            <w:pPr>
              <w:jc w:val="right"/>
              <w:ind w:right="420"/>
              <w:spacing w:after="0"/>
              <w:rPr>
                <w:sz w:val="20"/>
                <w:szCs w:val="20"/>
                <w:color w:val="auto"/>
              </w:rPr>
            </w:pPr>
            <w:r>
              <w:rPr>
                <w:rFonts w:ascii="Arial" w:cs="Arial" w:eastAsia="Arial" w:hAnsi="Arial"/>
                <w:sz w:val="17"/>
                <w:szCs w:val="17"/>
                <w:b w:val="1"/>
                <w:bCs w:val="1"/>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460" w:type="dxa"/>
            <w:vAlign w:val="bottom"/>
          </w:tcPr>
          <w:p>
            <w:pPr>
              <w:spacing w:after="0"/>
              <w:rPr>
                <w:sz w:val="19"/>
                <w:szCs w:val="19"/>
                <w:color w:val="auto"/>
              </w:rPr>
            </w:pPr>
          </w:p>
        </w:tc>
        <w:tc>
          <w:tcPr>
            <w:tcW w:w="1600" w:type="dxa"/>
            <w:vAlign w:val="bottom"/>
            <w:gridSpan w:val="3"/>
          </w:tcPr>
          <w:p>
            <w:pPr>
              <w:jc w:val="right"/>
              <w:ind w:right="420"/>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Three years or more</w:t>
            </w: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22,264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22,544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96,845</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34,185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ind w:right="120"/>
        <w:spacing w:after="0" w:line="272" w:lineRule="auto"/>
        <w:rPr>
          <w:sz w:val="20"/>
          <w:szCs w:val="20"/>
          <w:color w:val="auto"/>
        </w:rPr>
      </w:pPr>
      <w:r>
        <w:rPr>
          <w:rFonts w:ascii="Arial" w:cs="Arial" w:eastAsia="Arial" w:hAnsi="Arial"/>
          <w:sz w:val="17"/>
          <w:szCs w:val="17"/>
          <w:color w:val="auto"/>
        </w:rPr>
        <w:t>Of the $ 87.4 million of exploration well costs capitalized more than one year at March 31, 2025, $59.0 million was in Vietnam, $21.2 million was in the Gulf of America, $4.4 million was in Canada, and $2.7 million was in Brunei. In all geographical areas, either further appraisal or development drilling is planned and/or development studies/plans are in various stages of completion.</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Property Additions</w:t>
      </w:r>
    </w:p>
    <w:p>
      <w:pPr>
        <w:spacing w:after="0" w:line="115"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During the first quarter of 2025, Murphy purchased a floating production storage and offloading vessel (FPSO) from BW Offshore (UK) Limited for a gross purchase price of $ 125.0 million, subject to customary closing adjustments. This acquisition includes an initial $100.0 million payment in the first quarter of 2025. The remaining balance will be due when certain contractual obligations are met, which is expected by the end of the second quarter of 2025. The FPSO will remain at its current location, supporting operations at the Cascade field (Walker Ridge 206 and 250) and Chinook field (Walker Ridge 469 and 425) in the Gulf of America. BW Offshore (UK) Limited will continue to provide operations and maintenance services under a new five-year contract.</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Impairments</w:t>
      </w:r>
    </w:p>
    <w:p>
      <w:pPr>
        <w:spacing w:after="0" w:line="115"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There were no impairments in the three months ended March 31, 2025. There were pretax impairments of $34.5 million in the three months ended March 31, 2024 related to the Calliope field in Mississippi Canyon in the Gulf of America, in which operational issues led to a reserve reduction.</w:t>
      </w: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E – Financing Arrangements and Debt</w:t>
      </w:r>
    </w:p>
    <w:p>
      <w:pPr>
        <w:spacing w:after="0" w:line="117"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As of March 31, 2025, the Company had a $1.35 billion revolving credit facility (RCF). The RCF is a senior unsecured guaranteed facility which expires on October 7, 2029. At March 31, 2025, the Company had $ 200.0 million of outstanding borrowings under the RCF and $0.4 million of outstanding letters of credit, which reduce the borrowing capacity of the RCF. At March 31, 2025, the interest rate in effect on borrowings under the RCF was 6.67%. At March 31, 2025, the Company was in compliance with all covenants related to the RCF.</w:t>
      </w:r>
    </w:p>
    <w:p>
      <w:pPr>
        <w:spacing w:after="0" w:line="64" w:lineRule="exact"/>
        <w:rPr>
          <w:sz w:val="20"/>
          <w:szCs w:val="20"/>
          <w:color w:val="auto"/>
        </w:rPr>
      </w:pPr>
    </w:p>
    <w:p>
      <w:pPr>
        <w:ind w:right="220"/>
        <w:spacing w:after="0" w:line="291" w:lineRule="auto"/>
        <w:rPr>
          <w:sz w:val="20"/>
          <w:szCs w:val="20"/>
          <w:color w:val="auto"/>
        </w:rPr>
      </w:pPr>
      <w:r>
        <w:rPr>
          <w:rFonts w:ascii="Arial" w:cs="Arial" w:eastAsia="Arial" w:hAnsi="Arial"/>
          <w:sz w:val="17"/>
          <w:szCs w:val="17"/>
          <w:color w:val="auto"/>
        </w:rPr>
        <w:t>The Company also has a shelf registration statement on file with the U.S. Securities and Exchange Commission (SEC) that permits the offer and sale of debt and/or equity securities through October 15,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226" w:right="37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gridSpan w:val="4"/>
          </w:tcPr>
          <w:p>
            <w:pPr>
              <w:spacing w:after="0"/>
              <w:rPr>
                <w:sz w:val="20"/>
                <w:szCs w:val="20"/>
                <w:color w:val="auto"/>
              </w:rPr>
            </w:pPr>
            <w:r>
              <w:rPr>
                <w:rFonts w:ascii="Arial" w:cs="Arial" w:eastAsia="Arial" w:hAnsi="Arial"/>
                <w:sz w:val="17"/>
                <w:szCs w:val="17"/>
                <w:b w:val="1"/>
                <w:bCs w:val="1"/>
                <w:color w:val="auto"/>
              </w:rPr>
              <w:t>Note F – Other Financial Information</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9"/>
        </w:trPr>
        <w:tc>
          <w:tcPr>
            <w:tcW w:w="8140" w:type="dxa"/>
            <w:vAlign w:val="bottom"/>
            <w:gridSpan w:val="4"/>
          </w:tcPr>
          <w:p>
            <w:pPr>
              <w:spacing w:after="0"/>
              <w:rPr>
                <w:sz w:val="20"/>
                <w:szCs w:val="20"/>
                <w:color w:val="auto"/>
              </w:rPr>
            </w:pPr>
            <w:r>
              <w:rPr>
                <w:rFonts w:ascii="Arial" w:cs="Arial" w:eastAsia="Arial" w:hAnsi="Arial"/>
                <w:sz w:val="17"/>
                <w:szCs w:val="17"/>
                <w:color w:val="auto"/>
              </w:rPr>
              <w:t>Supplemental Information to Statement of Cash Flows</w:t>
            </w: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316"/>
        </w:trPr>
        <w:tc>
          <w:tcPr>
            <w:tcW w:w="2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2380" w:type="dxa"/>
            <w:vAlign w:val="bottom"/>
            <w:tcBorders>
              <w:top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4"/>
          </w:tcPr>
          <w:p>
            <w:pPr>
              <w:jc w:val="right"/>
              <w:ind w:right="614"/>
              <w:spacing w:after="0"/>
              <w:rPr>
                <w:sz w:val="20"/>
                <w:szCs w:val="20"/>
                <w:color w:val="auto"/>
              </w:rPr>
            </w:pPr>
            <w:r>
              <w:rPr>
                <w:rFonts w:ascii="Arial" w:cs="Arial" w:eastAsia="Arial" w:hAnsi="Arial"/>
                <w:sz w:val="17"/>
                <w:szCs w:val="17"/>
                <w:b w:val="1"/>
                <w:bCs w:val="1"/>
                <w:color w:val="auto"/>
              </w:rPr>
              <w:t>Three Months Ended</w:t>
            </w:r>
          </w:p>
        </w:tc>
      </w:tr>
      <w:tr>
        <w:trPr>
          <w:trHeight w:val="233"/>
        </w:trPr>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7"/>
                <w:szCs w:val="17"/>
                <w:b w:val="1"/>
                <w:bCs w:val="1"/>
                <w:color w:val="auto"/>
              </w:rPr>
              <w:t>March 31,</w:t>
            </w:r>
          </w:p>
        </w:tc>
        <w:tc>
          <w:tcPr>
            <w:tcW w:w="1040" w:type="dxa"/>
            <w:vAlign w:val="bottom"/>
            <w:tcBorders>
              <w:bottom w:val="single" w:sz="8" w:color="auto"/>
            </w:tcBorders>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8120" w:type="dxa"/>
            <w:vAlign w:val="bottom"/>
            <w:gridSpan w:val="3"/>
          </w:tcPr>
          <w:p>
            <w:pPr>
              <w:spacing w:after="0" w:line="174" w:lineRule="exact"/>
              <w:rPr>
                <w:sz w:val="20"/>
                <w:szCs w:val="20"/>
                <w:color w:val="auto"/>
              </w:rPr>
            </w:pPr>
            <w:r>
              <w:rPr>
                <w:rFonts w:ascii="Arial" w:cs="Arial" w:eastAsia="Arial" w:hAnsi="Arial"/>
                <w:sz w:val="17"/>
                <w:szCs w:val="17"/>
                <w:i w:val="1"/>
                <w:iCs w:val="1"/>
                <w:color w:val="auto"/>
              </w:rPr>
              <w:t>(Thousands of dollars)</w:t>
            </w:r>
          </w:p>
        </w:tc>
        <w:tc>
          <w:tcPr>
            <w:tcW w:w="320" w:type="dxa"/>
            <w:vAlign w:val="bottom"/>
          </w:tcPr>
          <w:p>
            <w:pPr>
              <w:spacing w:after="0"/>
              <w:rPr>
                <w:sz w:val="15"/>
                <w:szCs w:val="15"/>
                <w:color w:val="auto"/>
              </w:rPr>
            </w:pPr>
          </w:p>
        </w:tc>
        <w:tc>
          <w:tcPr>
            <w:tcW w:w="1180" w:type="dxa"/>
            <w:vAlign w:val="bottom"/>
          </w:tcPr>
          <w:p>
            <w:pPr>
              <w:jc w:val="right"/>
              <w:ind w:right="474"/>
              <w:spacing w:after="0" w:line="174" w:lineRule="exact"/>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jc w:val="right"/>
              <w:ind w:right="474"/>
              <w:spacing w:after="0" w:line="174" w:lineRule="exact"/>
              <w:rPr>
                <w:sz w:val="20"/>
                <w:szCs w:val="20"/>
                <w:color w:val="auto"/>
              </w:rPr>
            </w:pPr>
            <w:r>
              <w:rPr>
                <w:rFonts w:ascii="Arial" w:cs="Arial" w:eastAsia="Arial" w:hAnsi="Arial"/>
                <w:sz w:val="17"/>
                <w:szCs w:val="17"/>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81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(increase) decrease in operating working capital, excluding cash and cash equivalents:</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8120" w:type="dxa"/>
            <w:vAlign w:val="bottom"/>
            <w:gridSpan w:val="3"/>
          </w:tcPr>
          <w:p>
            <w:pPr>
              <w:ind w:left="420"/>
              <w:spacing w:after="0"/>
              <w:rPr>
                <w:sz w:val="20"/>
                <w:szCs w:val="20"/>
                <w:color w:val="auto"/>
              </w:rPr>
            </w:pPr>
            <w:r>
              <w:rPr>
                <w:rFonts w:ascii="Arial" w:cs="Arial" w:eastAsia="Arial" w:hAnsi="Arial"/>
                <w:sz w:val="17"/>
                <w:szCs w:val="17"/>
                <w:color w:val="auto"/>
              </w:rPr>
              <w:t>(Increase) decrease in accounts receivable</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(10,089)</w:t>
            </w:r>
          </w:p>
        </w:tc>
        <w:tc>
          <w:tcPr>
            <w:tcW w:w="100" w:type="dxa"/>
            <w:vAlign w:val="bottom"/>
          </w:tcPr>
          <w:p>
            <w:pPr>
              <w:spacing w:after="0"/>
              <w:rPr>
                <w:sz w:val="19"/>
                <w:szCs w:val="19"/>
                <w:color w:val="auto"/>
              </w:rPr>
            </w:pP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(13,174)</w:t>
            </w:r>
          </w:p>
        </w:tc>
      </w:tr>
      <w:tr>
        <w:trPr>
          <w:trHeight w:val="220"/>
        </w:trPr>
        <w:tc>
          <w:tcPr>
            <w:tcW w:w="20" w:type="dxa"/>
            <w:vAlign w:val="bottom"/>
            <w:shd w:val="clear" w:color="auto" w:fill="CCEEFF"/>
          </w:tcPr>
          <w:p>
            <w:pPr>
              <w:spacing w:after="0"/>
              <w:rPr>
                <w:sz w:val="19"/>
                <w:szCs w:val="19"/>
                <w:color w:val="auto"/>
              </w:rPr>
            </w:pPr>
          </w:p>
        </w:tc>
        <w:tc>
          <w:tcPr>
            <w:tcW w:w="812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(Increase) decrease in inventories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(15,851)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4,860</w:t>
            </w:r>
          </w:p>
        </w:tc>
      </w:tr>
      <w:tr>
        <w:trPr>
          <w:trHeight w:val="220"/>
        </w:trPr>
        <w:tc>
          <w:tcPr>
            <w:tcW w:w="20" w:type="dxa"/>
            <w:vAlign w:val="bottom"/>
          </w:tcPr>
          <w:p>
            <w:pPr>
              <w:spacing w:after="0"/>
              <w:rPr>
                <w:sz w:val="19"/>
                <w:szCs w:val="19"/>
                <w:color w:val="auto"/>
              </w:rPr>
            </w:pPr>
          </w:p>
        </w:tc>
        <w:tc>
          <w:tcPr>
            <w:tcW w:w="8120" w:type="dxa"/>
            <w:vAlign w:val="bottom"/>
            <w:gridSpan w:val="3"/>
          </w:tcPr>
          <w:p>
            <w:pPr>
              <w:ind w:left="420"/>
              <w:spacing w:after="0"/>
              <w:rPr>
                <w:sz w:val="20"/>
                <w:szCs w:val="20"/>
                <w:color w:val="auto"/>
              </w:rPr>
            </w:pPr>
            <w:r>
              <w:rPr>
                <w:rFonts w:ascii="Arial" w:cs="Arial" w:eastAsia="Arial" w:hAnsi="Arial"/>
                <w:sz w:val="17"/>
                <w:szCs w:val="17"/>
                <w:color w:val="auto"/>
              </w:rPr>
              <w:t>(Increase) decrease in prepaid expenses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10,502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5,110</w:t>
            </w:r>
          </w:p>
        </w:tc>
      </w:tr>
      <w:tr>
        <w:trPr>
          <w:trHeight w:val="220"/>
        </w:trPr>
        <w:tc>
          <w:tcPr>
            <w:tcW w:w="20" w:type="dxa"/>
            <w:vAlign w:val="bottom"/>
            <w:shd w:val="clear" w:color="auto" w:fill="CCEEFF"/>
          </w:tcPr>
          <w:p>
            <w:pPr>
              <w:spacing w:after="0"/>
              <w:rPr>
                <w:sz w:val="19"/>
                <w:szCs w:val="19"/>
                <w:color w:val="auto"/>
              </w:rPr>
            </w:pPr>
          </w:p>
        </w:tc>
        <w:tc>
          <w:tcPr>
            <w:tcW w:w="812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Increase (decrease) in accounts payable and accrued liabilities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(13,560)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(24,852)</w:t>
            </w:r>
          </w:p>
        </w:tc>
      </w:tr>
      <w:tr>
        <w:trPr>
          <w:trHeight w:val="220"/>
        </w:trPr>
        <w:tc>
          <w:tcPr>
            <w:tcW w:w="20" w:type="dxa"/>
            <w:vAlign w:val="bottom"/>
            <w:tcBorders>
              <w:bottom w:val="single" w:sz="8" w:color="CCEEFF"/>
            </w:tcBorders>
          </w:tcPr>
          <w:p>
            <w:pPr>
              <w:spacing w:after="0"/>
              <w:rPr>
                <w:sz w:val="19"/>
                <w:szCs w:val="19"/>
                <w:color w:val="auto"/>
              </w:rPr>
            </w:pPr>
          </w:p>
        </w:tc>
        <w:tc>
          <w:tcPr>
            <w:tcW w:w="8120" w:type="dxa"/>
            <w:vAlign w:val="bottom"/>
            <w:tcBorders>
              <w:bottom w:val="single" w:sz="8" w:color="CCEEFF"/>
            </w:tcBorders>
            <w:gridSpan w:val="3"/>
          </w:tcPr>
          <w:p>
            <w:pPr>
              <w:ind w:left="420"/>
              <w:spacing w:after="0"/>
              <w:rPr>
                <w:sz w:val="20"/>
                <w:szCs w:val="20"/>
                <w:color w:val="auto"/>
              </w:rPr>
            </w:pPr>
            <w:r>
              <w:rPr>
                <w:rFonts w:ascii="Arial" w:cs="Arial" w:eastAsia="Arial" w:hAnsi="Arial"/>
                <w:sz w:val="17"/>
                <w:szCs w:val="17"/>
                <w:color w:val="auto"/>
              </w:rPr>
              <w:t>Increase (decrease) in income taxes payable</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6,214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3,703</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8120" w:type="dxa"/>
            <w:vAlign w:val="bottom"/>
            <w:tcBorders>
              <w:bottom w:val="single" w:sz="8" w:color="CCEEFF"/>
            </w:tcBorders>
            <w:gridSpan w:val="3"/>
            <w:shd w:val="clear" w:color="auto" w:fill="CCEEFF"/>
          </w:tcPr>
          <w:p>
            <w:pPr>
              <w:ind w:left="620"/>
              <w:spacing w:after="0"/>
              <w:rPr>
                <w:sz w:val="20"/>
                <w:szCs w:val="20"/>
                <w:color w:val="auto"/>
              </w:rPr>
            </w:pPr>
            <w:r>
              <w:rPr>
                <w:rFonts w:ascii="Arial" w:cs="Arial" w:eastAsia="Arial" w:hAnsi="Arial"/>
                <w:sz w:val="17"/>
                <w:szCs w:val="17"/>
                <w:b w:val="1"/>
                <w:bCs w:val="1"/>
                <w:color w:val="auto"/>
              </w:rPr>
              <w:t>Net (increase) in non-cash working capital</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(22,784)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(24,353)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640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0"/>
        </w:trPr>
        <w:tc>
          <w:tcPr>
            <w:tcW w:w="20" w:type="dxa"/>
            <w:vAlign w:val="bottom"/>
            <w:shd w:val="clear" w:color="auto" w:fill="CCEEFF"/>
          </w:tcPr>
          <w:p>
            <w:pPr>
              <w:spacing w:after="0"/>
              <w:rPr>
                <w:sz w:val="19"/>
                <w:szCs w:val="19"/>
                <w:color w:val="auto"/>
              </w:rPr>
            </w:pPr>
          </w:p>
        </w:tc>
        <w:tc>
          <w:tcPr>
            <w:tcW w:w="81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Supplementary disclosures: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8120" w:type="dxa"/>
            <w:vAlign w:val="bottom"/>
            <w:gridSpan w:val="3"/>
          </w:tcPr>
          <w:p>
            <w:pPr>
              <w:ind w:left="420"/>
              <w:spacing w:after="0"/>
              <w:rPr>
                <w:sz w:val="20"/>
                <w:szCs w:val="20"/>
                <w:color w:val="auto"/>
              </w:rPr>
            </w:pPr>
            <w:r>
              <w:rPr>
                <w:rFonts w:ascii="Arial" w:cs="Arial" w:eastAsia="Arial" w:hAnsi="Arial"/>
                <w:sz w:val="17"/>
                <w:szCs w:val="17"/>
                <w:color w:val="auto"/>
              </w:rPr>
              <w:t>Net cash income taxes (refunded) paid</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(1,632)</w:t>
            </w:r>
          </w:p>
        </w:tc>
        <w:tc>
          <w:tcPr>
            <w:tcW w:w="100" w:type="dxa"/>
            <w:vAlign w:val="bottom"/>
          </w:tcPr>
          <w:p>
            <w:pPr>
              <w:spacing w:after="0"/>
              <w:rPr>
                <w:sz w:val="19"/>
                <w:szCs w:val="19"/>
                <w:color w:val="auto"/>
              </w:rPr>
            </w:pP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405</w:t>
            </w:r>
          </w:p>
        </w:tc>
      </w:tr>
      <w:tr>
        <w:trPr>
          <w:trHeight w:val="401"/>
        </w:trPr>
        <w:tc>
          <w:tcPr>
            <w:tcW w:w="20" w:type="dxa"/>
            <w:vAlign w:val="bottom"/>
            <w:shd w:val="clear" w:color="auto" w:fill="CCEEFF"/>
          </w:tcPr>
          <w:p>
            <w:pPr>
              <w:spacing w:after="0"/>
              <w:rPr>
                <w:sz w:val="24"/>
                <w:szCs w:val="24"/>
                <w:color w:val="auto"/>
              </w:rPr>
            </w:pPr>
          </w:p>
        </w:tc>
        <w:tc>
          <w:tcPr>
            <w:tcW w:w="812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Interest paid, net of amounts capitalized of $1.1 million in 2025 and $3.9 million in 2024</w:t>
            </w: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6,347</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11,062</w:t>
            </w:r>
          </w:p>
        </w:tc>
      </w:tr>
      <w:tr>
        <w:trPr>
          <w:trHeight w:val="258"/>
        </w:trPr>
        <w:tc>
          <w:tcPr>
            <w:tcW w:w="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6400" w:type="dxa"/>
            <w:vAlign w:val="bottom"/>
            <w:gridSpan w:val="2"/>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20"/>
        </w:trPr>
        <w:tc>
          <w:tcPr>
            <w:tcW w:w="20" w:type="dxa"/>
            <w:vAlign w:val="bottom"/>
            <w:shd w:val="clear" w:color="auto" w:fill="CCEEFF"/>
          </w:tcPr>
          <w:p>
            <w:pPr>
              <w:spacing w:after="0"/>
              <w:rPr>
                <w:sz w:val="19"/>
                <w:szCs w:val="19"/>
                <w:color w:val="auto"/>
              </w:rPr>
            </w:pPr>
          </w:p>
        </w:tc>
        <w:tc>
          <w:tcPr>
            <w:tcW w:w="81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Non-cash investing activities: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8120" w:type="dxa"/>
            <w:vAlign w:val="bottom"/>
            <w:gridSpan w:val="3"/>
          </w:tcPr>
          <w:p>
            <w:pPr>
              <w:ind w:left="420"/>
              <w:spacing w:after="0"/>
              <w:rPr>
                <w:sz w:val="20"/>
                <w:szCs w:val="20"/>
                <w:color w:val="auto"/>
              </w:rPr>
            </w:pPr>
            <w:r>
              <w:rPr>
                <w:rFonts w:ascii="Arial" w:cs="Arial" w:eastAsia="Arial" w:hAnsi="Arial"/>
                <w:sz w:val="17"/>
                <w:szCs w:val="17"/>
                <w:color w:val="auto"/>
              </w:rPr>
              <w:t>Asset retirement costs capitalized</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8,996</w:t>
            </w:r>
          </w:p>
        </w:tc>
        <w:tc>
          <w:tcPr>
            <w:tcW w:w="100" w:type="dxa"/>
            <w:vAlign w:val="bottom"/>
          </w:tcPr>
          <w:p>
            <w:pPr>
              <w:spacing w:after="0"/>
              <w:rPr>
                <w:sz w:val="19"/>
                <w:szCs w:val="19"/>
                <w:color w:val="auto"/>
              </w:rPr>
            </w:pP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10,955</w:t>
            </w:r>
          </w:p>
        </w:tc>
      </w:tr>
      <w:tr>
        <w:trPr>
          <w:trHeight w:val="220"/>
        </w:trPr>
        <w:tc>
          <w:tcPr>
            <w:tcW w:w="20" w:type="dxa"/>
            <w:vAlign w:val="bottom"/>
            <w:shd w:val="clear" w:color="auto" w:fill="CCEEFF"/>
          </w:tcPr>
          <w:p>
            <w:pPr>
              <w:spacing w:after="0"/>
              <w:rPr>
                <w:sz w:val="19"/>
                <w:szCs w:val="19"/>
                <w:color w:val="auto"/>
              </w:rPr>
            </w:pPr>
          </w:p>
        </w:tc>
        <w:tc>
          <w:tcPr>
            <w:tcW w:w="812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(Increase) decrease in capital expenditure accrual</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(42,442)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(12,948)</w:t>
            </w:r>
          </w:p>
        </w:tc>
      </w:tr>
    </w:tbl>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G – Asset Retirement Obligations</w:t>
      </w:r>
    </w:p>
    <w:p>
      <w:pPr>
        <w:spacing w:after="0" w:line="117" w:lineRule="exact"/>
        <w:rPr>
          <w:sz w:val="20"/>
          <w:szCs w:val="20"/>
          <w:color w:val="auto"/>
        </w:rPr>
      </w:pPr>
    </w:p>
    <w:p>
      <w:pPr>
        <w:ind w:right="520"/>
        <w:spacing w:after="0" w:line="291" w:lineRule="auto"/>
        <w:rPr>
          <w:sz w:val="20"/>
          <w:szCs w:val="20"/>
          <w:color w:val="auto"/>
        </w:rPr>
      </w:pPr>
      <w:r>
        <w:rPr>
          <w:rFonts w:ascii="Arial" w:cs="Arial" w:eastAsia="Arial" w:hAnsi="Arial"/>
          <w:sz w:val="17"/>
          <w:szCs w:val="17"/>
          <w:color w:val="auto"/>
        </w:rPr>
        <w:t>The asset retirement obligations liabilities (ARO) recognized by the Company are related to the estimated costs to dismantle and abandon its producing oil and natural gas properties and related equipment.</w:t>
      </w:r>
    </w:p>
    <w:p>
      <w:pPr>
        <w:spacing w:after="0" w:line="43" w:lineRule="exact"/>
        <w:rPr>
          <w:sz w:val="20"/>
          <w:szCs w:val="20"/>
          <w:color w:val="auto"/>
        </w:rPr>
      </w:pPr>
    </w:p>
    <w:p>
      <w:pPr>
        <w:ind w:right="220"/>
        <w:spacing w:after="0" w:line="291" w:lineRule="auto"/>
        <w:rPr>
          <w:sz w:val="20"/>
          <w:szCs w:val="20"/>
          <w:color w:val="auto"/>
        </w:rPr>
      </w:pPr>
      <w:r>
        <w:rPr>
          <w:rFonts w:ascii="Arial" w:cs="Arial" w:eastAsia="Arial" w:hAnsi="Arial"/>
          <w:sz w:val="17"/>
          <w:szCs w:val="17"/>
          <w:color w:val="auto"/>
        </w:rPr>
        <w:t>A reconciliation of the beginning and ending aggregate carrying amount of the ARO for the three-month periods ended March 31, 2025 and 2024 are shown in the following table.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140" w:type="dxa"/>
            <w:vAlign w:val="bottom"/>
            <w:gridSpan w:val="2"/>
          </w:tcPr>
          <w:p>
            <w:pPr>
              <w:spacing w:after="0"/>
              <w:rPr>
                <w:sz w:val="20"/>
                <w:szCs w:val="20"/>
                <w:color w:val="auto"/>
              </w:rPr>
            </w:pPr>
            <w:r>
              <w:rPr>
                <w:rFonts w:ascii="Arial" w:cs="Arial" w:eastAsia="Arial" w:hAnsi="Arial"/>
                <w:sz w:val="17"/>
                <w:szCs w:val="17"/>
                <w:i w:val="1"/>
                <w:iCs w:val="1"/>
                <w:color w:val="auto"/>
              </w:rPr>
              <w:t>(Thousands of dollars)</w:t>
            </w:r>
          </w:p>
        </w:tc>
        <w:tc>
          <w:tcPr>
            <w:tcW w:w="12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Arial" w:cs="Arial" w:eastAsia="Arial" w:hAnsi="Arial"/>
                <w:sz w:val="17"/>
                <w:szCs w:val="17"/>
                <w:b w:val="1"/>
                <w:bCs w:val="1"/>
                <w:color w:val="auto"/>
              </w:rPr>
              <w:t>March 31, 2025</w:t>
            </w:r>
          </w:p>
        </w:tc>
        <w:tc>
          <w:tcPr>
            <w:tcW w:w="120" w:type="dxa"/>
            <w:vAlign w:val="bottom"/>
          </w:tcPr>
          <w:p>
            <w:pPr>
              <w:spacing w:after="0"/>
              <w:rPr>
                <w:sz w:val="16"/>
                <w:szCs w:val="16"/>
                <w:color w:val="auto"/>
              </w:rPr>
            </w:pPr>
          </w:p>
        </w:tc>
        <w:tc>
          <w:tcPr>
            <w:tcW w:w="1340" w:type="dxa"/>
            <w:vAlign w:val="bottom"/>
          </w:tcPr>
          <w:p>
            <w:pPr>
              <w:jc w:val="right"/>
              <w:ind w:right="54"/>
              <w:spacing w:after="0"/>
              <w:rPr>
                <w:sz w:val="20"/>
                <w:szCs w:val="20"/>
                <w:color w:val="auto"/>
              </w:rPr>
            </w:pPr>
            <w:r>
              <w:rPr>
                <w:rFonts w:ascii="Arial" w:cs="Arial" w:eastAsia="Arial" w:hAnsi="Arial"/>
                <w:sz w:val="17"/>
                <w:szCs w:val="17"/>
                <w:color w:val="auto"/>
                <w:w w:val="99"/>
              </w:rPr>
              <w:t>March 31, 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at beginning of year</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1,008,884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914,763</w:t>
            </w:r>
          </w:p>
        </w:tc>
      </w:tr>
      <w:tr>
        <w:trPr>
          <w:trHeight w:val="220"/>
        </w:trPr>
        <w:tc>
          <w:tcPr>
            <w:tcW w:w="20" w:type="dxa"/>
            <w:vAlign w:val="bottom"/>
          </w:tcPr>
          <w:p>
            <w:pPr>
              <w:spacing w:after="0"/>
              <w:rPr>
                <w:sz w:val="19"/>
                <w:szCs w:val="19"/>
                <w:color w:val="auto"/>
              </w:rPr>
            </w:pPr>
          </w:p>
        </w:tc>
        <w:tc>
          <w:tcPr>
            <w:tcW w:w="8140" w:type="dxa"/>
            <w:vAlign w:val="bottom"/>
            <w:gridSpan w:val="2"/>
          </w:tcPr>
          <w:p>
            <w:pPr>
              <w:ind w:left="420"/>
              <w:spacing w:after="0"/>
              <w:rPr>
                <w:sz w:val="20"/>
                <w:szCs w:val="20"/>
                <w:color w:val="auto"/>
              </w:rPr>
            </w:pPr>
            <w:r>
              <w:rPr>
                <w:rFonts w:ascii="Arial" w:cs="Arial" w:eastAsia="Arial" w:hAnsi="Arial"/>
                <w:sz w:val="17"/>
                <w:szCs w:val="17"/>
                <w:color w:val="auto"/>
              </w:rPr>
              <w:t>Accretion</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b w:val="1"/>
                <w:bCs w:val="1"/>
                <w:color w:val="auto"/>
              </w:rPr>
              <w:t>14,045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12,774</w:t>
            </w:r>
          </w:p>
        </w:tc>
      </w:tr>
      <w:tr>
        <w:trPr>
          <w:trHeight w:val="220"/>
        </w:trPr>
        <w:tc>
          <w:tcPr>
            <w:tcW w:w="20" w:type="dxa"/>
            <w:vAlign w:val="bottom"/>
            <w:shd w:val="clear" w:color="auto" w:fill="CCEEFF"/>
          </w:tcPr>
          <w:p>
            <w:pPr>
              <w:spacing w:after="0"/>
              <w:rPr>
                <w:sz w:val="19"/>
                <w:szCs w:val="19"/>
                <w:color w:val="auto"/>
              </w:rPr>
            </w:pPr>
          </w:p>
        </w:tc>
        <w:tc>
          <w:tcPr>
            <w:tcW w:w="81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Liabilities incurred</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4,996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8,960</w:t>
            </w:r>
          </w:p>
        </w:tc>
      </w:tr>
      <w:tr>
        <w:trPr>
          <w:trHeight w:val="220"/>
        </w:trPr>
        <w:tc>
          <w:tcPr>
            <w:tcW w:w="20" w:type="dxa"/>
            <w:vAlign w:val="bottom"/>
          </w:tcPr>
          <w:p>
            <w:pPr>
              <w:spacing w:after="0"/>
              <w:rPr>
                <w:sz w:val="19"/>
                <w:szCs w:val="19"/>
                <w:color w:val="auto"/>
              </w:rPr>
            </w:pPr>
          </w:p>
        </w:tc>
        <w:tc>
          <w:tcPr>
            <w:tcW w:w="8140" w:type="dxa"/>
            <w:vAlign w:val="bottom"/>
            <w:gridSpan w:val="2"/>
          </w:tcPr>
          <w:p>
            <w:pPr>
              <w:ind w:left="420"/>
              <w:spacing w:after="0"/>
              <w:rPr>
                <w:sz w:val="20"/>
                <w:szCs w:val="20"/>
                <w:color w:val="auto"/>
              </w:rPr>
            </w:pPr>
            <w:r>
              <w:rPr>
                <w:rFonts w:ascii="Arial" w:cs="Arial" w:eastAsia="Arial" w:hAnsi="Arial"/>
                <w:sz w:val="17"/>
                <w:szCs w:val="17"/>
                <w:color w:val="auto"/>
              </w:rPr>
              <w:t>Revisions of previous estimates</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b w:val="1"/>
                <w:bCs w:val="1"/>
                <w:color w:val="auto"/>
              </w:rPr>
              <w:t>3,999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1,995</w:t>
            </w:r>
          </w:p>
        </w:tc>
      </w:tr>
      <w:tr>
        <w:trPr>
          <w:trHeight w:val="220"/>
        </w:trPr>
        <w:tc>
          <w:tcPr>
            <w:tcW w:w="20" w:type="dxa"/>
            <w:vAlign w:val="bottom"/>
            <w:shd w:val="clear" w:color="auto" w:fill="CCEEFF"/>
          </w:tcPr>
          <w:p>
            <w:pPr>
              <w:spacing w:after="0"/>
              <w:rPr>
                <w:sz w:val="19"/>
                <w:szCs w:val="19"/>
                <w:color w:val="auto"/>
              </w:rPr>
            </w:pPr>
          </w:p>
        </w:tc>
        <w:tc>
          <w:tcPr>
            <w:tcW w:w="81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Liabilities settled</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w:t>
            </w:r>
          </w:p>
        </w:tc>
      </w:tr>
      <w:tr>
        <w:trPr>
          <w:trHeight w:val="220"/>
        </w:trPr>
        <w:tc>
          <w:tcPr>
            <w:tcW w:w="20" w:type="dxa"/>
            <w:vAlign w:val="bottom"/>
            <w:tcBorders>
              <w:bottom w:val="single" w:sz="8" w:color="CCEEFF"/>
            </w:tcBorders>
          </w:tcPr>
          <w:p>
            <w:pPr>
              <w:spacing w:after="0"/>
              <w:rPr>
                <w:sz w:val="19"/>
                <w:szCs w:val="19"/>
                <w:color w:val="auto"/>
              </w:rPr>
            </w:pPr>
          </w:p>
        </w:tc>
        <w:tc>
          <w:tcPr>
            <w:tcW w:w="8140" w:type="dxa"/>
            <w:vAlign w:val="bottom"/>
            <w:tcBorders>
              <w:bottom w:val="single" w:sz="8" w:color="CCEEFF"/>
            </w:tcBorders>
            <w:gridSpan w:val="2"/>
          </w:tcPr>
          <w:p>
            <w:pPr>
              <w:ind w:left="420"/>
              <w:spacing w:after="0"/>
              <w:rPr>
                <w:sz w:val="20"/>
                <w:szCs w:val="20"/>
                <w:color w:val="auto"/>
              </w:rPr>
            </w:pPr>
            <w:r>
              <w:rPr>
                <w:rFonts w:ascii="Arial" w:cs="Arial" w:eastAsia="Arial" w:hAnsi="Arial"/>
                <w:sz w:val="17"/>
                <w:szCs w:val="17"/>
                <w:color w:val="auto"/>
              </w:rPr>
              <w:t>Changes due to translation of foreign currencies</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394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(3,143)</w:t>
            </w:r>
          </w:p>
        </w:tc>
      </w:tr>
      <w:tr>
        <w:trPr>
          <w:trHeight w:val="213"/>
        </w:trPr>
        <w:tc>
          <w:tcPr>
            <w:tcW w:w="20" w:type="dxa"/>
            <w:vAlign w:val="bottom"/>
            <w:shd w:val="clear" w:color="auto" w:fill="CCEEFF"/>
          </w:tcPr>
          <w:p>
            <w:pPr>
              <w:spacing w:after="0"/>
              <w:rPr>
                <w:sz w:val="18"/>
                <w:szCs w:val="18"/>
                <w:color w:val="auto"/>
              </w:rPr>
            </w:pPr>
          </w:p>
        </w:tc>
        <w:tc>
          <w:tcPr>
            <w:tcW w:w="814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Balance at end of period</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1,032,161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934,612</w:t>
            </w:r>
          </w:p>
        </w:tc>
      </w:tr>
      <w:tr>
        <w:trPr>
          <w:trHeight w:val="220"/>
        </w:trPr>
        <w:tc>
          <w:tcPr>
            <w:tcW w:w="20" w:type="dxa"/>
            <w:vAlign w:val="bottom"/>
            <w:tcBorders>
              <w:bottom w:val="single" w:sz="8" w:color="CCEEFF"/>
            </w:tcBorders>
          </w:tcPr>
          <w:p>
            <w:pPr>
              <w:spacing w:after="0"/>
              <w:rPr>
                <w:sz w:val="19"/>
                <w:szCs w:val="19"/>
                <w:color w:val="auto"/>
              </w:rPr>
            </w:pPr>
          </w:p>
        </w:tc>
        <w:tc>
          <w:tcPr>
            <w:tcW w:w="8140" w:type="dxa"/>
            <w:vAlign w:val="bottom"/>
            <w:tcBorders>
              <w:bottom w:val="single" w:sz="8" w:color="CCEEFF"/>
            </w:tcBorders>
            <w:gridSpan w:val="2"/>
          </w:tcPr>
          <w:p>
            <w:pPr>
              <w:ind w:left="420"/>
              <w:spacing w:after="0"/>
              <w:rPr>
                <w:sz w:val="20"/>
                <w:szCs w:val="20"/>
                <w:color w:val="auto"/>
              </w:rPr>
            </w:pPr>
            <w:r>
              <w:rPr>
                <w:rFonts w:ascii="Arial" w:cs="Arial" w:eastAsia="Arial" w:hAnsi="Arial"/>
                <w:sz w:val="17"/>
                <w:szCs w:val="17"/>
                <w:color w:val="auto"/>
              </w:rPr>
              <w:t>Current portion of liability</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(77,452)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(17,797)</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81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7"/>
                <w:szCs w:val="17"/>
                <w:color w:val="auto"/>
              </w:rPr>
              <w:t>Non-current portion of liability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954,709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916,815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right="420"/>
        <w:spacing w:after="0" w:line="272" w:lineRule="auto"/>
        <w:rPr>
          <w:sz w:val="20"/>
          <w:szCs w:val="20"/>
          <w:color w:val="auto"/>
        </w:rPr>
      </w:pPr>
      <w:r>
        <w:rPr>
          <w:rFonts w:ascii="Arial" w:cs="Arial" w:eastAsia="Arial" w:hAnsi="Arial"/>
          <w:sz w:val="17"/>
          <w:szCs w:val="17"/>
          <w:color w:val="auto"/>
        </w:rPr>
        <w:t>The estimation of future ARO is based on a number of assumptions requiring professional judgment. The Company cannot predict the type of revisions to these assumptions that may be required in future periods due to the availability of additional information such as: prices for oil field services, technological changes, governmental requirements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H – Employee and Retiree Benefit Plans</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The Company has defined benefit pension plans that are principally noncontributory and cover most full-time employees. All pension plans are funded except for the U.S. and Canadian nonqualified supplemental plans and the U.S. directors’ plan. All U.S. tax qualified plans meet the funding requirements of federal laws and regulations. Contributions to foreign plans are based on local laws and tax regulations. The Company also sponsors other postretirement benefits such as health care and life insurance benefit plans, which are not funded, that cover most retired U.S. employees. The health care benefits are contributory; the life insurance benefits are noncontributory.</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The table that follows provides the components of net periodic benefit expense for the three-month periods ended March 31, 2025 and 2024.</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5"/>
          </w:tcPr>
          <w:p>
            <w:pPr>
              <w:ind w:left="100"/>
              <w:spacing w:after="0"/>
              <w:rPr>
                <w:sz w:val="20"/>
                <w:szCs w:val="20"/>
                <w:color w:val="auto"/>
              </w:rPr>
            </w:pPr>
            <w:r>
              <w:rPr>
                <w:rFonts w:ascii="Arial" w:cs="Arial" w:eastAsia="Arial" w:hAnsi="Arial"/>
                <w:sz w:val="17"/>
                <w:szCs w:val="17"/>
                <w:b w:val="1"/>
                <w:bCs w:val="1"/>
                <w:color w:val="auto"/>
              </w:rPr>
              <w:t>Three Months Ended March 31,</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gridSpan w:val="2"/>
            <w:vMerge w:val="restart"/>
          </w:tcPr>
          <w:p>
            <w:pPr>
              <w:spacing w:after="0"/>
              <w:rPr>
                <w:sz w:val="20"/>
                <w:szCs w:val="20"/>
                <w:color w:val="auto"/>
              </w:rPr>
            </w:pPr>
            <w:r>
              <w:rPr>
                <w:rFonts w:ascii="Arial" w:cs="Arial" w:eastAsia="Arial" w:hAnsi="Arial"/>
                <w:sz w:val="17"/>
                <w:szCs w:val="17"/>
                <w:i w:val="1"/>
                <w:iCs w:val="1"/>
                <w:color w:val="auto"/>
              </w:rPr>
              <w:t>(Thousands of dollars)</w:t>
            </w:r>
          </w:p>
        </w:tc>
        <w:tc>
          <w:tcPr>
            <w:tcW w:w="360" w:type="dxa"/>
            <w:vAlign w:val="bottom"/>
          </w:tcPr>
          <w:p>
            <w:pPr>
              <w:spacing w:after="0"/>
              <w:rPr>
                <w:sz w:val="18"/>
                <w:szCs w:val="18"/>
                <w:color w:val="auto"/>
              </w:rPr>
            </w:pPr>
          </w:p>
        </w:tc>
        <w:tc>
          <w:tcPr>
            <w:tcW w:w="2880" w:type="dxa"/>
            <w:vAlign w:val="bottom"/>
            <w:gridSpan w:val="5"/>
          </w:tcPr>
          <w:p>
            <w:pPr>
              <w:ind w:left="520"/>
              <w:spacing w:after="0"/>
              <w:rPr>
                <w:sz w:val="20"/>
                <w:szCs w:val="20"/>
                <w:color w:val="auto"/>
              </w:rPr>
            </w:pPr>
            <w:r>
              <w:rPr>
                <w:rFonts w:ascii="Arial" w:cs="Arial" w:eastAsia="Arial" w:hAnsi="Arial"/>
                <w:sz w:val="17"/>
                <w:szCs w:val="17"/>
                <w:b w:val="1"/>
                <w:bCs w:val="1"/>
                <w:color w:val="auto"/>
              </w:rPr>
              <w:t>Pension Benefits</w:t>
            </w:r>
          </w:p>
        </w:tc>
        <w:tc>
          <w:tcPr>
            <w:tcW w:w="220" w:type="dxa"/>
            <w:vAlign w:val="bottom"/>
          </w:tcPr>
          <w:p>
            <w:pPr>
              <w:spacing w:after="0"/>
              <w:rPr>
                <w:sz w:val="18"/>
                <w:szCs w:val="18"/>
                <w:color w:val="auto"/>
              </w:rPr>
            </w:pPr>
          </w:p>
        </w:tc>
        <w:tc>
          <w:tcPr>
            <w:tcW w:w="2920" w:type="dxa"/>
            <w:vAlign w:val="bottom"/>
            <w:gridSpan w:val="4"/>
          </w:tcPr>
          <w:p>
            <w:pPr>
              <w:jc w:val="right"/>
              <w:ind w:right="254"/>
              <w:spacing w:after="0"/>
              <w:rPr>
                <w:sz w:val="20"/>
                <w:szCs w:val="20"/>
                <w:color w:val="auto"/>
              </w:rPr>
            </w:pPr>
            <w:r>
              <w:rPr>
                <w:rFonts w:ascii="Arial" w:cs="Arial" w:eastAsia="Arial" w:hAnsi="Arial"/>
                <w:sz w:val="17"/>
                <w:szCs w:val="17"/>
                <w:b w:val="1"/>
                <w:bCs w:val="1"/>
                <w:color w:val="auto"/>
              </w:rPr>
              <w:t>Other Postretirement Benefits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00" w:type="dxa"/>
            <w:vAlign w:val="bottom"/>
            <w:gridSpan w:val="2"/>
            <w:vMerge w:val="continue"/>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94"/>
              <w:spacing w:after="0" w:line="174" w:lineRule="exact"/>
              <w:rPr>
                <w:sz w:val="20"/>
                <w:szCs w:val="20"/>
                <w:color w:val="auto"/>
              </w:rPr>
            </w:pPr>
            <w:r>
              <w:rPr>
                <w:rFonts w:ascii="Arial" w:cs="Arial" w:eastAsia="Arial" w:hAnsi="Arial"/>
                <w:sz w:val="17"/>
                <w:szCs w:val="17"/>
                <w:b w:val="1"/>
                <w:bCs w:val="1"/>
                <w:color w:val="auto"/>
              </w:rPr>
              <w:t>2025</w:t>
            </w:r>
          </w:p>
        </w:tc>
        <w:tc>
          <w:tcPr>
            <w:tcW w:w="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474"/>
              <w:spacing w:after="0" w:line="174" w:lineRule="exact"/>
              <w:rPr>
                <w:sz w:val="20"/>
                <w:szCs w:val="20"/>
                <w:color w:val="auto"/>
              </w:rPr>
            </w:pPr>
            <w:r>
              <w:rPr>
                <w:rFonts w:ascii="Arial" w:cs="Arial" w:eastAsia="Arial" w:hAnsi="Arial"/>
                <w:sz w:val="17"/>
                <w:szCs w:val="17"/>
                <w:color w:val="auto"/>
              </w:rPr>
              <w:t>2024</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474"/>
              <w:spacing w:after="0" w:line="174" w:lineRule="exact"/>
              <w:rPr>
                <w:sz w:val="20"/>
                <w:szCs w:val="20"/>
                <w:color w:val="auto"/>
              </w:rPr>
            </w:pPr>
            <w:r>
              <w:rPr>
                <w:rFonts w:ascii="Arial" w:cs="Arial" w:eastAsia="Arial" w:hAnsi="Arial"/>
                <w:sz w:val="17"/>
                <w:szCs w:val="17"/>
                <w:b w:val="1"/>
                <w:bCs w:val="1"/>
                <w:color w:val="auto"/>
              </w:rPr>
              <w:t>2025</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94"/>
              <w:spacing w:after="0" w:line="174" w:lineRule="exact"/>
              <w:rPr>
                <w:sz w:val="20"/>
                <w:szCs w:val="20"/>
                <w:color w:val="auto"/>
              </w:rPr>
            </w:pPr>
            <w:r>
              <w:rPr>
                <w:rFonts w:ascii="Arial" w:cs="Arial" w:eastAsia="Arial" w:hAnsi="Arial"/>
                <w:sz w:val="17"/>
                <w:szCs w:val="17"/>
                <w:color w:val="auto"/>
              </w:rPr>
              <w:t>2024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Service cost</w:t>
            </w: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1,683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7"/>
                <w:szCs w:val="17"/>
                <w:color w:val="auto"/>
              </w:rPr>
              <w:t>Interest cost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8,398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8,391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708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782</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Expected return on plan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(8,871)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7"/>
                <w:szCs w:val="17"/>
                <w:color w:val="auto"/>
              </w:rPr>
              <w:t>Estimated defined contribution provision</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60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Amortization of prior service cost (credit)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491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8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Recognized actuarial loss (gain)</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1,891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(812)</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7"/>
                <w:szCs w:val="17"/>
                <w:color w:val="auto"/>
              </w:rPr>
              <w:t>Total net periodic benefit expense</w:t>
            </w: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3,652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4,734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(397)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right="360"/>
        <w:spacing w:after="0" w:line="291" w:lineRule="auto"/>
        <w:rPr>
          <w:sz w:val="20"/>
          <w:szCs w:val="20"/>
          <w:color w:val="auto"/>
        </w:rPr>
      </w:pPr>
      <w:r>
        <w:rPr>
          <w:rFonts w:ascii="Arial" w:cs="Arial" w:eastAsia="Arial" w:hAnsi="Arial"/>
          <w:sz w:val="17"/>
          <w:szCs w:val="17"/>
          <w:color w:val="auto"/>
        </w:rPr>
        <w:t>The components of net periodic benefit expense, other than the service cost, are recorded in “Other income” in the Consolidated Statements of Operations.</w:t>
      </w:r>
    </w:p>
    <w:p>
      <w:pPr>
        <w:spacing w:after="0" w:line="43"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During the three-month period ended March 31, 2025, the Company made contributions of $7.3 million to its defined benefit pension and postretirement benefit plans. Remaining funding in 2025 for the Company’s defined benefit pension and postretirement plans is anticipated to be $23.6 million.</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I – Incentive Plans</w:t>
      </w:r>
    </w:p>
    <w:p>
      <w:pPr>
        <w:spacing w:after="0" w:line="117" w:lineRule="exact"/>
        <w:rPr>
          <w:sz w:val="20"/>
          <w:szCs w:val="20"/>
          <w:color w:val="auto"/>
        </w:rPr>
      </w:pPr>
    </w:p>
    <w:p>
      <w:pPr>
        <w:ind w:right="720"/>
        <w:spacing w:after="0" w:line="291" w:lineRule="auto"/>
        <w:rPr>
          <w:sz w:val="20"/>
          <w:szCs w:val="20"/>
          <w:color w:val="auto"/>
        </w:rPr>
      </w:pPr>
      <w:r>
        <w:rPr>
          <w:rFonts w:ascii="Arial" w:cs="Arial" w:eastAsia="Arial" w:hAnsi="Arial"/>
          <w:sz w:val="17"/>
          <w:szCs w:val="17"/>
          <w:color w:val="auto"/>
        </w:rPr>
        <w:t>The costs resulting from all share-based and cash-based incentive plans are recognized as an expense in the Consolidated Statements of Operations using a fair value-based measurement method over the periods that the awards vest.</w:t>
      </w:r>
    </w:p>
    <w:p>
      <w:pPr>
        <w:spacing w:after="0" w:line="43" w:lineRule="exact"/>
        <w:rPr>
          <w:sz w:val="20"/>
          <w:szCs w:val="20"/>
          <w:color w:val="auto"/>
        </w:rPr>
      </w:pPr>
    </w:p>
    <w:p>
      <w:pPr>
        <w:jc w:val="both"/>
        <w:ind w:right="40"/>
        <w:spacing w:after="0" w:line="272" w:lineRule="auto"/>
        <w:rPr>
          <w:sz w:val="20"/>
          <w:szCs w:val="20"/>
          <w:color w:val="auto"/>
        </w:rPr>
      </w:pPr>
      <w:r>
        <w:rPr>
          <w:rFonts w:ascii="Arial" w:cs="Arial" w:eastAsia="Arial" w:hAnsi="Arial"/>
          <w:sz w:val="17"/>
          <w:szCs w:val="17"/>
          <w:color w:val="auto"/>
        </w:rPr>
        <w:t>The Annual Incentive Plan (AIP) authorizes the Compensation Committee (the Committee) to establish specific performance goals associated with annual cash awards that may be earned by officers, executives and certain other employees. Cash awards under the AIP are determined based on the Company’s actual financial and operating results as measured against the performance goals established by the Committee.</w:t>
      </w:r>
    </w:p>
    <w:p>
      <w:pPr>
        <w:spacing w:after="0" w:line="59"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 2020 Long-Term Incentive Plan (2020 Long-Term Plan) authorizes the Committee to make grants of the Company’s common stock and stock-based awards to employees. These grants may be in the form of stock options (nonqualified or incentive), stock appreciation rights (SAR), restricted stock, restricted stock units (RSU), performance units, performance shares, dividend equivalents and other stock-based incentives. The 2020 Long-Term Plan expires in 2030. A total of 5 million shares of common stock are issuable during the life of the 2020 Long-Term Plan. Shares issued pursuant to awards granted under the 2020 Long-Term Plan may be shares that are authorized and unissued or shares that were reacquired by the Company, including shares purchased in the open market. Share awards that have been canceled, expired, forfeited or otherwise not issued under an award shall not count as shares issued under the 2020 Long-Term Plan. In addition, the 2020 Long-Term Plan authorizes the Committee to grant cash-settled equity awards to employees. These cash-settled RSU awards do not require issuance of the Company’s common stock, are time-based, and generally vest on the third anniversary of the date of grant.</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I – Incentive Plans (Continued)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March 31, 2025, the Committee granted the following awards from the 2020 Long-Term Plan: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60" w:type="dxa"/>
            <w:vAlign w:val="bottom"/>
            <w:gridSpan w:val="2"/>
            <w:vMerge w:val="restart"/>
          </w:tcPr>
          <w:p>
            <w:pPr>
              <w:ind w:left="1300"/>
              <w:spacing w:after="0"/>
              <w:rPr>
                <w:sz w:val="20"/>
                <w:szCs w:val="20"/>
                <w:color w:val="auto"/>
              </w:rPr>
            </w:pPr>
            <w:r>
              <w:rPr>
                <w:rFonts w:ascii="Arial" w:cs="Arial" w:eastAsia="Arial" w:hAnsi="Arial"/>
                <w:sz w:val="17"/>
                <w:szCs w:val="17"/>
                <w:b w:val="1"/>
                <w:bCs w:val="1"/>
                <w:color w:val="auto"/>
              </w:rPr>
              <w:t>Type of Award</w:t>
            </w:r>
          </w:p>
        </w:tc>
        <w:tc>
          <w:tcPr>
            <w:tcW w:w="18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Number of Awards</w:t>
            </w:r>
          </w:p>
        </w:tc>
        <w:tc>
          <w:tcPr>
            <w:tcW w:w="2100" w:type="dxa"/>
            <w:vAlign w:val="bottom"/>
            <w:gridSpan w:val="2"/>
            <w:vMerge w:val="restart"/>
          </w:tcPr>
          <w:p>
            <w:pPr>
              <w:jc w:val="center"/>
              <w:ind w:right="100"/>
              <w:spacing w:after="0"/>
              <w:rPr>
                <w:sz w:val="20"/>
                <w:szCs w:val="20"/>
                <w:color w:val="auto"/>
              </w:rPr>
            </w:pPr>
            <w:r>
              <w:rPr>
                <w:rFonts w:ascii="Arial" w:cs="Arial" w:eastAsia="Arial" w:hAnsi="Arial"/>
                <w:sz w:val="17"/>
                <w:szCs w:val="17"/>
                <w:b w:val="1"/>
                <w:bCs w:val="1"/>
                <w:color w:val="auto"/>
              </w:rPr>
              <w:t>Grant Date</w:t>
            </w:r>
          </w:p>
        </w:tc>
        <w:tc>
          <w:tcPr>
            <w:tcW w:w="14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Grant Date</w:t>
            </w:r>
          </w:p>
        </w:tc>
        <w:tc>
          <w:tcPr>
            <w:tcW w:w="212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Valuation Methodology</w:t>
            </w:r>
          </w:p>
        </w:tc>
        <w:tc>
          <w:tcPr>
            <w:tcW w:w="0" w:type="dxa"/>
            <w:vAlign w:val="bottom"/>
          </w:tcPr>
          <w:p>
            <w:pPr>
              <w:spacing w:after="0"/>
              <w:rPr>
                <w:sz w:val="1"/>
                <w:szCs w:val="1"/>
                <w:color w:val="auto"/>
              </w:rPr>
            </w:pPr>
          </w:p>
        </w:tc>
      </w:tr>
      <w:tr>
        <w:trPr>
          <w:trHeight w:val="233"/>
        </w:trPr>
        <w:tc>
          <w:tcPr>
            <w:tcW w:w="3860" w:type="dxa"/>
            <w:vAlign w:val="bottom"/>
            <w:gridSpan w:val="2"/>
            <w:vMerge w:val="continue"/>
          </w:tcPr>
          <w:p>
            <w:pPr>
              <w:spacing w:after="0"/>
              <w:rPr>
                <w:sz w:val="20"/>
                <w:szCs w:val="20"/>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Granted</w:t>
            </w:r>
          </w:p>
        </w:tc>
        <w:tc>
          <w:tcPr>
            <w:tcW w:w="21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rPr>
              <w:t>Fair Value</w:t>
            </w:r>
          </w:p>
        </w:tc>
        <w:tc>
          <w:tcPr>
            <w:tcW w:w="2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760" w:type="dxa"/>
            <w:vAlign w:val="bottom"/>
            <w:tcBorders>
              <w:top w:val="single" w:sz="8" w:color="auto"/>
            </w:tcBorders>
            <w:shd w:val="clear" w:color="auto" w:fill="CCEEFF"/>
          </w:tcPr>
          <w:p>
            <w:pPr>
              <w:ind w:left="20"/>
              <w:spacing w:after="0" w:line="212" w:lineRule="exact"/>
              <w:rPr>
                <w:sz w:val="20"/>
                <w:szCs w:val="20"/>
                <w:color w:val="auto"/>
              </w:rPr>
            </w:pPr>
            <w:r>
              <w:rPr>
                <w:rFonts w:ascii="Arial" w:cs="Arial" w:eastAsia="Arial" w:hAnsi="Arial"/>
                <w:sz w:val="17"/>
                <w:szCs w:val="17"/>
                <w:color w:val="auto"/>
              </w:rPr>
              <w:t xml:space="preserve">Performance-based RSUs (TSR) </w:t>
            </w:r>
            <w:r>
              <w:rPr>
                <w:rFonts w:ascii="Arial" w:cs="Arial" w:eastAsia="Arial" w:hAnsi="Arial"/>
                <w:sz w:val="22"/>
                <w:szCs w:val="22"/>
                <w:color w:val="auto"/>
                <w:vertAlign w:val="superscript"/>
              </w:rPr>
              <w:t>1</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520,150</w:t>
            </w:r>
          </w:p>
        </w:tc>
        <w:tc>
          <w:tcPr>
            <w:tcW w:w="8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February 4, 2025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22.11</w:t>
            </w:r>
          </w:p>
        </w:tc>
        <w:tc>
          <w:tcPr>
            <w:tcW w:w="8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Monte Carlo</w:t>
            </w:r>
          </w:p>
        </w:tc>
        <w:tc>
          <w:tcPr>
            <w:tcW w:w="0" w:type="dxa"/>
            <w:vAlign w:val="bottom"/>
          </w:tcPr>
          <w:p>
            <w:pPr>
              <w:spacing w:after="0"/>
              <w:rPr>
                <w:sz w:val="1"/>
                <w:szCs w:val="1"/>
                <w:color w:val="auto"/>
              </w:rPr>
            </w:pPr>
          </w:p>
        </w:tc>
      </w:tr>
      <w:tr>
        <w:trPr>
          <w:trHeight w:val="220"/>
        </w:trPr>
        <w:tc>
          <w:tcPr>
            <w:tcW w:w="386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Performance-based RSUs (ROACE) </w:t>
            </w:r>
            <w:r>
              <w:rPr>
                <w:rFonts w:ascii="Arial" w:cs="Arial" w:eastAsia="Arial" w:hAnsi="Arial"/>
                <w:sz w:val="22"/>
                <w:szCs w:val="22"/>
                <w:color w:val="auto"/>
                <w:vertAlign w:val="superscript"/>
              </w:rPr>
              <w:t>1</w:t>
            </w:r>
          </w:p>
        </w:tc>
        <w:tc>
          <w:tcPr>
            <w:tcW w:w="1760" w:type="dxa"/>
            <w:vAlign w:val="bottom"/>
          </w:tcPr>
          <w:p>
            <w:pPr>
              <w:jc w:val="right"/>
              <w:spacing w:after="0"/>
              <w:rPr>
                <w:sz w:val="20"/>
                <w:szCs w:val="20"/>
                <w:color w:val="auto"/>
              </w:rPr>
            </w:pPr>
            <w:r>
              <w:rPr>
                <w:rFonts w:ascii="Arial" w:cs="Arial" w:eastAsia="Arial" w:hAnsi="Arial"/>
                <w:sz w:val="17"/>
                <w:szCs w:val="17"/>
                <w:color w:val="auto"/>
              </w:rPr>
              <w:t>129,990</w:t>
            </w:r>
          </w:p>
        </w:tc>
        <w:tc>
          <w:tcPr>
            <w:tcW w:w="80" w:type="dxa"/>
            <w:vAlign w:val="bottom"/>
          </w:tcPr>
          <w:p>
            <w:pPr>
              <w:spacing w:after="0"/>
              <w:rPr>
                <w:sz w:val="19"/>
                <w:szCs w:val="19"/>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7"/>
                <w:szCs w:val="17"/>
                <w:color w:val="auto"/>
              </w:rPr>
              <w:t>February 4, 2025</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25.98</w:t>
            </w:r>
          </w:p>
        </w:tc>
        <w:tc>
          <w:tcPr>
            <w:tcW w:w="8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Arial" w:cs="Arial" w:eastAsia="Arial" w:hAnsi="Arial"/>
                <w:sz w:val="17"/>
                <w:szCs w:val="17"/>
                <w:color w:val="auto"/>
              </w:rPr>
              <w:t>Average Stock Price</w:t>
            </w:r>
          </w:p>
        </w:tc>
        <w:tc>
          <w:tcPr>
            <w:tcW w:w="0" w:type="dxa"/>
            <w:vAlign w:val="bottom"/>
          </w:tcPr>
          <w:p>
            <w:pPr>
              <w:spacing w:after="0"/>
              <w:rPr>
                <w:sz w:val="1"/>
                <w:szCs w:val="1"/>
                <w:color w:val="auto"/>
              </w:rPr>
            </w:pPr>
          </w:p>
        </w:tc>
      </w:tr>
      <w:tr>
        <w:trPr>
          <w:trHeight w:val="220"/>
        </w:trPr>
        <w:tc>
          <w:tcPr>
            <w:tcW w:w="386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Time-based RSUs (Stock-Settled) </w:t>
            </w:r>
            <w:r>
              <w:rPr>
                <w:rFonts w:ascii="Arial" w:cs="Arial" w:eastAsia="Arial" w:hAnsi="Arial"/>
                <w:sz w:val="22"/>
                <w:szCs w:val="22"/>
                <w:color w:val="auto"/>
                <w:vertAlign w:val="superscript"/>
              </w:rPr>
              <w:t>2</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470,440</w:t>
            </w:r>
          </w:p>
        </w:tc>
        <w:tc>
          <w:tcPr>
            <w:tcW w:w="8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rPr>
              <w:t>February 4, 2025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25.98</w:t>
            </w:r>
          </w:p>
        </w:tc>
        <w:tc>
          <w:tcPr>
            <w:tcW w:w="80" w:type="dxa"/>
            <w:vAlign w:val="bottom"/>
            <w:shd w:val="clear" w:color="auto" w:fill="CCEEFF"/>
          </w:tcPr>
          <w:p>
            <w:pPr>
              <w:spacing w:after="0"/>
              <w:rPr>
                <w:sz w:val="19"/>
                <w:szCs w:val="19"/>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Average Stock Price</w:t>
            </w:r>
          </w:p>
        </w:tc>
        <w:tc>
          <w:tcPr>
            <w:tcW w:w="0" w:type="dxa"/>
            <w:vAlign w:val="bottom"/>
          </w:tcPr>
          <w:p>
            <w:pPr>
              <w:spacing w:after="0"/>
              <w:rPr>
                <w:sz w:val="1"/>
                <w:szCs w:val="1"/>
                <w:color w:val="auto"/>
              </w:rPr>
            </w:pPr>
          </w:p>
        </w:tc>
      </w:tr>
      <w:tr>
        <w:trPr>
          <w:trHeight w:val="299"/>
        </w:trPr>
        <w:tc>
          <w:tcPr>
            <w:tcW w:w="3860" w:type="dxa"/>
            <w:vAlign w:val="bottom"/>
            <w:gridSpan w:val="2"/>
          </w:tcPr>
          <w:p>
            <w:pPr>
              <w:ind w:left="20"/>
              <w:spacing w:after="0"/>
              <w:rPr>
                <w:sz w:val="20"/>
                <w:szCs w:val="20"/>
                <w:color w:val="auto"/>
              </w:rPr>
            </w:pPr>
            <w:r>
              <w:rPr>
                <w:rFonts w:ascii="Arial" w:cs="Arial" w:eastAsia="Arial" w:hAnsi="Arial"/>
                <w:sz w:val="17"/>
                <w:szCs w:val="17"/>
                <w:color w:val="auto"/>
              </w:rPr>
              <w:t xml:space="preserve">Time-based RSUs (Cash-Settled) </w:t>
            </w:r>
            <w:r>
              <w:rPr>
                <w:rFonts w:ascii="Arial" w:cs="Arial" w:eastAsia="Arial" w:hAnsi="Arial"/>
                <w:sz w:val="22"/>
                <w:szCs w:val="22"/>
                <w:color w:val="auto"/>
                <w:vertAlign w:val="superscript"/>
              </w:rPr>
              <w:t>2</w:t>
            </w:r>
          </w:p>
        </w:tc>
        <w:tc>
          <w:tcPr>
            <w:tcW w:w="1760" w:type="dxa"/>
            <w:vAlign w:val="bottom"/>
          </w:tcPr>
          <w:p>
            <w:pPr>
              <w:jc w:val="right"/>
              <w:spacing w:after="0"/>
              <w:rPr>
                <w:sz w:val="20"/>
                <w:szCs w:val="20"/>
                <w:color w:val="auto"/>
              </w:rPr>
            </w:pPr>
            <w:r>
              <w:rPr>
                <w:rFonts w:ascii="Arial" w:cs="Arial" w:eastAsia="Arial" w:hAnsi="Arial"/>
                <w:sz w:val="17"/>
                <w:szCs w:val="17"/>
                <w:color w:val="auto"/>
              </w:rPr>
              <w:t>771,390</w:t>
            </w:r>
          </w:p>
        </w:tc>
        <w:tc>
          <w:tcPr>
            <w:tcW w:w="80" w:type="dxa"/>
            <w:vAlign w:val="bottom"/>
          </w:tcPr>
          <w:p>
            <w:pPr>
              <w:spacing w:after="0"/>
              <w:rPr>
                <w:sz w:val="24"/>
                <w:szCs w:val="24"/>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7"/>
                <w:szCs w:val="17"/>
                <w:color w:val="auto"/>
              </w:rPr>
              <w:t>February 4, 2025</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25.98</w:t>
            </w:r>
          </w:p>
        </w:tc>
        <w:tc>
          <w:tcPr>
            <w:tcW w:w="8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7"/>
                <w:szCs w:val="17"/>
                <w:color w:val="auto"/>
              </w:rPr>
              <w:t>Average Stock Price</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160" w:right="80" w:hanging="150"/>
        <w:spacing w:after="0" w:line="223" w:lineRule="auto"/>
        <w:tabs>
          <w:tab w:leader="none" w:pos="110" w:val="left"/>
        </w:tabs>
        <w:numPr>
          <w:ilvl w:val="0"/>
          <w:numId w:val="5"/>
        </w:numPr>
        <w:rPr>
          <w:rFonts w:ascii="Arial" w:cs="Arial" w:eastAsia="Arial" w:hAnsi="Arial"/>
          <w:sz w:val="20"/>
          <w:szCs w:val="20"/>
          <w:color w:val="auto"/>
          <w:vertAlign w:val="superscript"/>
        </w:rPr>
      </w:pPr>
      <w:r>
        <w:rPr>
          <w:rFonts w:ascii="Arial" w:cs="Arial" w:eastAsia="Arial" w:hAnsi="Arial"/>
          <w:sz w:val="16"/>
          <w:szCs w:val="16"/>
          <w:color w:val="auto"/>
        </w:rPr>
        <w:t>Performance-based RSUs are tied to the achievement of Total Shareholder Return (TSR) and Return on Average Capital Employed (ROACE) performance goals and are scheduled to vest three years from the date of grant if performance conditions are met.</w:t>
      </w:r>
    </w:p>
    <w:p>
      <w:pPr>
        <w:ind w:left="100" w:hanging="90"/>
        <w:spacing w:after="0" w:line="229" w:lineRule="auto"/>
        <w:tabs>
          <w:tab w:leader="none" w:pos="100" w:val="left"/>
        </w:tabs>
        <w:numPr>
          <w:ilvl w:val="0"/>
          <w:numId w:val="6"/>
        </w:numPr>
        <w:rPr>
          <w:rFonts w:ascii="Arial" w:cs="Arial" w:eastAsia="Arial" w:hAnsi="Arial"/>
          <w:sz w:val="20"/>
          <w:szCs w:val="20"/>
          <w:color w:val="auto"/>
          <w:vertAlign w:val="superscript"/>
        </w:rPr>
      </w:pPr>
      <w:r>
        <w:rPr>
          <w:rFonts w:ascii="Arial" w:cs="Arial" w:eastAsia="Arial" w:hAnsi="Arial"/>
          <w:sz w:val="16"/>
          <w:szCs w:val="16"/>
          <w:color w:val="auto"/>
        </w:rPr>
        <w:t>Time-based RSUs generally vest on the third anniversary of the date of grant.</w:t>
      </w:r>
    </w:p>
    <w:p>
      <w:pPr>
        <w:spacing w:after="0" w:line="76" w:lineRule="exact"/>
        <w:rPr>
          <w:sz w:val="20"/>
          <w:szCs w:val="20"/>
          <w:color w:val="auto"/>
        </w:rPr>
      </w:pPr>
    </w:p>
    <w:p>
      <w:pPr>
        <w:ind w:right="300"/>
        <w:spacing w:after="0" w:line="291" w:lineRule="auto"/>
        <w:rPr>
          <w:sz w:val="20"/>
          <w:szCs w:val="20"/>
          <w:color w:val="auto"/>
        </w:rPr>
      </w:pPr>
      <w:r>
        <w:rPr>
          <w:rFonts w:ascii="Arial" w:cs="Arial" w:eastAsia="Arial" w:hAnsi="Arial"/>
          <w:sz w:val="17"/>
          <w:szCs w:val="17"/>
          <w:color w:val="auto"/>
        </w:rPr>
        <w:t>The Company also has a Stock Plan for Non-Employee Directors (NEDs) that permits the issuance of RSUs and stock options or a combination thereof to the Company’s NEDs.</w:t>
      </w:r>
    </w:p>
    <w:p>
      <w:pPr>
        <w:spacing w:after="0" w:line="43"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The Company currently has outstanding incentive awards issued to Directors under the 2021 Stock Plan for NEDs (2021 NED Plan) and the 2018 Stock Plan for NEDs. All awards on or after May 12, 2021 were made under the 2021 NED Plan.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March 31, 2025, the Committee granted the following awards to NEDs under the 2021 NED Plan:</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60" w:type="dxa"/>
            <w:vAlign w:val="bottom"/>
            <w:gridSpan w:val="2"/>
            <w:vMerge w:val="restart"/>
          </w:tcPr>
          <w:p>
            <w:pPr>
              <w:ind w:left="1260"/>
              <w:spacing w:after="0"/>
              <w:rPr>
                <w:sz w:val="20"/>
                <w:szCs w:val="20"/>
                <w:color w:val="auto"/>
              </w:rPr>
            </w:pPr>
            <w:r>
              <w:rPr>
                <w:rFonts w:ascii="Arial" w:cs="Arial" w:eastAsia="Arial" w:hAnsi="Arial"/>
                <w:sz w:val="17"/>
                <w:szCs w:val="17"/>
                <w:b w:val="1"/>
                <w:bCs w:val="1"/>
                <w:color w:val="auto"/>
              </w:rPr>
              <w:t>Type of Award</w:t>
            </w:r>
          </w:p>
        </w:tc>
        <w:tc>
          <w:tcPr>
            <w:tcW w:w="18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Number of Awards</w:t>
            </w:r>
          </w:p>
        </w:tc>
        <w:tc>
          <w:tcPr>
            <w:tcW w:w="2180" w:type="dxa"/>
            <w:vAlign w:val="bottom"/>
            <w:gridSpan w:val="2"/>
            <w:vMerge w:val="restart"/>
          </w:tcPr>
          <w:p>
            <w:pPr>
              <w:jc w:val="center"/>
              <w:ind w:right="100"/>
              <w:spacing w:after="0"/>
              <w:rPr>
                <w:sz w:val="20"/>
                <w:szCs w:val="20"/>
                <w:color w:val="auto"/>
              </w:rPr>
            </w:pPr>
            <w:r>
              <w:rPr>
                <w:rFonts w:ascii="Arial" w:cs="Arial" w:eastAsia="Arial" w:hAnsi="Arial"/>
                <w:sz w:val="17"/>
                <w:szCs w:val="17"/>
                <w:b w:val="1"/>
                <w:bCs w:val="1"/>
                <w:color w:val="auto"/>
              </w:rPr>
              <w:t>Grant Date</w:t>
            </w: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Grant Date</w:t>
            </w:r>
          </w:p>
        </w:tc>
        <w:tc>
          <w:tcPr>
            <w:tcW w:w="210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Valuation Methodology</w:t>
            </w:r>
          </w:p>
        </w:tc>
        <w:tc>
          <w:tcPr>
            <w:tcW w:w="0" w:type="dxa"/>
            <w:vAlign w:val="bottom"/>
          </w:tcPr>
          <w:p>
            <w:pPr>
              <w:spacing w:after="0"/>
              <w:rPr>
                <w:sz w:val="1"/>
                <w:szCs w:val="1"/>
                <w:color w:val="auto"/>
              </w:rPr>
            </w:pPr>
          </w:p>
        </w:tc>
      </w:tr>
      <w:tr>
        <w:trPr>
          <w:trHeight w:val="226"/>
        </w:trPr>
        <w:tc>
          <w:tcPr>
            <w:tcW w:w="3760" w:type="dxa"/>
            <w:vAlign w:val="bottom"/>
            <w:gridSpan w:val="2"/>
            <w:vMerge w:val="continue"/>
          </w:tcPr>
          <w:p>
            <w:pPr>
              <w:spacing w:after="0"/>
              <w:rPr>
                <w:sz w:val="19"/>
                <w:szCs w:val="19"/>
                <w:color w:val="auto"/>
              </w:rPr>
            </w:pPr>
          </w:p>
        </w:tc>
        <w:tc>
          <w:tcPr>
            <w:tcW w:w="186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rPr>
              <w:t>Granted</w:t>
            </w:r>
          </w:p>
        </w:tc>
        <w:tc>
          <w:tcPr>
            <w:tcW w:w="21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rPr>
              <w:t>Fair Value</w:t>
            </w:r>
          </w:p>
        </w:tc>
        <w:tc>
          <w:tcPr>
            <w:tcW w:w="2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tcBorders>
              <w:top w:val="single" w:sz="8" w:color="auto"/>
            </w:tcBorders>
            <w:shd w:val="clear" w:color="auto" w:fill="CCEEFF"/>
          </w:tcPr>
          <w:p>
            <w:pPr>
              <w:ind w:left="20"/>
              <w:spacing w:after="0" w:line="212" w:lineRule="exact"/>
              <w:rPr>
                <w:sz w:val="20"/>
                <w:szCs w:val="20"/>
                <w:color w:val="auto"/>
              </w:rPr>
            </w:pPr>
            <w:r>
              <w:rPr>
                <w:rFonts w:ascii="Arial" w:cs="Arial" w:eastAsia="Arial" w:hAnsi="Arial"/>
                <w:sz w:val="17"/>
                <w:szCs w:val="17"/>
                <w:color w:val="auto"/>
              </w:rPr>
              <w:t xml:space="preserve">Time-Based RSUs </w:t>
            </w:r>
            <w:r>
              <w:rPr>
                <w:rFonts w:ascii="Arial" w:cs="Arial" w:eastAsia="Arial" w:hAnsi="Arial"/>
                <w:sz w:val="22"/>
                <w:szCs w:val="22"/>
                <w:color w:val="auto"/>
                <w:vertAlign w:val="superscript"/>
              </w:rPr>
              <w:t>1</w:t>
            </w:r>
          </w:p>
        </w:tc>
        <w:tc>
          <w:tcPr>
            <w:tcW w:w="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74,970</w:t>
            </w:r>
          </w:p>
        </w:tc>
        <w:tc>
          <w:tcPr>
            <w:tcW w:w="10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February 5, 2025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26.68</w:t>
            </w:r>
          </w:p>
        </w:tc>
        <w:tc>
          <w:tcPr>
            <w:tcW w:w="10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Closing Stock Price</w:t>
            </w:r>
          </w:p>
        </w:tc>
        <w:tc>
          <w:tcPr>
            <w:tcW w:w="0" w:type="dxa"/>
            <w:vAlign w:val="bottom"/>
          </w:tcPr>
          <w:p>
            <w:pPr>
              <w:spacing w:after="0"/>
              <w:rPr>
                <w:sz w:val="1"/>
                <w:szCs w:val="1"/>
                <w:color w:val="auto"/>
              </w:rPr>
            </w:pPr>
          </w:p>
        </w:tc>
      </w:tr>
      <w:tr>
        <w:trPr>
          <w:trHeight w:val="304"/>
        </w:trPr>
        <w:tc>
          <w:tcPr>
            <w:tcW w:w="3760" w:type="dxa"/>
            <w:vAlign w:val="bottom"/>
            <w:gridSpan w:val="2"/>
          </w:tcPr>
          <w:p>
            <w:pPr>
              <w:ind w:left="20"/>
              <w:spacing w:after="0"/>
              <w:rPr>
                <w:sz w:val="20"/>
                <w:szCs w:val="20"/>
                <w:color w:val="auto"/>
              </w:rPr>
            </w:pPr>
            <w:r>
              <w:rPr>
                <w:rFonts w:ascii="Arial" w:cs="Arial" w:eastAsia="Arial" w:hAnsi="Arial"/>
                <w:sz w:val="17"/>
                <w:szCs w:val="17"/>
                <w:color w:val="auto"/>
              </w:rPr>
              <w:t xml:space="preserve">Time-Based RSUs </w:t>
            </w:r>
            <w:r>
              <w:rPr>
                <w:rFonts w:ascii="Arial" w:cs="Arial" w:eastAsia="Arial" w:hAnsi="Arial"/>
                <w:sz w:val="22"/>
                <w:szCs w:val="22"/>
                <w:color w:val="auto"/>
                <w:vertAlign w:val="superscript"/>
              </w:rPr>
              <w:t>2</w:t>
            </w:r>
          </w:p>
        </w:tc>
        <w:tc>
          <w:tcPr>
            <w:tcW w:w="1760" w:type="dxa"/>
            <w:vAlign w:val="bottom"/>
          </w:tcPr>
          <w:p>
            <w:pPr>
              <w:jc w:val="right"/>
              <w:spacing w:after="0"/>
              <w:rPr>
                <w:sz w:val="20"/>
                <w:szCs w:val="20"/>
                <w:color w:val="auto"/>
              </w:rPr>
            </w:pPr>
            <w:r>
              <w:rPr>
                <w:rFonts w:ascii="Arial" w:cs="Arial" w:eastAsia="Arial" w:hAnsi="Arial"/>
                <w:sz w:val="17"/>
                <w:szCs w:val="17"/>
                <w:color w:val="auto"/>
              </w:rPr>
              <w:t>2,114</w:t>
            </w:r>
          </w:p>
        </w:tc>
        <w:tc>
          <w:tcPr>
            <w:tcW w:w="100" w:type="dxa"/>
            <w:vAlign w:val="bottom"/>
          </w:tcPr>
          <w:p>
            <w:pPr>
              <w:spacing w:after="0"/>
              <w:rPr>
                <w:sz w:val="24"/>
                <w:szCs w:val="24"/>
                <w:color w:val="auto"/>
              </w:rPr>
            </w:pPr>
          </w:p>
        </w:tc>
        <w:tc>
          <w:tcPr>
            <w:tcW w:w="2180" w:type="dxa"/>
            <w:vAlign w:val="bottom"/>
            <w:gridSpan w:val="2"/>
          </w:tcPr>
          <w:p>
            <w:pPr>
              <w:jc w:val="center"/>
              <w:ind w:right="100"/>
              <w:spacing w:after="0"/>
              <w:rPr>
                <w:sz w:val="20"/>
                <w:szCs w:val="20"/>
                <w:color w:val="auto"/>
              </w:rPr>
            </w:pPr>
            <w:r>
              <w:rPr>
                <w:rFonts w:ascii="Arial" w:cs="Arial" w:eastAsia="Arial" w:hAnsi="Arial"/>
                <w:sz w:val="17"/>
                <w:szCs w:val="17"/>
                <w:color w:val="auto"/>
              </w:rPr>
              <w:t>March 31, 2025</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28.40</w:t>
            </w:r>
          </w:p>
        </w:tc>
        <w:tc>
          <w:tcPr>
            <w:tcW w:w="10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Arial" w:cs="Arial" w:eastAsia="Arial" w:hAnsi="Arial"/>
                <w:sz w:val="17"/>
                <w:szCs w:val="17"/>
                <w:color w:val="auto"/>
              </w:rPr>
              <w:t>Closing Stock Price</w:t>
            </w:r>
          </w:p>
        </w:tc>
        <w:tc>
          <w:tcPr>
            <w:tcW w:w="0" w:type="dxa"/>
            <w:vAlign w:val="bottom"/>
          </w:tcPr>
          <w:p>
            <w:pPr>
              <w:spacing w:after="0"/>
              <w:rPr>
                <w:sz w:val="1"/>
                <w:szCs w:val="1"/>
                <w:color w:val="auto"/>
              </w:rPr>
            </w:pPr>
          </w:p>
        </w:tc>
      </w:tr>
    </w:tbl>
    <w:p>
      <w:pPr>
        <w:spacing w:after="0" w:line="97" w:lineRule="exact"/>
        <w:rPr>
          <w:sz w:val="20"/>
          <w:szCs w:val="20"/>
          <w:color w:val="auto"/>
        </w:rPr>
      </w:pPr>
    </w:p>
    <w:p>
      <w:pPr>
        <w:jc w:val="both"/>
        <w:ind w:left="160" w:right="120" w:hanging="150"/>
        <w:spacing w:after="0" w:line="232" w:lineRule="auto"/>
        <w:tabs>
          <w:tab w:leader="none" w:pos="110" w:val="left"/>
        </w:tabs>
        <w:numPr>
          <w:ilvl w:val="0"/>
          <w:numId w:val="7"/>
        </w:numPr>
        <w:rPr>
          <w:rFonts w:ascii="Arial" w:cs="Arial" w:eastAsia="Arial" w:hAnsi="Arial"/>
          <w:sz w:val="20"/>
          <w:szCs w:val="20"/>
          <w:color w:val="auto"/>
          <w:vertAlign w:val="superscript"/>
        </w:rPr>
      </w:pPr>
      <w:r>
        <w:rPr>
          <w:rFonts w:ascii="Arial" w:cs="Arial" w:eastAsia="Arial" w:hAnsi="Arial"/>
          <w:sz w:val="16"/>
          <w:szCs w:val="16"/>
          <w:color w:val="auto"/>
        </w:rPr>
        <w:t>NED’s time-based RSUs are scheduled to vest on the first anniversary of the date of grant. NEDs may elect to defer settlement of their vested time-based RSUs until (1) termination of service from the Board or (2) a future date selected by the director at the time of their deferral election. These unvested time-based RSUs are included in the table above, will vest in one year, and become deferred RSUs.</w:t>
      </w:r>
    </w:p>
    <w:p>
      <w:pPr>
        <w:spacing w:after="0" w:line="16" w:lineRule="exact"/>
        <w:rPr>
          <w:sz w:val="20"/>
          <w:szCs w:val="20"/>
          <w:color w:val="auto"/>
        </w:rPr>
      </w:pPr>
    </w:p>
    <w:p>
      <w:pPr>
        <w:ind w:left="160" w:hanging="150"/>
        <w:spacing w:after="0" w:line="233" w:lineRule="auto"/>
        <w:tabs>
          <w:tab w:leader="none" w:pos="110" w:val="left"/>
        </w:tabs>
        <w:numPr>
          <w:ilvl w:val="0"/>
          <w:numId w:val="8"/>
        </w:numPr>
        <w:rPr>
          <w:rFonts w:ascii="Arial" w:cs="Arial" w:eastAsia="Arial" w:hAnsi="Arial"/>
          <w:sz w:val="20"/>
          <w:szCs w:val="20"/>
          <w:color w:val="auto"/>
          <w:vertAlign w:val="superscript"/>
        </w:rPr>
      </w:pPr>
      <w:r>
        <w:rPr>
          <w:rFonts w:ascii="Arial" w:cs="Arial" w:eastAsia="Arial" w:hAnsi="Arial"/>
          <w:sz w:val="16"/>
          <w:szCs w:val="16"/>
          <w:color w:val="auto"/>
        </w:rPr>
        <w:t>Effective January 1, 2024, NEDs can elect to receive their annual retainers in the form of deferred RSUs. Director fees which are deferred into RSUs are calculated and expensed each quarter by taking fees earned in respect of the applicable quarter and dividing by the closing price of our common stock on the last trading day of the quarter. Each deferred RSU represents the right to receive one share of common stock following (1) termination of service from the Board or (2) a future date selected by the director at the time of their deferral election.</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Amounts recognized in the financial statements with respect to share-based plans are shown in the following table: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4"/>
          </w:tcPr>
          <w:p>
            <w:pPr>
              <w:jc w:val="center"/>
              <w:ind w:right="234"/>
              <w:spacing w:after="0"/>
              <w:rPr>
                <w:sz w:val="20"/>
                <w:szCs w:val="20"/>
                <w:color w:val="auto"/>
              </w:rPr>
            </w:pPr>
            <w:r>
              <w:rPr>
                <w:rFonts w:ascii="Arial" w:cs="Arial" w:eastAsia="Arial" w:hAnsi="Arial"/>
                <w:sz w:val="17"/>
                <w:szCs w:val="17"/>
                <w:b w:val="1"/>
                <w:bCs w:val="1"/>
                <w:color w:val="auto"/>
              </w:rPr>
              <w:t>Three Months Ended</w:t>
            </w:r>
          </w:p>
        </w:tc>
      </w:tr>
      <w:tr>
        <w:trPr>
          <w:trHeight w:val="233"/>
        </w:trPr>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left="634"/>
              <w:spacing w:after="0"/>
              <w:rPr>
                <w:sz w:val="20"/>
                <w:szCs w:val="20"/>
                <w:color w:val="auto"/>
              </w:rPr>
            </w:pPr>
            <w:r>
              <w:rPr>
                <w:rFonts w:ascii="Arial" w:cs="Arial" w:eastAsia="Arial" w:hAnsi="Arial"/>
                <w:sz w:val="17"/>
                <w:szCs w:val="17"/>
                <w:b w:val="1"/>
                <w:bCs w:val="1"/>
                <w:color w:val="auto"/>
                <w:w w:val="99"/>
              </w:rPr>
              <w:t>March 31,</w:t>
            </w:r>
          </w:p>
        </w:tc>
        <w:tc>
          <w:tcPr>
            <w:tcW w:w="1040" w:type="dxa"/>
            <w:vAlign w:val="bottom"/>
            <w:tcBorders>
              <w:bottom w:val="single" w:sz="8" w:color="auto"/>
            </w:tcBorders>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8120" w:type="dxa"/>
            <w:vAlign w:val="bottom"/>
            <w:gridSpan w:val="2"/>
          </w:tcPr>
          <w:p>
            <w:pPr>
              <w:spacing w:after="0" w:line="174" w:lineRule="exact"/>
              <w:rPr>
                <w:sz w:val="20"/>
                <w:szCs w:val="20"/>
                <w:color w:val="auto"/>
              </w:rPr>
            </w:pPr>
            <w:r>
              <w:rPr>
                <w:rFonts w:ascii="Arial" w:cs="Arial" w:eastAsia="Arial" w:hAnsi="Arial"/>
                <w:sz w:val="17"/>
                <w:szCs w:val="17"/>
                <w:i w:val="1"/>
                <w:iCs w:val="1"/>
                <w:color w:val="auto"/>
              </w:rPr>
              <w:t>(Thousands of dollars)</w:t>
            </w:r>
          </w:p>
        </w:tc>
        <w:tc>
          <w:tcPr>
            <w:tcW w:w="320" w:type="dxa"/>
            <w:vAlign w:val="bottom"/>
          </w:tcPr>
          <w:p>
            <w:pPr>
              <w:spacing w:after="0"/>
              <w:rPr>
                <w:sz w:val="15"/>
                <w:szCs w:val="15"/>
                <w:color w:val="auto"/>
              </w:rPr>
            </w:pPr>
          </w:p>
        </w:tc>
        <w:tc>
          <w:tcPr>
            <w:tcW w:w="1180" w:type="dxa"/>
            <w:vAlign w:val="bottom"/>
          </w:tcPr>
          <w:p>
            <w:pPr>
              <w:jc w:val="right"/>
              <w:ind w:right="474"/>
              <w:spacing w:after="0" w:line="174" w:lineRule="exact"/>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jc w:val="right"/>
              <w:ind w:right="474"/>
              <w:spacing w:after="0" w:line="174" w:lineRule="exact"/>
              <w:rPr>
                <w:sz w:val="20"/>
                <w:szCs w:val="20"/>
                <w:color w:val="auto"/>
              </w:rPr>
            </w:pPr>
            <w:r>
              <w:rPr>
                <w:rFonts w:ascii="Arial" w:cs="Arial" w:eastAsia="Arial" w:hAnsi="Arial"/>
                <w:sz w:val="17"/>
                <w:szCs w:val="17"/>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Compensation charged against income before tax benefit</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8,864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8,937</w:t>
            </w:r>
          </w:p>
        </w:tc>
      </w:tr>
      <w:tr>
        <w:trPr>
          <w:trHeight w:val="238"/>
        </w:trPr>
        <w:tc>
          <w:tcPr>
            <w:tcW w:w="20" w:type="dxa"/>
            <w:vAlign w:val="bottom"/>
          </w:tcPr>
          <w:p>
            <w:pPr>
              <w:spacing w:after="0"/>
              <w:rPr>
                <w:sz w:val="20"/>
                <w:szCs w:val="20"/>
                <w:color w:val="auto"/>
              </w:rPr>
            </w:pPr>
          </w:p>
        </w:tc>
        <w:tc>
          <w:tcPr>
            <w:tcW w:w="8120" w:type="dxa"/>
            <w:vAlign w:val="bottom"/>
            <w:gridSpan w:val="2"/>
          </w:tcPr>
          <w:p>
            <w:pPr>
              <w:spacing w:after="0"/>
              <w:rPr>
                <w:sz w:val="20"/>
                <w:szCs w:val="20"/>
                <w:color w:val="auto"/>
              </w:rPr>
            </w:pPr>
            <w:r>
              <w:rPr>
                <w:rFonts w:ascii="Arial" w:cs="Arial" w:eastAsia="Arial" w:hAnsi="Arial"/>
                <w:sz w:val="17"/>
                <w:szCs w:val="17"/>
                <w:color w:val="auto"/>
              </w:rPr>
              <w:t>Related income tax benefit recognized in income</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1,175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1,014</w:t>
            </w:r>
          </w:p>
        </w:tc>
      </w:tr>
    </w:tbl>
    <w:p>
      <w:pPr>
        <w:spacing w:after="0" w:line="146"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Certain incentive compensation granted to the Company’s named executive officers, to the extent their total compensation exceeds $1.0 million per executive per year, is not eligible for a U.S. income tax deduction under the Tax Cuts and Jobs Act (2017 Tax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J – Net Income (Loss) Per Common Share</w:t>
      </w:r>
    </w:p>
    <w:p>
      <w:pPr>
        <w:spacing w:after="0" w:line="117"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color w:val="auto"/>
        </w:rPr>
        <w:t>Net income attributable to Murphy was used as the numerator in computing both basic and diluted income per common share for the three-month periods ended March 31, 2025 and 2024. The following table reconciles the weighted-average shares outstanding used for these computations.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3080" w:type="dxa"/>
            <w:vAlign w:val="bottom"/>
            <w:gridSpan w:val="4"/>
          </w:tcPr>
          <w:p>
            <w:pPr>
              <w:jc w:val="center"/>
              <w:spacing w:after="0"/>
              <w:rPr>
                <w:sz w:val="20"/>
                <w:szCs w:val="20"/>
                <w:color w:val="auto"/>
              </w:rPr>
            </w:pPr>
            <w:r>
              <w:rPr>
                <w:rFonts w:ascii="Arial" w:cs="Arial" w:eastAsia="Arial" w:hAnsi="Arial"/>
                <w:sz w:val="17"/>
                <w:szCs w:val="17"/>
                <w:b w:val="1"/>
                <w:bCs w:val="1"/>
                <w:color w:val="auto"/>
              </w:rPr>
              <w:t>Three Months Ended</w:t>
            </w:r>
          </w:p>
        </w:tc>
      </w:tr>
      <w:tr>
        <w:trPr>
          <w:trHeight w:val="233"/>
        </w:trPr>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00" w:type="dxa"/>
            <w:vAlign w:val="bottom"/>
            <w:tcBorders>
              <w:bottom w:val="single" w:sz="8" w:color="auto"/>
            </w:tcBorders>
            <w:gridSpan w:val="3"/>
          </w:tcPr>
          <w:p>
            <w:pPr>
              <w:jc w:val="center"/>
              <w:ind w:left="994"/>
              <w:spacing w:after="0"/>
              <w:rPr>
                <w:sz w:val="20"/>
                <w:szCs w:val="20"/>
                <w:color w:val="auto"/>
              </w:rPr>
            </w:pPr>
            <w:r>
              <w:rPr>
                <w:rFonts w:ascii="Arial" w:cs="Arial" w:eastAsia="Arial" w:hAnsi="Arial"/>
                <w:sz w:val="17"/>
                <w:szCs w:val="17"/>
                <w:b w:val="1"/>
                <w:bCs w:val="1"/>
                <w:color w:val="auto"/>
              </w:rPr>
              <w:t>March 31,</w:t>
            </w:r>
          </w:p>
        </w:tc>
        <w:tc>
          <w:tcPr>
            <w:tcW w:w="1080" w:type="dxa"/>
            <w:vAlign w:val="bottom"/>
            <w:tcBorders>
              <w:bottom w:val="single" w:sz="8" w:color="auto"/>
            </w:tcBorders>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8140" w:type="dxa"/>
            <w:vAlign w:val="bottom"/>
            <w:gridSpan w:val="2"/>
          </w:tcPr>
          <w:p>
            <w:pPr>
              <w:spacing w:after="0" w:line="174" w:lineRule="exact"/>
              <w:rPr>
                <w:sz w:val="20"/>
                <w:szCs w:val="20"/>
                <w:color w:val="auto"/>
              </w:rPr>
            </w:pPr>
            <w:r>
              <w:rPr>
                <w:rFonts w:ascii="Arial" w:cs="Arial" w:eastAsia="Arial" w:hAnsi="Arial"/>
                <w:sz w:val="17"/>
                <w:szCs w:val="17"/>
                <w:i w:val="1"/>
                <w:iCs w:val="1"/>
                <w:color w:val="auto"/>
              </w:rPr>
              <w:t>(Weighted-average shares)</w:t>
            </w:r>
          </w:p>
        </w:tc>
        <w:tc>
          <w:tcPr>
            <w:tcW w:w="1500" w:type="dxa"/>
            <w:vAlign w:val="bottom"/>
          </w:tcPr>
          <w:p>
            <w:pPr>
              <w:jc w:val="right"/>
              <w:ind w:right="474"/>
              <w:spacing w:after="0" w:line="174" w:lineRule="exact"/>
              <w:rPr>
                <w:sz w:val="20"/>
                <w:szCs w:val="20"/>
                <w:color w:val="auto"/>
              </w:rPr>
            </w:pPr>
            <w:r>
              <w:rPr>
                <w:rFonts w:ascii="Arial" w:cs="Arial" w:eastAsia="Arial" w:hAnsi="Arial"/>
                <w:sz w:val="17"/>
                <w:szCs w:val="17"/>
                <w:b w:val="1"/>
                <w:bCs w:val="1"/>
                <w:color w:val="auto"/>
              </w:rPr>
              <w:t>2025</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jc w:val="right"/>
              <w:ind w:right="474"/>
              <w:spacing w:after="0" w:line="174" w:lineRule="exact"/>
              <w:rPr>
                <w:sz w:val="20"/>
                <w:szCs w:val="20"/>
                <w:color w:val="auto"/>
              </w:rPr>
            </w:pPr>
            <w:r>
              <w:rPr>
                <w:rFonts w:ascii="Arial" w:cs="Arial" w:eastAsia="Arial" w:hAnsi="Arial"/>
                <w:sz w:val="17"/>
                <w:szCs w:val="17"/>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Basic method</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144,283,946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152,664,422</w:t>
            </w:r>
          </w:p>
        </w:tc>
      </w:tr>
      <w:tr>
        <w:trPr>
          <w:trHeight w:val="220"/>
        </w:trPr>
        <w:tc>
          <w:tcPr>
            <w:tcW w:w="20" w:type="dxa"/>
            <w:vAlign w:val="bottom"/>
            <w:tcBorders>
              <w:bottom w:val="single" w:sz="8" w:color="CCEEFF"/>
            </w:tcBorders>
          </w:tcPr>
          <w:p>
            <w:pPr>
              <w:spacing w:after="0"/>
              <w:rPr>
                <w:sz w:val="19"/>
                <w:szCs w:val="19"/>
                <w:color w:val="auto"/>
              </w:rPr>
            </w:pPr>
          </w:p>
        </w:tc>
        <w:tc>
          <w:tcPr>
            <w:tcW w:w="81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Dilutive stock options and restricted stock units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788,142</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1,152,204</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81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Diluted method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145,072,088</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153,816,626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60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K – Income Taxes</w:t>
      </w:r>
    </w:p>
    <w:p>
      <w:pPr>
        <w:spacing w:after="0" w:line="117"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The Company’s effective income tax rate is calculated as the amount of income tax expense (benefit) divided by income (loss) from continuing operations before income taxes. For the three-month periods ended March 31, 2025 and 2024, the Company’s effective income tax rates were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16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2025</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rPr>
              <w:t>2024</w:t>
            </w:r>
          </w:p>
        </w:tc>
      </w:tr>
      <w:tr>
        <w:trPr>
          <w:trHeight w:val="213"/>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Three months ended March 31,</w:t>
            </w:r>
          </w:p>
        </w:tc>
        <w:tc>
          <w:tcPr>
            <w:tcW w:w="1500" w:type="dxa"/>
            <w:vAlign w:val="bottom"/>
            <w:shd w:val="clear" w:color="auto" w:fill="CCEEFF"/>
          </w:tcPr>
          <w:p>
            <w:pPr>
              <w:jc w:val="right"/>
              <w:ind w:right="414"/>
              <w:spacing w:after="0"/>
              <w:rPr>
                <w:sz w:val="20"/>
                <w:szCs w:val="20"/>
                <w:color w:val="auto"/>
              </w:rPr>
            </w:pPr>
            <w:r>
              <w:rPr>
                <w:rFonts w:ascii="Arial" w:cs="Arial" w:eastAsia="Arial" w:hAnsi="Arial"/>
                <w:sz w:val="17"/>
                <w:szCs w:val="17"/>
                <w:b w:val="1"/>
                <w:bCs w:val="1"/>
                <w:color w:val="auto"/>
              </w:rPr>
              <w:t>26.7%</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rPr>
              <w:t>20.6%</w:t>
            </w:r>
          </w:p>
        </w:tc>
      </w:tr>
    </w:tbl>
    <w:p>
      <w:pPr>
        <w:spacing w:after="0" w:line="164"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The effective tax rate for the three-month period ended March 31, 2025 was above the U.S. statutory tax rate of 21% primarily due to several factors including: the effects of income generated in foreign tax jurisdictions, certain of which have income tax rates higher than the U.S. Federal rate; U.S. state tax expense; stock-based compensation; and certain expenses, including exploration and other expenses in certain foreign jurisdictions, for which no income tax benefits are currently available. These impacts were partially offset by no tax applied to the pretax income of the noncontrolling interest in MP GOM.</w:t>
      </w:r>
    </w:p>
    <w:p>
      <w:pPr>
        <w:spacing w:after="0" w:line="195"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The effective tax rate for the three-month period ended March 31, 2024 was below the U.S. statutory tax rate of 21% primarily due to no tax applied to the pretax income of the noncontrolling interest in MP GOM, and partially offset by several factors, including: the effects of income generated in foreign tax jurisdictions, certain of which have income tax rates higher than the U.S. Federal rate; U.S. state tax expense; and certain expenses, including exploration and other expenses in certain foreign jurisdictions, for which no income tax benefits are currently available.</w:t>
      </w:r>
    </w:p>
    <w:p>
      <w:pPr>
        <w:spacing w:after="0" w:line="64"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The Company’s tax returns in multiple jurisdictions are subject to audit by taxing authorities. These audits often take years to complete and settle. Although the Company believes that recorded liabilities for unsettled issues are adequate, additional gains or losses could occur in future years from resolution of outstanding unsettled matters. Additionally, the Company could be required to pay amounts into an escrow account as any matters are identified and appealed with the relevant taxing authorities. As of March 31, 2025, the earliest years remaining open for audit and/or settlement in our major taxing jurisdictions are as follows: U.S. – 2016; Canada – 2016; and Malaysia – 2018. The Company has retained certain possible liabilities and rights to income tax receivables relating to Malaysia for the years prior to 2019.</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L – Financial Instruments and Risk Management</w:t>
      </w:r>
    </w:p>
    <w:p>
      <w:pPr>
        <w:spacing w:after="0" w:line="117"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Murphy, at times, uses derivative instruments to manage certain risks related to commodity prices, foreign currency exchange rates and interest rates. The use of derivative instruments for risk management is covered by operating policies and is closely monitored by the Company’s senior management. The Company does not hold any derivatives for speculative purposes, and it does not use derivatives with leveraged or complex features. Derivative instruments are traded with creditworthy major financial institutions or over national exchanges such as the New York Mercantile Exchange (NYMEX). The Company has a risk management control system to monitor commodity price risks and any derivatives obtained to manage a portion of such risks. For accounting purposes, the Company has not designated commodity and foreign currency derivative contracts as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L – Financial Instruments and Risk Management (Continued)</w:t>
      </w:r>
    </w:p>
    <w:p>
      <w:pPr>
        <w:spacing w:after="0" w:line="200" w:lineRule="exact"/>
        <w:rPr>
          <w:sz w:val="20"/>
          <w:szCs w:val="20"/>
          <w:color w:val="auto"/>
        </w:rPr>
      </w:pPr>
    </w:p>
    <w:p>
      <w:pPr>
        <w:spacing w:after="0" w:line="291" w:lineRule="exact"/>
        <w:rPr>
          <w:sz w:val="20"/>
          <w:szCs w:val="20"/>
          <w:color w:val="auto"/>
        </w:rPr>
      </w:pPr>
    </w:p>
    <w:p>
      <w:pPr>
        <w:ind w:right="1200"/>
        <w:spacing w:after="0" w:line="380" w:lineRule="auto"/>
        <w:rPr>
          <w:sz w:val="20"/>
          <w:szCs w:val="20"/>
          <w:color w:val="auto"/>
        </w:rPr>
      </w:pPr>
      <w:r>
        <w:rPr>
          <w:rFonts w:ascii="Arial" w:cs="Arial" w:eastAsia="Arial" w:hAnsi="Arial"/>
          <w:sz w:val="17"/>
          <w:szCs w:val="17"/>
          <w:color w:val="auto"/>
        </w:rPr>
        <w:t xml:space="preserve">hedges, and therefore, it recognizes all gains and losses on these derivative contracts in its Consolidated Statements of Operations. </w:t>
      </w:r>
      <w:r>
        <w:rPr>
          <w:rFonts w:ascii="Arial" w:cs="Arial" w:eastAsia="Arial" w:hAnsi="Arial"/>
          <w:sz w:val="17"/>
          <w:szCs w:val="17"/>
          <w:u w:val="single" w:color="auto"/>
          <w:color w:val="auto"/>
        </w:rPr>
        <w:t>Foreign Currency Exchange Risks</w:t>
      </w:r>
    </w:p>
    <w:p>
      <w:pPr>
        <w:spacing w:after="0" w:line="1"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The Company is subject to foreign currency exchange risk associated with operations in countries outside the U.S. The Company had no foreign currency exchange derivatives outstanding at March 31, 2025 and 2024.</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Commodity Price Risks</w:t>
      </w:r>
    </w:p>
    <w:p>
      <w:pPr>
        <w:spacing w:after="0" w:line="115" w:lineRule="exact"/>
        <w:rPr>
          <w:sz w:val="20"/>
          <w:szCs w:val="20"/>
          <w:color w:val="auto"/>
        </w:rPr>
      </w:pPr>
    </w:p>
    <w:p>
      <w:pPr>
        <w:jc w:val="both"/>
        <w:ind w:right="420"/>
        <w:spacing w:after="0" w:line="272" w:lineRule="auto"/>
        <w:rPr>
          <w:sz w:val="20"/>
          <w:szCs w:val="20"/>
          <w:color w:val="auto"/>
        </w:rPr>
      </w:pPr>
      <w:r>
        <w:rPr>
          <w:rFonts w:ascii="Arial" w:cs="Arial" w:eastAsia="Arial" w:hAnsi="Arial"/>
          <w:sz w:val="17"/>
          <w:szCs w:val="17"/>
          <w:color w:val="auto"/>
        </w:rPr>
        <w:t>The Company is subject to commodity price risk related to products it produces and sells. During the three months ended March 31, 2025, the Company entered into natural gas swap contracts. Under the swaps contracts, which mature monthly, the Company pays the average monthly price in effect and receives the fixed contract price on a notional amount of sales volume, thereby fixing the price for the commodity sold.</w:t>
      </w:r>
    </w:p>
    <w:p>
      <w:pPr>
        <w:spacing w:after="0" w:line="59" w:lineRule="exact"/>
        <w:rPr>
          <w:sz w:val="20"/>
          <w:szCs w:val="20"/>
          <w:color w:val="auto"/>
        </w:rPr>
      </w:pPr>
    </w:p>
    <w:p>
      <w:pPr>
        <w:ind w:right="620"/>
        <w:spacing w:after="0" w:line="291" w:lineRule="auto"/>
        <w:rPr>
          <w:sz w:val="20"/>
          <w:szCs w:val="20"/>
          <w:color w:val="auto"/>
        </w:rPr>
      </w:pPr>
      <w:r>
        <w:rPr>
          <w:rFonts w:ascii="Arial" w:cs="Arial" w:eastAsia="Arial" w:hAnsi="Arial"/>
          <w:sz w:val="17"/>
          <w:szCs w:val="17"/>
          <w:color w:val="auto"/>
        </w:rPr>
        <w:t>At March 31, 2025, volumes per day associated with outstanding natural gas derivative contracts and the weighted average prices for these contracts are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NYMEX Henry Hub</w:t>
            </w:r>
          </w:p>
        </w:tc>
        <w:tc>
          <w:tcPr>
            <w:tcW w:w="1340" w:type="dxa"/>
            <w:vAlign w:val="bottom"/>
            <w:tcBorders>
              <w:bottom w:val="single" w:sz="8" w:color="auto"/>
            </w:tcBorders>
          </w:tcPr>
          <w:p>
            <w:pPr>
              <w:ind w:left="340"/>
              <w:spacing w:after="0"/>
              <w:rPr>
                <w:sz w:val="20"/>
                <w:szCs w:val="20"/>
                <w:color w:val="auto"/>
              </w:rPr>
            </w:pPr>
            <w:r>
              <w:rPr>
                <w:rFonts w:ascii="Arial" w:cs="Arial" w:eastAsia="Arial" w:hAnsi="Arial"/>
                <w:sz w:val="17"/>
                <w:szCs w:val="17"/>
                <w:b w:val="1"/>
                <w:bCs w:val="1"/>
                <w:color w:val="auto"/>
              </w:rPr>
              <w:t>Area</w:t>
            </w: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Commodity</w:t>
            </w:r>
          </w:p>
        </w:tc>
        <w:tc>
          <w:tcPr>
            <w:tcW w:w="1600" w:type="dxa"/>
            <w:vAlign w:val="bottom"/>
            <w:tcBorders>
              <w:bottom w:val="single" w:sz="8" w:color="auto"/>
            </w:tcBorders>
          </w:tcPr>
          <w:p>
            <w:pPr>
              <w:ind w:left="140"/>
              <w:spacing w:after="0"/>
              <w:rPr>
                <w:sz w:val="20"/>
                <w:szCs w:val="20"/>
                <w:color w:val="auto"/>
              </w:rPr>
            </w:pPr>
            <w:r>
              <w:rPr>
                <w:rFonts w:ascii="Arial" w:cs="Arial" w:eastAsia="Arial" w:hAnsi="Arial"/>
                <w:sz w:val="17"/>
                <w:szCs w:val="17"/>
                <w:b w:val="1"/>
                <w:bCs w:val="1"/>
                <w:color w:val="auto"/>
              </w:rPr>
              <w:t>Volumes MMCF/d</w:t>
            </w: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Price/MCF</w:t>
            </w:r>
          </w:p>
        </w:tc>
        <w:tc>
          <w:tcPr>
            <w:tcW w:w="124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Start Date</w:t>
            </w:r>
          </w:p>
        </w:tc>
        <w:tc>
          <w:tcPr>
            <w:tcW w:w="11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End Date</w:t>
            </w:r>
          </w:p>
        </w:tc>
      </w:tr>
      <w:tr>
        <w:trPr>
          <w:trHeight w:val="213"/>
        </w:trPr>
        <w:tc>
          <w:tcPr>
            <w:tcW w:w="3020" w:type="dxa"/>
            <w:vAlign w:val="bottom"/>
            <w:shd w:val="clear" w:color="auto" w:fill="CCEEFF"/>
          </w:tcPr>
          <w:p>
            <w:pPr>
              <w:ind w:left="740"/>
              <w:spacing w:after="0"/>
              <w:rPr>
                <w:sz w:val="20"/>
                <w:szCs w:val="20"/>
                <w:color w:val="auto"/>
              </w:rPr>
            </w:pPr>
            <w:r>
              <w:rPr>
                <w:rFonts w:ascii="Arial" w:cs="Arial" w:eastAsia="Arial" w:hAnsi="Arial"/>
                <w:sz w:val="17"/>
                <w:szCs w:val="17"/>
                <w:color w:val="auto"/>
              </w:rPr>
              <w:t>Fixed price derivative swap</w:t>
            </w:r>
          </w:p>
        </w:tc>
        <w:tc>
          <w:tcPr>
            <w:tcW w:w="13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United States</w:t>
            </w:r>
          </w:p>
        </w:tc>
        <w:tc>
          <w:tcPr>
            <w:tcW w:w="13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Natural Gas</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3.58</w:t>
            </w:r>
          </w:p>
        </w:tc>
        <w:tc>
          <w:tcPr>
            <w:tcW w:w="1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4/1/2025</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6/30/2025</w:t>
            </w:r>
          </w:p>
        </w:tc>
      </w:tr>
      <w:tr>
        <w:trPr>
          <w:trHeight w:val="220"/>
        </w:trPr>
        <w:tc>
          <w:tcPr>
            <w:tcW w:w="3020" w:type="dxa"/>
            <w:vAlign w:val="bottom"/>
          </w:tcPr>
          <w:p>
            <w:pPr>
              <w:ind w:left="740"/>
              <w:spacing w:after="0"/>
              <w:rPr>
                <w:sz w:val="20"/>
                <w:szCs w:val="20"/>
                <w:color w:val="auto"/>
              </w:rPr>
            </w:pPr>
            <w:r>
              <w:rPr>
                <w:rFonts w:ascii="Arial" w:cs="Arial" w:eastAsia="Arial" w:hAnsi="Arial"/>
                <w:sz w:val="17"/>
                <w:szCs w:val="17"/>
                <w:color w:val="auto"/>
              </w:rPr>
              <w:t>Fixed price derivative swap</w:t>
            </w:r>
          </w:p>
        </w:tc>
        <w:tc>
          <w:tcPr>
            <w:tcW w:w="1340" w:type="dxa"/>
            <w:vAlign w:val="bottom"/>
          </w:tcPr>
          <w:p>
            <w:pPr>
              <w:ind w:left="200"/>
              <w:spacing w:after="0"/>
              <w:rPr>
                <w:sz w:val="20"/>
                <w:szCs w:val="20"/>
                <w:color w:val="auto"/>
              </w:rPr>
            </w:pPr>
            <w:r>
              <w:rPr>
                <w:rFonts w:ascii="Arial" w:cs="Arial" w:eastAsia="Arial" w:hAnsi="Arial"/>
                <w:sz w:val="17"/>
                <w:szCs w:val="17"/>
                <w:color w:val="auto"/>
              </w:rPr>
              <w:t>United States</w:t>
            </w:r>
          </w:p>
        </w:tc>
        <w:tc>
          <w:tcPr>
            <w:tcW w:w="1360" w:type="dxa"/>
            <w:vAlign w:val="bottom"/>
          </w:tcPr>
          <w:p>
            <w:pPr>
              <w:ind w:left="300"/>
              <w:spacing w:after="0"/>
              <w:rPr>
                <w:sz w:val="20"/>
                <w:szCs w:val="20"/>
                <w:color w:val="auto"/>
              </w:rPr>
            </w:pPr>
            <w:r>
              <w:rPr>
                <w:rFonts w:ascii="Arial" w:cs="Arial" w:eastAsia="Arial" w:hAnsi="Arial"/>
                <w:sz w:val="17"/>
                <w:szCs w:val="17"/>
                <w:color w:val="auto"/>
              </w:rPr>
              <w:t>Natural Gas</w:t>
            </w:r>
          </w:p>
        </w:tc>
        <w:tc>
          <w:tcPr>
            <w:tcW w:w="16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60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4"/>
              <w:spacing w:after="0"/>
              <w:rPr>
                <w:sz w:val="20"/>
                <w:szCs w:val="20"/>
                <w:color w:val="auto"/>
              </w:rPr>
            </w:pPr>
            <w:r>
              <w:rPr>
                <w:rFonts w:ascii="Arial" w:cs="Arial" w:eastAsia="Arial" w:hAnsi="Arial"/>
                <w:sz w:val="17"/>
                <w:szCs w:val="17"/>
                <w:color w:val="auto"/>
              </w:rPr>
              <w:t>3.65</w:t>
            </w:r>
          </w:p>
        </w:tc>
        <w:tc>
          <w:tcPr>
            <w:tcW w:w="1240" w:type="dxa"/>
            <w:vAlign w:val="bottom"/>
          </w:tcPr>
          <w:p>
            <w:pPr>
              <w:jc w:val="right"/>
              <w:ind w:right="54"/>
              <w:spacing w:after="0"/>
              <w:rPr>
                <w:sz w:val="20"/>
                <w:szCs w:val="20"/>
                <w:color w:val="auto"/>
              </w:rPr>
            </w:pPr>
            <w:r>
              <w:rPr>
                <w:rFonts w:ascii="Arial" w:cs="Arial" w:eastAsia="Arial" w:hAnsi="Arial"/>
                <w:sz w:val="17"/>
                <w:szCs w:val="17"/>
                <w:color w:val="auto"/>
              </w:rPr>
              <w:t>7/1/2025</w:t>
            </w:r>
          </w:p>
        </w:tc>
        <w:tc>
          <w:tcPr>
            <w:tcW w:w="1160" w:type="dxa"/>
            <w:vAlign w:val="bottom"/>
          </w:tcPr>
          <w:p>
            <w:pPr>
              <w:jc w:val="right"/>
              <w:spacing w:after="0"/>
              <w:rPr>
                <w:sz w:val="20"/>
                <w:szCs w:val="20"/>
                <w:color w:val="auto"/>
              </w:rPr>
            </w:pPr>
            <w:r>
              <w:rPr>
                <w:rFonts w:ascii="Arial" w:cs="Arial" w:eastAsia="Arial" w:hAnsi="Arial"/>
                <w:sz w:val="17"/>
                <w:szCs w:val="17"/>
                <w:color w:val="auto"/>
              </w:rPr>
              <w:t>9/30/2025</w:t>
            </w:r>
          </w:p>
        </w:tc>
      </w:tr>
      <w:tr>
        <w:trPr>
          <w:trHeight w:val="220"/>
        </w:trPr>
        <w:tc>
          <w:tcPr>
            <w:tcW w:w="3020" w:type="dxa"/>
            <w:vAlign w:val="bottom"/>
            <w:shd w:val="clear" w:color="auto" w:fill="CCEEFF"/>
          </w:tcPr>
          <w:p>
            <w:pPr>
              <w:ind w:left="740"/>
              <w:spacing w:after="0"/>
              <w:rPr>
                <w:sz w:val="20"/>
                <w:szCs w:val="20"/>
                <w:color w:val="auto"/>
              </w:rPr>
            </w:pPr>
            <w:r>
              <w:rPr>
                <w:rFonts w:ascii="Arial" w:cs="Arial" w:eastAsia="Arial" w:hAnsi="Arial"/>
                <w:sz w:val="17"/>
                <w:szCs w:val="17"/>
                <w:color w:val="auto"/>
              </w:rPr>
              <w:t>Fixed price derivative swap</w:t>
            </w:r>
          </w:p>
        </w:tc>
        <w:tc>
          <w:tcPr>
            <w:tcW w:w="13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United States</w:t>
            </w:r>
          </w:p>
        </w:tc>
        <w:tc>
          <w:tcPr>
            <w:tcW w:w="13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Natural Gas</w:t>
            </w:r>
          </w:p>
        </w:tc>
        <w:tc>
          <w:tcPr>
            <w:tcW w:w="160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3.74</w:t>
            </w:r>
          </w:p>
        </w:tc>
        <w:tc>
          <w:tcPr>
            <w:tcW w:w="1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10/1/2025</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12/31/2025</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At March 31, 2024, the Company did not have any crude oil or natural gas derivative contracts.</w:t>
      </w:r>
    </w:p>
    <w:p>
      <w:pPr>
        <w:spacing w:after="0" w:line="115" w:lineRule="exact"/>
        <w:rPr>
          <w:sz w:val="20"/>
          <w:szCs w:val="20"/>
          <w:color w:val="auto"/>
        </w:rPr>
      </w:pPr>
    </w:p>
    <w:p>
      <w:pPr>
        <w:ind w:right="360"/>
        <w:spacing w:after="0" w:line="291" w:lineRule="auto"/>
        <w:rPr>
          <w:sz w:val="20"/>
          <w:szCs w:val="20"/>
          <w:color w:val="auto"/>
        </w:rPr>
      </w:pPr>
      <w:r>
        <w:rPr>
          <w:rFonts w:ascii="Arial" w:cs="Arial" w:eastAsia="Arial" w:hAnsi="Arial"/>
          <w:sz w:val="17"/>
          <w:szCs w:val="17"/>
          <w:color w:val="auto"/>
        </w:rPr>
        <w:t>At March 31, 2025 and December 31, 2024, the fair value of derivative instruments not designated as hedging instruments are presented in the following table: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72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rPr>
              <w:t>(Thousands of dollars)</w:t>
            </w:r>
          </w:p>
        </w:tc>
        <w:tc>
          <w:tcPr>
            <w:tcW w:w="1600" w:type="dxa"/>
            <w:vAlign w:val="bottom"/>
            <w:gridSpan w:val="2"/>
          </w:tcPr>
          <w:p>
            <w:pPr>
              <w:spacing w:after="0"/>
              <w:rPr>
                <w:sz w:val="16"/>
                <w:szCs w:val="16"/>
                <w:color w:val="auto"/>
              </w:rPr>
            </w:pPr>
          </w:p>
        </w:tc>
        <w:tc>
          <w:tcPr>
            <w:tcW w:w="1900" w:type="dxa"/>
            <w:vAlign w:val="bottom"/>
          </w:tcPr>
          <w:p>
            <w:pPr>
              <w:spacing w:after="0"/>
              <w:rPr>
                <w:sz w:val="16"/>
                <w:szCs w:val="16"/>
                <w:color w:val="auto"/>
              </w:rPr>
            </w:pPr>
          </w:p>
        </w:tc>
        <w:tc>
          <w:tcPr>
            <w:tcW w:w="3880" w:type="dxa"/>
            <w:vAlign w:val="bottom"/>
            <w:gridSpan w:val="6"/>
          </w:tcPr>
          <w:p>
            <w:pPr>
              <w:jc w:val="right"/>
              <w:ind w:right="174"/>
              <w:spacing w:after="0"/>
              <w:rPr>
                <w:sz w:val="20"/>
                <w:szCs w:val="20"/>
                <w:color w:val="auto"/>
              </w:rPr>
            </w:pPr>
            <w:r>
              <w:rPr>
                <w:rFonts w:ascii="Arial" w:cs="Arial" w:eastAsia="Arial" w:hAnsi="Arial"/>
                <w:sz w:val="17"/>
                <w:szCs w:val="17"/>
                <w:b w:val="1"/>
                <w:bCs w:val="1"/>
                <w:color w:val="auto"/>
              </w:rPr>
              <w:t>Asset (Liability) Derivatives Fair Value</w:t>
            </w: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gridSpan w:val="3"/>
            <w:vMerge w:val="restart"/>
          </w:tcPr>
          <w:p>
            <w:pPr>
              <w:ind w:left="500"/>
              <w:spacing w:after="0"/>
              <w:rPr>
                <w:sz w:val="20"/>
                <w:szCs w:val="20"/>
                <w:color w:val="auto"/>
              </w:rPr>
            </w:pPr>
            <w:r>
              <w:rPr>
                <w:rFonts w:ascii="Arial" w:cs="Arial" w:eastAsia="Arial" w:hAnsi="Arial"/>
                <w:sz w:val="17"/>
                <w:szCs w:val="17"/>
                <w:b w:val="1"/>
                <w:bCs w:val="1"/>
                <w:color w:val="auto"/>
              </w:rPr>
              <w:t>Type of Derivative Contract</w:t>
            </w:r>
          </w:p>
        </w:tc>
        <w:tc>
          <w:tcPr>
            <w:tcW w:w="19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320" w:type="dxa"/>
            <w:vAlign w:val="bottom"/>
            <w:gridSpan w:val="3"/>
            <w:vMerge w:val="continue"/>
          </w:tcPr>
          <w:p>
            <w:pPr>
              <w:spacing w:after="0"/>
              <w:rPr>
                <w:sz w:val="18"/>
                <w:szCs w:val="18"/>
                <w:color w:val="auto"/>
              </w:rPr>
            </w:pPr>
          </w:p>
        </w:tc>
        <w:tc>
          <w:tcPr>
            <w:tcW w:w="3320" w:type="dxa"/>
            <w:vAlign w:val="bottom"/>
            <w:gridSpan w:val="4"/>
          </w:tcPr>
          <w:p>
            <w:pPr>
              <w:jc w:val="right"/>
              <w:ind w:right="834"/>
              <w:spacing w:after="0"/>
              <w:rPr>
                <w:sz w:val="20"/>
                <w:szCs w:val="20"/>
                <w:color w:val="auto"/>
              </w:rPr>
            </w:pPr>
            <w:r>
              <w:rPr>
                <w:rFonts w:ascii="Arial" w:cs="Arial" w:eastAsia="Arial" w:hAnsi="Arial"/>
                <w:sz w:val="17"/>
                <w:szCs w:val="17"/>
                <w:b w:val="1"/>
                <w:bCs w:val="1"/>
                <w:color w:val="auto"/>
              </w:rPr>
              <w:t>Balance Sheet Location</w:t>
            </w:r>
          </w:p>
        </w:tc>
        <w:tc>
          <w:tcPr>
            <w:tcW w:w="2160" w:type="dxa"/>
            <w:vAlign w:val="bottom"/>
            <w:gridSpan w:val="2"/>
          </w:tcPr>
          <w:p>
            <w:pPr>
              <w:ind w:left="240"/>
              <w:spacing w:after="0"/>
              <w:rPr>
                <w:sz w:val="20"/>
                <w:szCs w:val="20"/>
                <w:color w:val="auto"/>
              </w:rPr>
            </w:pPr>
            <w:r>
              <w:rPr>
                <w:rFonts w:ascii="Arial" w:cs="Arial" w:eastAsia="Arial" w:hAnsi="Arial"/>
                <w:sz w:val="17"/>
                <w:szCs w:val="17"/>
                <w:b w:val="1"/>
                <w:bCs w:val="1"/>
                <w:color w:val="auto"/>
              </w:rPr>
              <w:t>March 31, 2025</w:t>
            </w:r>
          </w:p>
        </w:tc>
        <w:tc>
          <w:tcPr>
            <w:tcW w:w="300" w:type="dxa"/>
            <w:vAlign w:val="bottom"/>
          </w:tcPr>
          <w:p>
            <w:pPr>
              <w:spacing w:after="0"/>
              <w:rPr>
                <w:sz w:val="18"/>
                <w:szCs w:val="18"/>
                <w:color w:val="auto"/>
              </w:rPr>
            </w:pPr>
          </w:p>
        </w:tc>
        <w:tc>
          <w:tcPr>
            <w:tcW w:w="2120" w:type="dxa"/>
            <w:vAlign w:val="bottom"/>
          </w:tcPr>
          <w:p>
            <w:pPr>
              <w:jc w:val="right"/>
              <w:ind w:right="354"/>
              <w:spacing w:after="0"/>
              <w:rPr>
                <w:sz w:val="20"/>
                <w:szCs w:val="20"/>
                <w:color w:val="auto"/>
              </w:rPr>
            </w:pPr>
            <w:r>
              <w:rPr>
                <w:rFonts w:ascii="Arial" w:cs="Arial" w:eastAsia="Arial" w:hAnsi="Arial"/>
                <w:sz w:val="17"/>
                <w:szCs w:val="17"/>
                <w:color w:val="auto"/>
              </w:rPr>
              <w:t>December 31, 2024</w:t>
            </w:r>
          </w:p>
        </w:tc>
        <w:tc>
          <w:tcPr>
            <w:tcW w:w="0" w:type="dxa"/>
            <w:vAlign w:val="bottom"/>
          </w:tcPr>
          <w:p>
            <w:pPr>
              <w:spacing w:after="0"/>
              <w:rPr>
                <w:sz w:val="1"/>
                <w:szCs w:val="1"/>
                <w:color w:val="auto"/>
              </w:rPr>
            </w:pPr>
          </w:p>
        </w:tc>
      </w:tr>
      <w:tr>
        <w:trPr>
          <w:trHeight w:val="213"/>
        </w:trPr>
        <w:tc>
          <w:tcPr>
            <w:tcW w:w="20" w:type="dxa"/>
            <w:vAlign w:val="bottom"/>
            <w:tcBorders>
              <w:top w:val="single" w:sz="8" w:color="auto"/>
            </w:tcBorders>
            <w:shd w:val="clear" w:color="auto" w:fill="CCEEFF"/>
          </w:tcPr>
          <w:p>
            <w:pPr>
              <w:spacing w:after="0"/>
              <w:rPr>
                <w:sz w:val="18"/>
                <w:szCs w:val="18"/>
                <w:color w:val="auto"/>
              </w:rPr>
            </w:pPr>
          </w:p>
        </w:tc>
        <w:tc>
          <w:tcPr>
            <w:tcW w:w="32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Commodity swaps</w:t>
            </w:r>
          </w:p>
        </w:tc>
        <w:tc>
          <w:tcPr>
            <w:tcW w:w="10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Accounts payable</w:t>
            </w: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(8,916)</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(1,707)</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For the three-month periods ended March 31, 2025 and 2024, the gains and losses recognized in the Consolidated Statements of Operations for derivative instruments not designated as hedging instruments are presented in the following table:</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1720" w:type="dxa"/>
            <w:vAlign w:val="bottom"/>
            <w:vMerge w:val="restart"/>
          </w:tcPr>
          <w:p>
            <w:pPr>
              <w:spacing w:after="0"/>
              <w:rPr>
                <w:sz w:val="20"/>
                <w:szCs w:val="20"/>
                <w:color w:val="auto"/>
              </w:rPr>
            </w:pPr>
            <w:r>
              <w:rPr>
                <w:rFonts w:ascii="Arial" w:cs="Arial" w:eastAsia="Arial" w:hAnsi="Arial"/>
                <w:sz w:val="17"/>
                <w:szCs w:val="17"/>
                <w:i w:val="1"/>
                <w:iCs w:val="1"/>
                <w:color w:val="auto"/>
              </w:rPr>
              <w:t>(Thousands of dollars)</w:t>
            </w:r>
          </w:p>
        </w:tc>
        <w:tc>
          <w:tcPr>
            <w:tcW w:w="2040" w:type="dxa"/>
            <w:vAlign w:val="bottom"/>
            <w:gridSpan w:val="2"/>
            <w:vMerge w:val="restart"/>
          </w:tcPr>
          <w:p>
            <w:pPr>
              <w:spacing w:after="0"/>
              <w:rPr>
                <w:sz w:val="19"/>
                <w:szCs w:val="19"/>
                <w:color w:val="auto"/>
              </w:rPr>
            </w:pPr>
          </w:p>
        </w:tc>
        <w:tc>
          <w:tcPr>
            <w:tcW w:w="3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center"/>
              <w:ind w:left="814"/>
              <w:spacing w:after="0"/>
              <w:rPr>
                <w:sz w:val="20"/>
                <w:szCs w:val="20"/>
                <w:color w:val="auto"/>
              </w:rPr>
            </w:pPr>
            <w:r>
              <w:rPr>
                <w:rFonts w:ascii="Arial" w:cs="Arial" w:eastAsia="Arial" w:hAnsi="Arial"/>
                <w:sz w:val="17"/>
                <w:szCs w:val="17"/>
                <w:b w:val="1"/>
                <w:bCs w:val="1"/>
                <w:color w:val="auto"/>
              </w:rPr>
              <w:t>Gain (Loss)</w:t>
            </w: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720" w:type="dxa"/>
            <w:vAlign w:val="bottom"/>
            <w:tcBorders>
              <w:bottom w:val="single" w:sz="8" w:color="auto"/>
            </w:tcBorders>
            <w:vMerge w:val="continue"/>
          </w:tcPr>
          <w:p>
            <w:pPr>
              <w:spacing w:after="0"/>
              <w:rPr>
                <w:sz w:val="15"/>
                <w:szCs w:val="15"/>
                <w:color w:val="auto"/>
              </w:rPr>
            </w:pPr>
          </w:p>
        </w:tc>
        <w:tc>
          <w:tcPr>
            <w:tcW w:w="2040" w:type="dxa"/>
            <w:vAlign w:val="bottom"/>
            <w:gridSpan w:val="2"/>
            <w:vMerge w:val="continue"/>
          </w:tcPr>
          <w:p>
            <w:pPr>
              <w:spacing w:after="0"/>
              <w:rPr>
                <w:sz w:val="15"/>
                <w:szCs w:val="15"/>
                <w:color w:val="auto"/>
              </w:rPr>
            </w:pPr>
          </w:p>
        </w:tc>
        <w:tc>
          <w:tcPr>
            <w:tcW w:w="3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320" w:type="dxa"/>
            <w:vAlign w:val="bottom"/>
            <w:gridSpan w:val="4"/>
          </w:tcPr>
          <w:p>
            <w:pPr>
              <w:jc w:val="center"/>
              <w:ind w:right="254"/>
              <w:spacing w:after="0" w:line="174" w:lineRule="exact"/>
              <w:rPr>
                <w:sz w:val="20"/>
                <w:szCs w:val="20"/>
                <w:color w:val="auto"/>
              </w:rPr>
            </w:pPr>
            <w:r>
              <w:rPr>
                <w:rFonts w:ascii="Arial" w:cs="Arial" w:eastAsia="Arial" w:hAnsi="Arial"/>
                <w:sz w:val="17"/>
                <w:szCs w:val="17"/>
                <w:b w:val="1"/>
                <w:bCs w:val="1"/>
                <w:color w:val="auto"/>
              </w:rPr>
              <w:t>Three Months Ended March 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gridSpan w:val="3"/>
            <w:vMerge w:val="restart"/>
          </w:tcPr>
          <w:p>
            <w:pPr>
              <w:ind w:left="700"/>
              <w:spacing w:after="0"/>
              <w:rPr>
                <w:sz w:val="20"/>
                <w:szCs w:val="20"/>
                <w:color w:val="auto"/>
              </w:rPr>
            </w:pPr>
            <w:r>
              <w:rPr>
                <w:rFonts w:ascii="Arial" w:cs="Arial" w:eastAsia="Arial" w:hAnsi="Arial"/>
                <w:sz w:val="17"/>
                <w:szCs w:val="17"/>
                <w:b w:val="1"/>
                <w:bCs w:val="1"/>
                <w:color w:val="auto"/>
              </w:rPr>
              <w:t>Type of Derivative Contract</w:t>
            </w:r>
          </w:p>
        </w:tc>
        <w:tc>
          <w:tcPr>
            <w:tcW w:w="3800" w:type="dxa"/>
            <w:vAlign w:val="bottom"/>
            <w:gridSpan w:val="2"/>
            <w:vMerge w:val="restart"/>
          </w:tcPr>
          <w:p>
            <w:pPr>
              <w:ind w:left="460"/>
              <w:spacing w:after="0"/>
              <w:rPr>
                <w:sz w:val="20"/>
                <w:szCs w:val="20"/>
                <w:color w:val="auto"/>
              </w:rPr>
            </w:pPr>
            <w:r>
              <w:rPr>
                <w:rFonts w:ascii="Arial" w:cs="Arial" w:eastAsia="Arial" w:hAnsi="Arial"/>
                <w:sz w:val="17"/>
                <w:szCs w:val="17"/>
                <w:b w:val="1"/>
                <w:bCs w:val="1"/>
                <w:color w:val="auto"/>
              </w:rPr>
              <w:t>Statement of Operations Location</w:t>
            </w: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760" w:type="dxa"/>
            <w:vAlign w:val="bottom"/>
            <w:gridSpan w:val="3"/>
            <w:vMerge w:val="continue"/>
          </w:tcPr>
          <w:p>
            <w:pPr>
              <w:spacing w:after="0"/>
              <w:rPr>
                <w:sz w:val="18"/>
                <w:szCs w:val="18"/>
                <w:color w:val="auto"/>
              </w:rPr>
            </w:pPr>
          </w:p>
        </w:tc>
        <w:tc>
          <w:tcPr>
            <w:tcW w:w="38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ind w:right="594"/>
              <w:spacing w:after="0"/>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tcPr>
          <w:p>
            <w:pPr>
              <w:jc w:val="right"/>
              <w:ind w:right="614"/>
              <w:spacing w:after="0"/>
              <w:rPr>
                <w:sz w:val="20"/>
                <w:szCs w:val="20"/>
                <w:color w:val="auto"/>
              </w:rPr>
            </w:pPr>
            <w:r>
              <w:rPr>
                <w:rFonts w:ascii="Arial" w:cs="Arial" w:eastAsia="Arial" w:hAnsi="Arial"/>
                <w:sz w:val="17"/>
                <w:szCs w:val="17"/>
                <w:color w:val="auto"/>
              </w:rPr>
              <w:t>2024</w:t>
            </w:r>
          </w:p>
        </w:tc>
        <w:tc>
          <w:tcPr>
            <w:tcW w:w="0" w:type="dxa"/>
            <w:vAlign w:val="bottom"/>
          </w:tcPr>
          <w:p>
            <w:pPr>
              <w:spacing w:after="0"/>
              <w:rPr>
                <w:sz w:val="1"/>
                <w:szCs w:val="1"/>
                <w:color w:val="auto"/>
              </w:rPr>
            </w:pPr>
          </w:p>
        </w:tc>
      </w:tr>
      <w:tr>
        <w:trPr>
          <w:trHeight w:val="213"/>
        </w:trPr>
        <w:tc>
          <w:tcPr>
            <w:tcW w:w="20" w:type="dxa"/>
            <w:vAlign w:val="bottom"/>
            <w:tcBorders>
              <w:top w:val="single" w:sz="8" w:color="auto"/>
            </w:tcBorders>
            <w:shd w:val="clear" w:color="auto" w:fill="CCEEFF"/>
          </w:tcPr>
          <w:p>
            <w:pPr>
              <w:spacing w:after="0"/>
              <w:rPr>
                <w:sz w:val="18"/>
                <w:szCs w:val="18"/>
                <w:color w:val="auto"/>
              </w:rPr>
            </w:pPr>
          </w:p>
        </w:tc>
        <w:tc>
          <w:tcPr>
            <w:tcW w:w="36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Commodity swaps</w:t>
            </w:r>
          </w:p>
        </w:tc>
        <w:tc>
          <w:tcPr>
            <w:tcW w:w="10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Loss on derivative instruments</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(9,459)</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54"/>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Fair Values – Recurring</w:t>
      </w:r>
    </w:p>
    <w:p>
      <w:pPr>
        <w:spacing w:after="0" w:line="115" w:lineRule="exact"/>
        <w:rPr>
          <w:sz w:val="20"/>
          <w:szCs w:val="20"/>
          <w:color w:val="auto"/>
        </w:rPr>
      </w:pPr>
    </w:p>
    <w:p>
      <w:pPr>
        <w:jc w:val="both"/>
        <w:ind w:right="60"/>
        <w:spacing w:after="0" w:line="266" w:lineRule="auto"/>
        <w:rPr>
          <w:sz w:val="20"/>
          <w:szCs w:val="20"/>
          <w:color w:val="auto"/>
        </w:rPr>
      </w:pPr>
      <w:r>
        <w:rPr>
          <w:rFonts w:ascii="Arial" w:cs="Arial" w:eastAsia="Arial" w:hAnsi="Arial"/>
          <w:sz w:val="17"/>
          <w:szCs w:val="17"/>
          <w:color w:val="auto"/>
        </w:rPr>
        <w:t>The Company carries certain assets and liabilities at fair value in its Consolidated Balance Sheets. The fair value hierarchy is based on the quality of inputs used to measure fair value, with Level 1 being the highest quality and Level 3 being the lowest quality. Level 1 inputs are quoted prices in active markets for identical assets or liabilities. Level 2 inputs are observable inputs other than quoted prices included within Level 1. Level 3 inputs are unobservable inputs which reflect assumptions about pricing by market participants.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measurements for these assets and liabilities at March 31, 2025 and December 31, 2024, are shown in the following table: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2680" w:type="dxa"/>
            <w:vAlign w:val="bottom"/>
            <w:gridSpan w:val="2"/>
            <w:vMerge w:val="restart"/>
          </w:tcPr>
          <w:p>
            <w:pPr>
              <w:spacing w:after="0"/>
              <w:rPr>
                <w:sz w:val="20"/>
                <w:szCs w:val="20"/>
                <w:color w:val="auto"/>
              </w:rPr>
            </w:pPr>
            <w:r>
              <w:rPr>
                <w:rFonts w:ascii="Arial" w:cs="Arial" w:eastAsia="Arial" w:hAnsi="Arial"/>
                <w:sz w:val="17"/>
                <w:szCs w:val="17"/>
                <w:i w:val="1"/>
                <w:iCs w:val="1"/>
                <w:color w:val="auto"/>
              </w:rPr>
              <w:t>(Thousands of dollars)</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5"/>
          </w:tcPr>
          <w:p>
            <w:pPr>
              <w:ind w:left="260"/>
              <w:spacing w:after="0"/>
              <w:rPr>
                <w:sz w:val="20"/>
                <w:szCs w:val="20"/>
                <w:color w:val="auto"/>
              </w:rPr>
            </w:pPr>
            <w:r>
              <w:rPr>
                <w:rFonts w:ascii="Arial" w:cs="Arial" w:eastAsia="Arial" w:hAnsi="Arial"/>
                <w:sz w:val="17"/>
                <w:szCs w:val="17"/>
                <w:b w:val="1"/>
                <w:bCs w:val="1"/>
                <w:color w:val="auto"/>
              </w:rPr>
              <w:t>March 31, 2025</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5"/>
          </w:tcPr>
          <w:p>
            <w:pPr>
              <w:ind w:left="60"/>
              <w:spacing w:after="0"/>
              <w:rPr>
                <w:sz w:val="20"/>
                <w:szCs w:val="20"/>
                <w:color w:val="auto"/>
              </w:rPr>
            </w:pPr>
            <w:r>
              <w:rPr>
                <w:rFonts w:ascii="Arial" w:cs="Arial" w:eastAsia="Arial" w:hAnsi="Arial"/>
                <w:sz w:val="17"/>
                <w:szCs w:val="17"/>
                <w:color w:val="auto"/>
              </w:rPr>
              <w:t>December 31, 2024</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ind w:left="40"/>
              <w:spacing w:after="0" w:line="174" w:lineRule="exact"/>
              <w:rPr>
                <w:sz w:val="20"/>
                <w:szCs w:val="20"/>
                <w:color w:val="auto"/>
              </w:rPr>
            </w:pPr>
            <w:r>
              <w:rPr>
                <w:rFonts w:ascii="Arial" w:cs="Arial" w:eastAsia="Arial" w:hAnsi="Arial"/>
                <w:sz w:val="17"/>
                <w:szCs w:val="17"/>
                <w:b w:val="1"/>
                <w:bCs w:val="1"/>
                <w:color w:val="auto"/>
              </w:rPr>
              <w:t>Level 1</w:t>
            </w:r>
          </w:p>
        </w:tc>
        <w:tc>
          <w:tcPr>
            <w:tcW w:w="220" w:type="dxa"/>
            <w:vAlign w:val="bottom"/>
          </w:tcPr>
          <w:p>
            <w:pPr>
              <w:spacing w:after="0"/>
              <w:rPr>
                <w:sz w:val="15"/>
                <w:szCs w:val="15"/>
                <w:color w:val="auto"/>
              </w:rPr>
            </w:pPr>
          </w:p>
        </w:tc>
        <w:tc>
          <w:tcPr>
            <w:tcW w:w="1060" w:type="dxa"/>
            <w:vAlign w:val="bottom"/>
            <w:gridSpan w:val="2"/>
          </w:tcPr>
          <w:p>
            <w:pPr>
              <w:ind w:left="80"/>
              <w:spacing w:after="0" w:line="174" w:lineRule="exact"/>
              <w:rPr>
                <w:sz w:val="20"/>
                <w:szCs w:val="20"/>
                <w:color w:val="auto"/>
              </w:rPr>
            </w:pPr>
            <w:r>
              <w:rPr>
                <w:rFonts w:ascii="Arial" w:cs="Arial" w:eastAsia="Arial" w:hAnsi="Arial"/>
                <w:sz w:val="17"/>
                <w:szCs w:val="17"/>
                <w:b w:val="1"/>
                <w:bCs w:val="1"/>
                <w:color w:val="auto"/>
              </w:rPr>
              <w:t>Level 2</w:t>
            </w:r>
          </w:p>
        </w:tc>
        <w:tc>
          <w:tcPr>
            <w:tcW w:w="140" w:type="dxa"/>
            <w:vAlign w:val="bottom"/>
          </w:tcPr>
          <w:p>
            <w:pPr>
              <w:spacing w:after="0"/>
              <w:rPr>
                <w:sz w:val="15"/>
                <w:szCs w:val="15"/>
                <w:color w:val="auto"/>
              </w:rPr>
            </w:pPr>
          </w:p>
        </w:tc>
        <w:tc>
          <w:tcPr>
            <w:tcW w:w="840" w:type="dxa"/>
            <w:vAlign w:val="bottom"/>
            <w:gridSpan w:val="2"/>
          </w:tcPr>
          <w:p>
            <w:pPr>
              <w:ind w:left="20"/>
              <w:spacing w:after="0" w:line="174" w:lineRule="exact"/>
              <w:rPr>
                <w:sz w:val="20"/>
                <w:szCs w:val="20"/>
                <w:color w:val="auto"/>
              </w:rPr>
            </w:pPr>
            <w:r>
              <w:rPr>
                <w:rFonts w:ascii="Arial" w:cs="Arial" w:eastAsia="Arial" w:hAnsi="Arial"/>
                <w:sz w:val="17"/>
                <w:szCs w:val="17"/>
                <w:b w:val="1"/>
                <w:bCs w:val="1"/>
                <w:color w:val="auto"/>
              </w:rPr>
              <w:t>Level 3</w:t>
            </w:r>
          </w:p>
        </w:tc>
        <w:tc>
          <w:tcPr>
            <w:tcW w:w="220" w:type="dxa"/>
            <w:vAlign w:val="bottom"/>
          </w:tcPr>
          <w:p>
            <w:pPr>
              <w:spacing w:after="0"/>
              <w:rPr>
                <w:sz w:val="15"/>
                <w:szCs w:val="15"/>
                <w:color w:val="auto"/>
              </w:rPr>
            </w:pPr>
          </w:p>
        </w:tc>
        <w:tc>
          <w:tcPr>
            <w:tcW w:w="820" w:type="dxa"/>
            <w:vAlign w:val="bottom"/>
          </w:tcPr>
          <w:p>
            <w:pPr>
              <w:jc w:val="right"/>
              <w:ind w:right="234"/>
              <w:spacing w:after="0" w:line="174" w:lineRule="exact"/>
              <w:rPr>
                <w:sz w:val="20"/>
                <w:szCs w:val="20"/>
                <w:color w:val="auto"/>
              </w:rPr>
            </w:pPr>
            <w:r>
              <w:rPr>
                <w:rFonts w:ascii="Arial" w:cs="Arial" w:eastAsia="Arial" w:hAnsi="Arial"/>
                <w:sz w:val="17"/>
                <w:szCs w:val="17"/>
                <w:b w:val="1"/>
                <w:bCs w:val="1"/>
                <w:color w:val="auto"/>
              </w:rPr>
              <w:t>Total</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ind w:left="40"/>
              <w:spacing w:after="0" w:line="174" w:lineRule="exact"/>
              <w:rPr>
                <w:sz w:val="20"/>
                <w:szCs w:val="20"/>
                <w:color w:val="auto"/>
              </w:rPr>
            </w:pPr>
            <w:r>
              <w:rPr>
                <w:rFonts w:ascii="Arial" w:cs="Arial" w:eastAsia="Arial" w:hAnsi="Arial"/>
                <w:sz w:val="17"/>
                <w:szCs w:val="17"/>
                <w:color w:val="auto"/>
              </w:rPr>
              <w:t>Level 1</w:t>
            </w:r>
          </w:p>
        </w:tc>
        <w:tc>
          <w:tcPr>
            <w:tcW w:w="140" w:type="dxa"/>
            <w:vAlign w:val="bottom"/>
          </w:tcPr>
          <w:p>
            <w:pPr>
              <w:spacing w:after="0"/>
              <w:rPr>
                <w:sz w:val="15"/>
                <w:szCs w:val="15"/>
                <w:color w:val="auto"/>
              </w:rPr>
            </w:pPr>
          </w:p>
        </w:tc>
        <w:tc>
          <w:tcPr>
            <w:tcW w:w="860" w:type="dxa"/>
            <w:vAlign w:val="bottom"/>
            <w:gridSpan w:val="2"/>
          </w:tcPr>
          <w:p>
            <w:pPr>
              <w:ind w:left="40"/>
              <w:spacing w:after="0" w:line="174" w:lineRule="exact"/>
              <w:rPr>
                <w:sz w:val="20"/>
                <w:szCs w:val="20"/>
                <w:color w:val="auto"/>
              </w:rPr>
            </w:pPr>
            <w:r>
              <w:rPr>
                <w:rFonts w:ascii="Arial" w:cs="Arial" w:eastAsia="Arial" w:hAnsi="Arial"/>
                <w:sz w:val="17"/>
                <w:szCs w:val="17"/>
                <w:color w:val="auto"/>
              </w:rPr>
              <w:t>Level 2</w:t>
            </w:r>
          </w:p>
        </w:tc>
        <w:tc>
          <w:tcPr>
            <w:tcW w:w="140" w:type="dxa"/>
            <w:vAlign w:val="bottom"/>
          </w:tcPr>
          <w:p>
            <w:pPr>
              <w:spacing w:after="0"/>
              <w:rPr>
                <w:sz w:val="15"/>
                <w:szCs w:val="15"/>
                <w:color w:val="auto"/>
              </w:rPr>
            </w:pPr>
          </w:p>
        </w:tc>
        <w:tc>
          <w:tcPr>
            <w:tcW w:w="860" w:type="dxa"/>
            <w:vAlign w:val="bottom"/>
            <w:gridSpan w:val="2"/>
          </w:tcPr>
          <w:p>
            <w:pPr>
              <w:ind w:left="40"/>
              <w:spacing w:after="0" w:line="174" w:lineRule="exact"/>
              <w:rPr>
                <w:sz w:val="20"/>
                <w:szCs w:val="20"/>
                <w:color w:val="auto"/>
              </w:rPr>
            </w:pPr>
            <w:r>
              <w:rPr>
                <w:rFonts w:ascii="Arial" w:cs="Arial" w:eastAsia="Arial" w:hAnsi="Arial"/>
                <w:sz w:val="17"/>
                <w:szCs w:val="17"/>
                <w:color w:val="auto"/>
              </w:rPr>
              <w:t>Level 3</w:t>
            </w:r>
          </w:p>
        </w:tc>
        <w:tc>
          <w:tcPr>
            <w:tcW w:w="200" w:type="dxa"/>
            <w:vAlign w:val="bottom"/>
          </w:tcPr>
          <w:p>
            <w:pPr>
              <w:spacing w:after="0"/>
              <w:rPr>
                <w:sz w:val="15"/>
                <w:szCs w:val="15"/>
                <w:color w:val="auto"/>
              </w:rPr>
            </w:pPr>
          </w:p>
        </w:tc>
        <w:tc>
          <w:tcPr>
            <w:tcW w:w="760" w:type="dxa"/>
            <w:vAlign w:val="bottom"/>
          </w:tcPr>
          <w:p>
            <w:pPr>
              <w:jc w:val="right"/>
              <w:ind w:right="214"/>
              <w:spacing w:after="0" w:line="174" w:lineRule="exact"/>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Liabilities:</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680" w:type="dxa"/>
            <w:vAlign w:val="bottom"/>
            <w:gridSpan w:val="2"/>
          </w:tcPr>
          <w:p>
            <w:pPr>
              <w:ind w:left="200"/>
              <w:spacing w:after="0"/>
              <w:rPr>
                <w:sz w:val="20"/>
                <w:szCs w:val="20"/>
                <w:color w:val="auto"/>
              </w:rPr>
            </w:pPr>
            <w:r>
              <w:rPr>
                <w:rFonts w:ascii="Arial" w:cs="Arial" w:eastAsia="Arial" w:hAnsi="Arial"/>
                <w:sz w:val="17"/>
                <w:szCs w:val="17"/>
                <w:color w:val="auto"/>
              </w:rPr>
              <w:t>Commodity swaps</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jc w:val="right"/>
              <w:ind w:right="14"/>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8,916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840" w:type="dxa"/>
            <w:vAlign w:val="bottom"/>
            <w:gridSpan w:val="2"/>
          </w:tcPr>
          <w:p>
            <w:pPr>
              <w:ind w:left="520"/>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jc w:val="right"/>
              <w:ind w:right="14"/>
              <w:spacing w:after="0"/>
              <w:rPr>
                <w:sz w:val="20"/>
                <w:szCs w:val="20"/>
                <w:color w:val="auto"/>
              </w:rPr>
            </w:pPr>
            <w:r>
              <w:rPr>
                <w:rFonts w:ascii="Arial" w:cs="Arial" w:eastAsia="Arial" w:hAnsi="Arial"/>
                <w:sz w:val="17"/>
                <w:szCs w:val="17"/>
                <w:b w:val="1"/>
                <w:bCs w:val="1"/>
                <w:color w:val="auto"/>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8,916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1,707</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1,707</w:t>
            </w:r>
          </w:p>
        </w:tc>
        <w:tc>
          <w:tcPr>
            <w:tcW w:w="0" w:type="dxa"/>
            <w:vAlign w:val="bottom"/>
          </w:tcPr>
          <w:p>
            <w:pPr>
              <w:spacing w:after="0"/>
              <w:rPr>
                <w:sz w:val="1"/>
                <w:szCs w:val="1"/>
                <w:color w:val="auto"/>
              </w:rPr>
            </w:pPr>
          </w:p>
        </w:tc>
      </w:tr>
      <w:tr>
        <w:trPr>
          <w:trHeight w:val="168"/>
        </w:trPr>
        <w:tc>
          <w:tcPr>
            <w:tcW w:w="20" w:type="dxa"/>
            <w:vAlign w:val="bottom"/>
            <w:shd w:val="clear" w:color="auto" w:fill="CCEEFF"/>
          </w:tcPr>
          <w:p>
            <w:pPr>
              <w:spacing w:after="0"/>
              <w:rPr>
                <w:sz w:val="14"/>
                <w:szCs w:val="14"/>
                <w:color w:val="auto"/>
              </w:rPr>
            </w:pPr>
          </w:p>
        </w:tc>
        <w:tc>
          <w:tcPr>
            <w:tcW w:w="2680" w:type="dxa"/>
            <w:vAlign w:val="bottom"/>
            <w:gridSpan w:val="2"/>
            <w:shd w:val="clear" w:color="auto" w:fill="CCEEFF"/>
          </w:tcPr>
          <w:p>
            <w:pPr>
              <w:ind w:left="200"/>
              <w:spacing w:after="0" w:line="168" w:lineRule="exact"/>
              <w:rPr>
                <w:sz w:val="20"/>
                <w:szCs w:val="20"/>
                <w:color w:val="auto"/>
              </w:rPr>
            </w:pPr>
            <w:r>
              <w:rPr>
                <w:rFonts w:ascii="Arial" w:cs="Arial" w:eastAsia="Arial" w:hAnsi="Arial"/>
                <w:sz w:val="17"/>
                <w:szCs w:val="17"/>
                <w:color w:val="auto"/>
              </w:rPr>
              <w:t>Nonqualified employee</w:t>
            </w: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18,479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20"/>
              <w:spacing w:after="0"/>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18,479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26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savings plan</w:t>
            </w:r>
          </w:p>
        </w:tc>
        <w:tc>
          <w:tcPr>
            <w:tcW w:w="18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19,469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19,469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18,479</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8,916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76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27,394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19,469</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1,707</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21,176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0"/>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194"/>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9A9A9A"/>
            </w:tcBorders>
          </w:tcPr>
          <w:p>
            <w:pPr>
              <w:spacing w:after="0"/>
              <w:rPr>
                <w:sz w:val="18"/>
                <w:szCs w:val="18"/>
                <w:color w:val="auto"/>
              </w:rPr>
            </w:pPr>
          </w:p>
        </w:tc>
        <w:tc>
          <w:tcPr>
            <w:tcW w:w="172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L – Financial Instruments and Risk Management (Continued)</w:t>
      </w:r>
    </w:p>
    <w:p>
      <w:pPr>
        <w:spacing w:after="0" w:line="200" w:lineRule="exact"/>
        <w:rPr>
          <w:sz w:val="20"/>
          <w:szCs w:val="20"/>
          <w:color w:val="auto"/>
        </w:rPr>
      </w:pPr>
    </w:p>
    <w:p>
      <w:pPr>
        <w:spacing w:after="0" w:line="29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commodity swaps liability as of March 31, 2025 was $8.9 million and recorded as “Accounts payable” in the Consolidated Balance Sheets. The fair value of commodity swaps was based on active market quotes for NYMEX Henry Hub natural gas. The before tax income effect of changes in the fair value of natural gas derivative contracts is recorded in “Loss on derivative instruments” in the Consolidated Statements of Operations.</w:t>
      </w:r>
    </w:p>
    <w:p>
      <w:pPr>
        <w:spacing w:after="0" w:line="59"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The nonqualified employee savings plan is an unfunded savings plan through which participants seek a return via phantom investments in equity securities and/or mutual funds. The fair value of this liability was based on quoted prices for these equity securities and mutual funds. The income effect of changes in the fair value of the nonqualified employee savings plan is recorded in “Selling and general expenses” in the Consolidated Statements of Operations.</w:t>
      </w:r>
    </w:p>
    <w:p>
      <w:pPr>
        <w:spacing w:after="0" w:line="64" w:lineRule="exact"/>
        <w:rPr>
          <w:sz w:val="20"/>
          <w:szCs w:val="20"/>
          <w:color w:val="auto"/>
        </w:rPr>
      </w:pPr>
    </w:p>
    <w:p>
      <w:pPr>
        <w:ind w:right="520"/>
        <w:spacing w:after="0" w:line="291" w:lineRule="auto"/>
        <w:rPr>
          <w:sz w:val="20"/>
          <w:szCs w:val="20"/>
          <w:color w:val="auto"/>
        </w:rPr>
      </w:pPr>
      <w:r>
        <w:rPr>
          <w:rFonts w:ascii="Arial" w:cs="Arial" w:eastAsia="Arial" w:hAnsi="Arial"/>
          <w:sz w:val="17"/>
          <w:szCs w:val="17"/>
          <w:color w:val="auto"/>
        </w:rPr>
        <w:t>The Company offsets certain assets and liabilities related to derivative contracts when the legal right of offset exists. There were no offsetting positions recorded at March 31, 2025 and December 31, 2024.</w:t>
      </w:r>
    </w:p>
    <w:p>
      <w:pPr>
        <w:spacing w:after="0" w:line="43"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The following table presents the carrying amounts and estimated fair values of financial instruments held by the Company at March 31, 2025 and December 31, 2024. The fair value of a financial instrument is the amount at which the instrument could be exchanged in a current transaction between willing parties. The table excludes cash and cash equivalents, trade accounts receivable, trade accounts payable and accrued expenses, all of which had fair values approximating carrying amounts. The fair value of current and long-term debt was estimated based on rates offered to the Company at that time for debt of the same maturities. Substantially all of the Company’s long-term debt is actively traded in open markets, and accordingly, is classified as Level 1 in the fair value hierarchy. The Company has off-balance sheet exposures relating to certain letters of credit. The fair value of these, which represents fees associated with obtaining the instruments, were minimal.</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80" w:type="dxa"/>
            <w:vAlign w:val="bottom"/>
            <w:gridSpan w:val="3"/>
          </w:tcPr>
          <w:p>
            <w:pPr>
              <w:jc w:val="center"/>
              <w:ind w:left="814"/>
              <w:spacing w:after="0"/>
              <w:rPr>
                <w:sz w:val="20"/>
                <w:szCs w:val="20"/>
                <w:color w:val="auto"/>
              </w:rPr>
            </w:pPr>
            <w:r>
              <w:rPr>
                <w:rFonts w:ascii="Arial" w:cs="Arial" w:eastAsia="Arial" w:hAnsi="Arial"/>
                <w:sz w:val="17"/>
                <w:szCs w:val="17"/>
                <w:b w:val="1"/>
                <w:bCs w:val="1"/>
                <w:color w:val="auto"/>
              </w:rPr>
              <w:t>March 31,</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gridSpan w:val="3"/>
          </w:tcPr>
          <w:p>
            <w:pPr>
              <w:jc w:val="center"/>
              <w:ind w:left="634"/>
              <w:spacing w:after="0"/>
              <w:rPr>
                <w:sz w:val="20"/>
                <w:szCs w:val="20"/>
                <w:color w:val="auto"/>
              </w:rPr>
            </w:pPr>
            <w:r>
              <w:rPr>
                <w:rFonts w:ascii="Arial" w:cs="Arial" w:eastAsia="Arial" w:hAnsi="Arial"/>
                <w:sz w:val="17"/>
                <w:szCs w:val="17"/>
                <w:color w:val="auto"/>
              </w:rPr>
              <w:t>December 31,</w:t>
            </w:r>
          </w:p>
        </w:tc>
        <w:tc>
          <w:tcPr>
            <w:tcW w:w="100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jc w:val="right"/>
              <w:ind w:right="274"/>
              <w:spacing w:after="0"/>
              <w:rPr>
                <w:sz w:val="20"/>
                <w:szCs w:val="20"/>
                <w:color w:val="auto"/>
              </w:rPr>
            </w:pPr>
            <w:r>
              <w:rPr>
                <w:rFonts w:ascii="Arial" w:cs="Arial" w:eastAsia="Arial" w:hAnsi="Arial"/>
                <w:sz w:val="17"/>
                <w:szCs w:val="17"/>
                <w:b w:val="1"/>
                <w:bCs w:val="1"/>
                <w:color w:val="auto"/>
              </w:rPr>
              <w:t>2025</w:t>
            </w: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294"/>
              <w:spacing w:after="0"/>
              <w:rPr>
                <w:sz w:val="20"/>
                <w:szCs w:val="20"/>
                <w:color w:val="auto"/>
              </w:rPr>
            </w:pPr>
            <w:r>
              <w:rPr>
                <w:rFonts w:ascii="Arial" w:cs="Arial" w:eastAsia="Arial" w:hAnsi="Arial"/>
                <w:sz w:val="17"/>
                <w:szCs w:val="17"/>
                <w:color w:val="auto"/>
              </w:rPr>
              <w:t>2024</w:t>
            </w:r>
          </w:p>
        </w:tc>
        <w:tc>
          <w:tcPr>
            <w:tcW w:w="1000" w:type="dxa"/>
            <w:vAlign w:val="bottom"/>
            <w:tcBorders>
              <w:bottom w:val="single" w:sz="8" w:color="auto"/>
            </w:tcBorders>
          </w:tcPr>
          <w:p>
            <w:pPr>
              <w:spacing w:after="0"/>
              <w:rPr>
                <w:sz w:val="19"/>
                <w:szCs w:val="19"/>
                <w:color w:val="auto"/>
              </w:rPr>
            </w:pPr>
          </w:p>
        </w:tc>
      </w:tr>
      <w:tr>
        <w:trPr>
          <w:trHeight w:val="161"/>
        </w:trPr>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gridSpan w:val="2"/>
          </w:tcPr>
          <w:p>
            <w:pPr>
              <w:jc w:val="center"/>
              <w:ind w:right="400"/>
              <w:spacing w:after="0" w:line="161" w:lineRule="exact"/>
              <w:rPr>
                <w:sz w:val="20"/>
                <w:szCs w:val="20"/>
                <w:color w:val="auto"/>
              </w:rPr>
            </w:pPr>
            <w:r>
              <w:rPr>
                <w:rFonts w:ascii="Arial" w:cs="Arial" w:eastAsia="Arial" w:hAnsi="Arial"/>
                <w:sz w:val="17"/>
                <w:szCs w:val="17"/>
                <w:b w:val="1"/>
                <w:bCs w:val="1"/>
                <w:color w:val="auto"/>
              </w:rPr>
              <w:t>Carrying</w:t>
            </w:r>
          </w:p>
        </w:tc>
        <w:tc>
          <w:tcPr>
            <w:tcW w:w="500" w:type="dxa"/>
            <w:vAlign w:val="bottom"/>
          </w:tcPr>
          <w:p>
            <w:pPr>
              <w:spacing w:after="0"/>
              <w:rPr>
                <w:sz w:val="13"/>
                <w:szCs w:val="13"/>
                <w:color w:val="auto"/>
              </w:rPr>
            </w:pPr>
          </w:p>
        </w:tc>
        <w:tc>
          <w:tcPr>
            <w:tcW w:w="1200" w:type="dxa"/>
            <w:vAlign w:val="bottom"/>
          </w:tcPr>
          <w:p>
            <w:pPr>
              <w:jc w:val="center"/>
              <w:ind w:right="394"/>
              <w:spacing w:after="0" w:line="161" w:lineRule="exact"/>
              <w:rPr>
                <w:sz w:val="20"/>
                <w:szCs w:val="20"/>
                <w:color w:val="auto"/>
              </w:rPr>
            </w:pPr>
            <w:r>
              <w:rPr>
                <w:rFonts w:ascii="Arial" w:cs="Arial" w:eastAsia="Arial" w:hAnsi="Arial"/>
                <w:sz w:val="17"/>
                <w:szCs w:val="17"/>
                <w:b w:val="1"/>
                <w:bCs w:val="1"/>
                <w:color w:val="auto"/>
              </w:rPr>
              <w:t>Fair</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360"/>
              <w:spacing w:after="0" w:line="161" w:lineRule="exact"/>
              <w:rPr>
                <w:sz w:val="20"/>
                <w:szCs w:val="20"/>
                <w:color w:val="auto"/>
              </w:rPr>
            </w:pPr>
            <w:r>
              <w:rPr>
                <w:rFonts w:ascii="Arial" w:cs="Arial" w:eastAsia="Arial" w:hAnsi="Arial"/>
                <w:sz w:val="17"/>
                <w:szCs w:val="17"/>
                <w:color w:val="auto"/>
              </w:rPr>
              <w:t>Carrying</w:t>
            </w:r>
          </w:p>
        </w:tc>
        <w:tc>
          <w:tcPr>
            <w:tcW w:w="540" w:type="dxa"/>
            <w:vAlign w:val="bottom"/>
          </w:tcPr>
          <w:p>
            <w:pPr>
              <w:spacing w:after="0"/>
              <w:rPr>
                <w:sz w:val="13"/>
                <w:szCs w:val="13"/>
                <w:color w:val="auto"/>
              </w:rPr>
            </w:pPr>
          </w:p>
        </w:tc>
        <w:tc>
          <w:tcPr>
            <w:tcW w:w="1000" w:type="dxa"/>
            <w:vAlign w:val="bottom"/>
          </w:tcPr>
          <w:p>
            <w:pPr>
              <w:jc w:val="center"/>
              <w:ind w:right="454"/>
              <w:spacing w:after="0" w:line="161" w:lineRule="exact"/>
              <w:rPr>
                <w:sz w:val="20"/>
                <w:szCs w:val="20"/>
                <w:color w:val="auto"/>
              </w:rPr>
            </w:pPr>
            <w:r>
              <w:rPr>
                <w:rFonts w:ascii="Arial" w:cs="Arial" w:eastAsia="Arial" w:hAnsi="Arial"/>
                <w:sz w:val="17"/>
                <w:szCs w:val="17"/>
                <w:color w:val="auto"/>
              </w:rPr>
              <w:t>Fair</w:t>
            </w:r>
          </w:p>
        </w:tc>
      </w:tr>
      <w:tr>
        <w:trPr>
          <w:trHeight w:val="194"/>
        </w:trPr>
        <w:tc>
          <w:tcPr>
            <w:tcW w:w="20" w:type="dxa"/>
            <w:vAlign w:val="bottom"/>
          </w:tcPr>
          <w:p>
            <w:pPr>
              <w:spacing w:after="0"/>
              <w:rPr>
                <w:sz w:val="16"/>
                <w:szCs w:val="16"/>
                <w:color w:val="auto"/>
              </w:rPr>
            </w:pPr>
          </w:p>
        </w:tc>
        <w:tc>
          <w:tcPr>
            <w:tcW w:w="4460" w:type="dxa"/>
            <w:vAlign w:val="bottom"/>
            <w:gridSpan w:val="2"/>
          </w:tcPr>
          <w:p>
            <w:pPr>
              <w:spacing w:after="0" w:line="194" w:lineRule="exact"/>
              <w:rPr>
                <w:sz w:val="20"/>
                <w:szCs w:val="20"/>
                <w:color w:val="auto"/>
              </w:rPr>
            </w:pPr>
            <w:r>
              <w:rPr>
                <w:rFonts w:ascii="Arial" w:cs="Arial" w:eastAsia="Arial" w:hAnsi="Arial"/>
                <w:sz w:val="17"/>
                <w:szCs w:val="17"/>
                <w:i w:val="1"/>
                <w:iCs w:val="1"/>
                <w:color w:val="auto"/>
              </w:rPr>
              <w:t>(Thousands of dollars)</w:t>
            </w:r>
          </w:p>
        </w:tc>
        <w:tc>
          <w:tcPr>
            <w:tcW w:w="320" w:type="dxa"/>
            <w:vAlign w:val="bottom"/>
          </w:tcPr>
          <w:p>
            <w:pPr>
              <w:spacing w:after="0"/>
              <w:rPr>
                <w:sz w:val="16"/>
                <w:szCs w:val="16"/>
                <w:color w:val="auto"/>
              </w:rPr>
            </w:pPr>
          </w:p>
        </w:tc>
        <w:tc>
          <w:tcPr>
            <w:tcW w:w="1480" w:type="dxa"/>
            <w:vAlign w:val="bottom"/>
            <w:gridSpan w:val="2"/>
          </w:tcPr>
          <w:p>
            <w:pPr>
              <w:jc w:val="center"/>
              <w:ind w:right="400"/>
              <w:spacing w:after="0" w:line="194" w:lineRule="exact"/>
              <w:rPr>
                <w:sz w:val="20"/>
                <w:szCs w:val="20"/>
                <w:color w:val="auto"/>
              </w:rPr>
            </w:pPr>
            <w:r>
              <w:rPr>
                <w:rFonts w:ascii="Arial" w:cs="Arial" w:eastAsia="Arial" w:hAnsi="Arial"/>
                <w:sz w:val="17"/>
                <w:szCs w:val="17"/>
                <w:b w:val="1"/>
                <w:bCs w:val="1"/>
                <w:color w:val="auto"/>
                <w:w w:val="99"/>
              </w:rPr>
              <w:t>Amount</w:t>
            </w:r>
          </w:p>
        </w:tc>
        <w:tc>
          <w:tcPr>
            <w:tcW w:w="500" w:type="dxa"/>
            <w:vAlign w:val="bottom"/>
          </w:tcPr>
          <w:p>
            <w:pPr>
              <w:spacing w:after="0"/>
              <w:rPr>
                <w:sz w:val="16"/>
                <w:szCs w:val="16"/>
                <w:color w:val="auto"/>
              </w:rPr>
            </w:pPr>
          </w:p>
        </w:tc>
        <w:tc>
          <w:tcPr>
            <w:tcW w:w="1300" w:type="dxa"/>
            <w:vAlign w:val="bottom"/>
            <w:gridSpan w:val="2"/>
          </w:tcPr>
          <w:p>
            <w:pPr>
              <w:jc w:val="center"/>
              <w:ind w:right="580"/>
              <w:spacing w:after="0" w:line="194" w:lineRule="exact"/>
              <w:rPr>
                <w:sz w:val="20"/>
                <w:szCs w:val="20"/>
                <w:color w:val="auto"/>
              </w:rPr>
            </w:pPr>
            <w:r>
              <w:rPr>
                <w:rFonts w:ascii="Arial" w:cs="Arial" w:eastAsia="Arial" w:hAnsi="Arial"/>
                <w:sz w:val="17"/>
                <w:szCs w:val="17"/>
                <w:b w:val="1"/>
                <w:bCs w:val="1"/>
                <w:color w:val="auto"/>
                <w:w w:val="96"/>
              </w:rPr>
              <w:t>Value</w:t>
            </w:r>
          </w:p>
        </w:tc>
        <w:tc>
          <w:tcPr>
            <w:tcW w:w="280" w:type="dxa"/>
            <w:vAlign w:val="bottom"/>
          </w:tcPr>
          <w:p>
            <w:pPr>
              <w:spacing w:after="0"/>
              <w:rPr>
                <w:sz w:val="16"/>
                <w:szCs w:val="16"/>
                <w:color w:val="auto"/>
              </w:rPr>
            </w:pPr>
          </w:p>
        </w:tc>
        <w:tc>
          <w:tcPr>
            <w:tcW w:w="1340" w:type="dxa"/>
            <w:vAlign w:val="bottom"/>
            <w:gridSpan w:val="2"/>
          </w:tcPr>
          <w:p>
            <w:pPr>
              <w:jc w:val="center"/>
              <w:ind w:right="360"/>
              <w:spacing w:after="0" w:line="194" w:lineRule="exact"/>
              <w:rPr>
                <w:sz w:val="20"/>
                <w:szCs w:val="20"/>
                <w:color w:val="auto"/>
              </w:rPr>
            </w:pPr>
            <w:r>
              <w:rPr>
                <w:rFonts w:ascii="Arial" w:cs="Arial" w:eastAsia="Arial" w:hAnsi="Arial"/>
                <w:sz w:val="17"/>
                <w:szCs w:val="17"/>
                <w:color w:val="auto"/>
                <w:w w:val="98"/>
              </w:rPr>
              <w:t>Amount</w:t>
            </w:r>
          </w:p>
        </w:tc>
        <w:tc>
          <w:tcPr>
            <w:tcW w:w="540" w:type="dxa"/>
            <w:vAlign w:val="bottom"/>
          </w:tcPr>
          <w:p>
            <w:pPr>
              <w:spacing w:after="0"/>
              <w:rPr>
                <w:sz w:val="16"/>
                <w:szCs w:val="16"/>
                <w:color w:val="auto"/>
              </w:rPr>
            </w:pPr>
          </w:p>
        </w:tc>
        <w:tc>
          <w:tcPr>
            <w:tcW w:w="1000" w:type="dxa"/>
            <w:vAlign w:val="bottom"/>
          </w:tcPr>
          <w:p>
            <w:pPr>
              <w:jc w:val="center"/>
              <w:ind w:right="454"/>
              <w:spacing w:after="0" w:line="194" w:lineRule="exact"/>
              <w:rPr>
                <w:sz w:val="20"/>
                <w:szCs w:val="20"/>
                <w:color w:val="auto"/>
              </w:rPr>
            </w:pPr>
            <w:r>
              <w:rPr>
                <w:rFonts w:ascii="Arial" w:cs="Arial" w:eastAsia="Arial" w:hAnsi="Arial"/>
                <w:sz w:val="17"/>
                <w:szCs w:val="17"/>
                <w:color w:val="auto"/>
                <w:w w:val="96"/>
              </w:rPr>
              <w:t>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Financial liabilities:</w:t>
            </w:r>
          </w:p>
        </w:tc>
        <w:tc>
          <w:tcPr>
            <w:tcW w:w="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8"/>
        </w:trPr>
        <w:tc>
          <w:tcPr>
            <w:tcW w:w="2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7"/>
                <w:szCs w:val="17"/>
                <w:color w:val="auto"/>
              </w:rPr>
              <w:t>Current and long-term debt</w:t>
            </w:r>
          </w:p>
        </w:tc>
        <w:tc>
          <w:tcPr>
            <w:tcW w:w="320" w:type="dxa"/>
            <w:vAlign w:val="bottom"/>
          </w:tcPr>
          <w:p>
            <w:pPr>
              <w:jc w:val="right"/>
              <w:ind w:right="114"/>
              <w:spacing w:after="0"/>
              <w:rPr>
                <w:sz w:val="20"/>
                <w:szCs w:val="20"/>
                <w:color w:val="auto"/>
              </w:rPr>
            </w:pPr>
            <w:r>
              <w:rPr>
                <w:rFonts w:ascii="Arial" w:cs="Arial" w:eastAsia="Arial" w:hAnsi="Arial"/>
                <w:sz w:val="17"/>
                <w:szCs w:val="17"/>
                <w:b w:val="1"/>
                <w:bCs w:val="1"/>
                <w:color w:val="auto"/>
              </w:rPr>
              <w:t>$</w:t>
            </w:r>
          </w:p>
        </w:tc>
        <w:tc>
          <w:tcPr>
            <w:tcW w:w="1400" w:type="dxa"/>
            <w:vAlign w:val="bottom"/>
          </w:tcPr>
          <w:p>
            <w:pPr>
              <w:jc w:val="right"/>
              <w:spacing w:after="0"/>
              <w:rPr>
                <w:sz w:val="20"/>
                <w:szCs w:val="20"/>
                <w:color w:val="auto"/>
              </w:rPr>
            </w:pPr>
            <w:r>
              <w:rPr>
                <w:rFonts w:ascii="Arial" w:cs="Arial" w:eastAsia="Arial" w:hAnsi="Arial"/>
                <w:sz w:val="17"/>
                <w:szCs w:val="17"/>
                <w:b w:val="1"/>
                <w:bCs w:val="1"/>
                <w:color w:val="auto"/>
              </w:rPr>
              <w:t>1,475,720</w:t>
            </w:r>
          </w:p>
        </w:tc>
        <w:tc>
          <w:tcPr>
            <w:tcW w:w="80" w:type="dxa"/>
            <w:vAlign w:val="bottom"/>
          </w:tcPr>
          <w:p>
            <w:pPr>
              <w:spacing w:after="0"/>
              <w:rPr>
                <w:sz w:val="20"/>
                <w:szCs w:val="20"/>
                <w:color w:val="auto"/>
              </w:rPr>
            </w:pPr>
          </w:p>
        </w:tc>
        <w:tc>
          <w:tcPr>
            <w:tcW w:w="500" w:type="dxa"/>
            <w:vAlign w:val="bottom"/>
          </w:tcPr>
          <w:p>
            <w:pPr>
              <w:jc w:val="right"/>
              <w:ind w:right="294"/>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1,379,962</w:t>
            </w:r>
          </w:p>
        </w:tc>
        <w:tc>
          <w:tcPr>
            <w:tcW w:w="100" w:type="dxa"/>
            <w:vAlign w:val="bottom"/>
          </w:tcPr>
          <w:p>
            <w:pPr>
              <w:spacing w:after="0"/>
              <w:rPr>
                <w:sz w:val="20"/>
                <w:szCs w:val="20"/>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1,275,374</w:t>
            </w:r>
          </w:p>
        </w:tc>
        <w:tc>
          <w:tcPr>
            <w:tcW w:w="80" w:type="dxa"/>
            <w:vAlign w:val="bottom"/>
          </w:tcPr>
          <w:p>
            <w:pPr>
              <w:spacing w:after="0"/>
              <w:rPr>
                <w:sz w:val="20"/>
                <w:szCs w:val="20"/>
                <w:color w:val="auto"/>
              </w:rPr>
            </w:pPr>
          </w:p>
        </w:tc>
        <w:tc>
          <w:tcPr>
            <w:tcW w:w="540" w:type="dxa"/>
            <w:vAlign w:val="bottom"/>
          </w:tcPr>
          <w:p>
            <w:pPr>
              <w:jc w:val="right"/>
              <w:ind w:right="33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1,185,961</w:t>
            </w:r>
          </w:p>
        </w:tc>
      </w:tr>
    </w:tbl>
    <w:p>
      <w:pPr>
        <w:spacing w:after="0" w:line="15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Fair Values – Nonrecurring</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There were no impairment expenses incurred in the first quarter of 2025.</w:t>
      </w:r>
    </w:p>
    <w:p>
      <w:pPr>
        <w:spacing w:after="0" w:line="115" w:lineRule="exact"/>
        <w:rPr>
          <w:sz w:val="20"/>
          <w:szCs w:val="20"/>
          <w:color w:val="auto"/>
        </w:rPr>
      </w:pPr>
    </w:p>
    <w:p>
      <w:pPr>
        <w:ind w:right="200"/>
        <w:spacing w:after="0" w:line="291" w:lineRule="auto"/>
        <w:rPr>
          <w:sz w:val="20"/>
          <w:szCs w:val="20"/>
          <w:color w:val="auto"/>
        </w:rPr>
      </w:pPr>
      <w:r>
        <w:rPr>
          <w:rFonts w:ascii="Arial" w:cs="Arial" w:eastAsia="Arial" w:hAnsi="Arial"/>
          <w:sz w:val="17"/>
          <w:szCs w:val="17"/>
          <w:color w:val="auto"/>
        </w:rPr>
        <w:t>In the first quarter of 2024, an impairment charge of $34.5 million was triggered for the Calliope field, due to operational issues that led to reserve reductions.</w:t>
      </w:r>
    </w:p>
    <w:p>
      <w:pPr>
        <w:spacing w:after="0" w:line="43" w:lineRule="exact"/>
        <w:rPr>
          <w:sz w:val="20"/>
          <w:szCs w:val="20"/>
          <w:color w:val="auto"/>
        </w:rPr>
      </w:pPr>
    </w:p>
    <w:p>
      <w:pPr>
        <w:ind w:right="400"/>
        <w:spacing w:after="0" w:line="291" w:lineRule="auto"/>
        <w:rPr>
          <w:sz w:val="20"/>
          <w:szCs w:val="20"/>
          <w:color w:val="auto"/>
        </w:rPr>
      </w:pPr>
      <w:r>
        <w:rPr>
          <w:rFonts w:ascii="Arial" w:cs="Arial" w:eastAsia="Arial" w:hAnsi="Arial"/>
          <w:sz w:val="17"/>
          <w:szCs w:val="17"/>
          <w:color w:val="auto"/>
        </w:rPr>
        <w:t>The fair values were determined by internal discounted cash flow models using estimates of future production, prices, costs and discount rates believed to be consistent with those used by principal market participants in the applicable region.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information associated with the impaired properties is presented in the following table: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gridSpan w:val="8"/>
          </w:tcPr>
          <w:p>
            <w:pPr>
              <w:jc w:val="center"/>
              <w:ind w:right="300"/>
              <w:spacing w:after="0"/>
              <w:rPr>
                <w:sz w:val="20"/>
                <w:szCs w:val="20"/>
                <w:color w:val="auto"/>
              </w:rPr>
            </w:pPr>
            <w:r>
              <w:rPr>
                <w:rFonts w:ascii="Arial" w:cs="Arial" w:eastAsia="Arial" w:hAnsi="Arial"/>
                <w:sz w:val="17"/>
                <w:szCs w:val="17"/>
                <w:b w:val="1"/>
                <w:bCs w:val="1"/>
                <w:color w:val="auto"/>
              </w:rPr>
              <w:t>Three Months Ended March 31, 2024</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line="187" w:lineRule="exact"/>
              <w:rPr>
                <w:sz w:val="20"/>
                <w:szCs w:val="20"/>
                <w:color w:val="auto"/>
              </w:rPr>
            </w:pPr>
            <w:r>
              <w:rPr>
                <w:rFonts w:ascii="Arial" w:cs="Arial" w:eastAsia="Arial" w:hAnsi="Arial"/>
                <w:sz w:val="17"/>
                <w:szCs w:val="17"/>
                <w:color w:val="auto"/>
              </w:rPr>
              <w:t>Net Book</w:t>
            </w:r>
          </w:p>
        </w:tc>
        <w:tc>
          <w:tcPr>
            <w:tcW w:w="200" w:type="dxa"/>
            <w:vAlign w:val="bottom"/>
          </w:tcPr>
          <w:p>
            <w:pPr>
              <w:spacing w:after="0"/>
              <w:rPr>
                <w:sz w:val="16"/>
                <w:szCs w:val="16"/>
                <w:color w:val="auto"/>
              </w:rPr>
            </w:pPr>
          </w:p>
        </w:tc>
        <w:tc>
          <w:tcPr>
            <w:tcW w:w="1240" w:type="dxa"/>
            <w:vAlign w:val="bottom"/>
            <w:vMerge w:val="restart"/>
          </w:tcPr>
          <w:p>
            <w:pPr>
              <w:jc w:val="center"/>
              <w:ind w:right="114"/>
              <w:spacing w:after="0"/>
              <w:rPr>
                <w:sz w:val="20"/>
                <w:szCs w:val="20"/>
                <w:color w:val="auto"/>
              </w:rPr>
            </w:pPr>
            <w:r>
              <w:rPr>
                <w:rFonts w:ascii="Arial" w:cs="Arial" w:eastAsia="Arial" w:hAnsi="Arial"/>
                <w:sz w:val="17"/>
                <w:szCs w:val="17"/>
                <w:color w:val="auto"/>
                <w:w w:val="95"/>
              </w:rPr>
              <w:t>Total</w:t>
            </w: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3"/>
            <w:vMerge w:val="restart"/>
          </w:tcPr>
          <w:p>
            <w:pPr>
              <w:ind w:left="100"/>
              <w:spacing w:after="0"/>
              <w:rPr>
                <w:sz w:val="20"/>
                <w:szCs w:val="20"/>
                <w:color w:val="auto"/>
              </w:rPr>
            </w:pPr>
            <w:r>
              <w:rPr>
                <w:rFonts w:ascii="Arial" w:cs="Arial" w:eastAsia="Arial" w:hAnsi="Arial"/>
                <w:sz w:val="17"/>
                <w:szCs w:val="17"/>
                <w:color w:val="auto"/>
              </w:rPr>
              <w:t>Fair Value</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line="168" w:lineRule="exact"/>
              <w:rPr>
                <w:sz w:val="20"/>
                <w:szCs w:val="20"/>
                <w:color w:val="auto"/>
              </w:rPr>
            </w:pPr>
            <w:r>
              <w:rPr>
                <w:rFonts w:ascii="Arial" w:cs="Arial" w:eastAsia="Arial" w:hAnsi="Arial"/>
                <w:sz w:val="17"/>
                <w:szCs w:val="17"/>
                <w:color w:val="auto"/>
              </w:rPr>
              <w:t>Value</w:t>
            </w:r>
          </w:p>
        </w:tc>
        <w:tc>
          <w:tcPr>
            <w:tcW w:w="2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vMerge w:val="continue"/>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8" w:lineRule="exact"/>
              <w:rPr>
                <w:sz w:val="20"/>
                <w:szCs w:val="20"/>
                <w:color w:val="auto"/>
              </w:rPr>
            </w:pPr>
            <w:r>
              <w:rPr>
                <w:rFonts w:ascii="Arial" w:cs="Arial" w:eastAsia="Arial" w:hAnsi="Arial"/>
                <w:sz w:val="17"/>
                <w:szCs w:val="17"/>
                <w:color w:val="auto"/>
              </w:rPr>
              <w:t>Prior to</w:t>
            </w:r>
          </w:p>
        </w:tc>
        <w:tc>
          <w:tcPr>
            <w:tcW w:w="200" w:type="dxa"/>
            <w:vAlign w:val="bottom"/>
          </w:tcPr>
          <w:p>
            <w:pPr>
              <w:spacing w:after="0"/>
              <w:rPr>
                <w:sz w:val="12"/>
                <w:szCs w:val="12"/>
                <w:color w:val="auto"/>
              </w:rPr>
            </w:pPr>
          </w:p>
        </w:tc>
        <w:tc>
          <w:tcPr>
            <w:tcW w:w="1240" w:type="dxa"/>
            <w:vAlign w:val="bottom"/>
          </w:tcPr>
          <w:p>
            <w:pPr>
              <w:jc w:val="center"/>
              <w:ind w:right="114"/>
              <w:spacing w:after="0" w:line="148" w:lineRule="exact"/>
              <w:rPr>
                <w:sz w:val="20"/>
                <w:szCs w:val="20"/>
                <w:color w:val="auto"/>
              </w:rPr>
            </w:pPr>
            <w:r>
              <w:rPr>
                <w:rFonts w:ascii="Arial" w:cs="Arial" w:eastAsia="Arial" w:hAnsi="Arial"/>
                <w:sz w:val="17"/>
                <w:szCs w:val="17"/>
                <w:color w:val="auto"/>
                <w:w w:val="97"/>
              </w:rPr>
              <w:t>Pretax</w:t>
            </w:r>
          </w:p>
        </w:tc>
        <w:tc>
          <w:tcPr>
            <w:tcW w:w="0" w:type="dxa"/>
            <w:vAlign w:val="bottom"/>
          </w:tcPr>
          <w:p>
            <w:pPr>
              <w:spacing w:after="0"/>
              <w:rPr>
                <w:sz w:val="1"/>
                <w:szCs w:val="1"/>
                <w:color w:val="auto"/>
              </w:rPr>
            </w:pPr>
          </w:p>
        </w:tc>
      </w:tr>
      <w:tr>
        <w:trPr>
          <w:trHeight w:val="194"/>
        </w:trPr>
        <w:tc>
          <w:tcPr>
            <w:tcW w:w="3680" w:type="dxa"/>
            <w:vAlign w:val="bottom"/>
            <w:gridSpan w:val="3"/>
          </w:tcPr>
          <w:p>
            <w:pPr>
              <w:ind w:left="20"/>
              <w:spacing w:after="0" w:line="194" w:lineRule="exact"/>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Thousands of dollars</w:t>
            </w: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1480" w:type="dxa"/>
            <w:vAlign w:val="bottom"/>
            <w:gridSpan w:val="3"/>
          </w:tcPr>
          <w:p>
            <w:pPr>
              <w:ind w:left="160"/>
              <w:spacing w:after="0" w:line="194" w:lineRule="exact"/>
              <w:rPr>
                <w:sz w:val="20"/>
                <w:szCs w:val="20"/>
                <w:color w:val="auto"/>
              </w:rPr>
            </w:pPr>
            <w:r>
              <w:rPr>
                <w:rFonts w:ascii="Arial" w:cs="Arial" w:eastAsia="Arial" w:hAnsi="Arial"/>
                <w:sz w:val="17"/>
                <w:szCs w:val="17"/>
                <w:color w:val="auto"/>
              </w:rPr>
              <w:t>Level 1</w:t>
            </w:r>
          </w:p>
        </w:tc>
        <w:tc>
          <w:tcPr>
            <w:tcW w:w="1580" w:type="dxa"/>
            <w:vAlign w:val="bottom"/>
            <w:gridSpan w:val="3"/>
          </w:tcPr>
          <w:p>
            <w:pPr>
              <w:ind w:left="220"/>
              <w:spacing w:after="0" w:line="194" w:lineRule="exact"/>
              <w:rPr>
                <w:sz w:val="20"/>
                <w:szCs w:val="20"/>
                <w:color w:val="auto"/>
              </w:rPr>
            </w:pPr>
            <w:r>
              <w:rPr>
                <w:rFonts w:ascii="Arial" w:cs="Arial" w:eastAsia="Arial" w:hAnsi="Arial"/>
                <w:sz w:val="17"/>
                <w:szCs w:val="17"/>
                <w:color w:val="auto"/>
              </w:rPr>
              <w:t>Level 2</w:t>
            </w:r>
          </w:p>
        </w:tc>
        <w:tc>
          <w:tcPr>
            <w:tcW w:w="1260" w:type="dxa"/>
            <w:vAlign w:val="bottom"/>
            <w:gridSpan w:val="2"/>
          </w:tcPr>
          <w:p>
            <w:pPr>
              <w:jc w:val="center"/>
              <w:ind w:right="380"/>
              <w:spacing w:after="0" w:line="194" w:lineRule="exact"/>
              <w:rPr>
                <w:sz w:val="20"/>
                <w:szCs w:val="20"/>
                <w:color w:val="auto"/>
              </w:rPr>
            </w:pPr>
            <w:r>
              <w:rPr>
                <w:rFonts w:ascii="Arial" w:cs="Arial" w:eastAsia="Arial" w:hAnsi="Arial"/>
                <w:sz w:val="17"/>
                <w:szCs w:val="17"/>
                <w:color w:val="auto"/>
              </w:rPr>
              <w:t>Level 3</w:t>
            </w:r>
          </w:p>
        </w:tc>
        <w:tc>
          <w:tcPr>
            <w:tcW w:w="200" w:type="dxa"/>
            <w:vAlign w:val="bottom"/>
          </w:tcPr>
          <w:p>
            <w:pPr>
              <w:spacing w:after="0"/>
              <w:rPr>
                <w:sz w:val="16"/>
                <w:szCs w:val="16"/>
                <w:color w:val="auto"/>
              </w:rPr>
            </w:pPr>
          </w:p>
        </w:tc>
        <w:tc>
          <w:tcPr>
            <w:tcW w:w="1340" w:type="dxa"/>
            <w:vAlign w:val="bottom"/>
            <w:gridSpan w:val="2"/>
          </w:tcPr>
          <w:p>
            <w:pPr>
              <w:jc w:val="center"/>
              <w:ind w:right="320"/>
              <w:spacing w:after="0" w:line="194" w:lineRule="exact"/>
              <w:rPr>
                <w:sz w:val="20"/>
                <w:szCs w:val="20"/>
                <w:color w:val="auto"/>
              </w:rPr>
            </w:pPr>
            <w:r>
              <w:rPr>
                <w:rFonts w:ascii="Arial" w:cs="Arial" w:eastAsia="Arial" w:hAnsi="Arial"/>
                <w:sz w:val="17"/>
                <w:szCs w:val="17"/>
                <w:color w:val="auto"/>
              </w:rPr>
              <w:t>Impairment</w:t>
            </w:r>
          </w:p>
        </w:tc>
        <w:tc>
          <w:tcPr>
            <w:tcW w:w="200" w:type="dxa"/>
            <w:vAlign w:val="bottom"/>
          </w:tcPr>
          <w:p>
            <w:pPr>
              <w:spacing w:after="0"/>
              <w:rPr>
                <w:sz w:val="16"/>
                <w:szCs w:val="16"/>
                <w:color w:val="auto"/>
              </w:rPr>
            </w:pPr>
          </w:p>
        </w:tc>
        <w:tc>
          <w:tcPr>
            <w:tcW w:w="1240" w:type="dxa"/>
            <w:vAlign w:val="bottom"/>
          </w:tcPr>
          <w:p>
            <w:pPr>
              <w:jc w:val="center"/>
              <w:ind w:right="94"/>
              <w:spacing w:after="0" w:line="194" w:lineRule="exact"/>
              <w:rPr>
                <w:sz w:val="20"/>
                <w:szCs w:val="20"/>
                <w:color w:val="auto"/>
              </w:rPr>
            </w:pPr>
            <w:r>
              <w:rPr>
                <w:rFonts w:ascii="Arial" w:cs="Arial" w:eastAsia="Arial" w:hAnsi="Arial"/>
                <w:sz w:val="17"/>
                <w:szCs w:val="17"/>
                <w:color w:val="auto"/>
              </w:rPr>
              <w:t>Impairment</w:t>
            </w:r>
          </w:p>
        </w:tc>
        <w:tc>
          <w:tcPr>
            <w:tcW w:w="0" w:type="dxa"/>
            <w:vAlign w:val="bottom"/>
          </w:tcPr>
          <w:p>
            <w:pPr>
              <w:spacing w:after="0"/>
              <w:rPr>
                <w:sz w:val="1"/>
                <w:szCs w:val="1"/>
                <w:color w:val="auto"/>
              </w:rPr>
            </w:pP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1600" w:type="dxa"/>
            <w:vAlign w:val="bottom"/>
            <w:tcBorders>
              <w:top w:val="single" w:sz="8" w:color="auto"/>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6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2024</w:t>
            </w:r>
          </w:p>
        </w:tc>
        <w:tc>
          <w:tcPr>
            <w:tcW w:w="2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680" w:type="dxa"/>
            <w:vAlign w:val="bottom"/>
            <w:gridSpan w:val="3"/>
          </w:tcPr>
          <w:p>
            <w:pPr>
              <w:ind w:left="20"/>
              <w:spacing w:after="0"/>
              <w:rPr>
                <w:sz w:val="20"/>
                <w:szCs w:val="20"/>
                <w:color w:val="auto"/>
              </w:rPr>
            </w:pPr>
            <w:r>
              <w:rPr>
                <w:rFonts w:ascii="Arial" w:cs="Arial" w:eastAsia="Arial" w:hAnsi="Arial"/>
                <w:sz w:val="17"/>
                <w:szCs w:val="17"/>
                <w:color w:val="auto"/>
              </w:rPr>
              <w:t>Assets: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Impaired proved properties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600" w:type="dxa"/>
            <w:vAlign w:val="bottom"/>
            <w:gridSpan w:val="2"/>
          </w:tcPr>
          <w:p>
            <w:pPr>
              <w:ind w:left="260"/>
              <w:spacing w:after="0"/>
              <w:rPr>
                <w:sz w:val="20"/>
                <w:szCs w:val="20"/>
                <w:color w:val="auto"/>
              </w:rPr>
            </w:pPr>
            <w:r>
              <w:rPr>
                <w:rFonts w:ascii="Arial" w:cs="Arial" w:eastAsia="Arial" w:hAnsi="Arial"/>
                <w:sz w:val="17"/>
                <w:szCs w:val="17"/>
                <w:color w:val="auto"/>
              </w:rPr>
              <w:t>United States - Offshore</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480" w:type="dxa"/>
            <w:vAlign w:val="bottom"/>
            <w:gridSpan w:val="3"/>
          </w:tcPr>
          <w:p>
            <w:pPr>
              <w:ind w:left="900"/>
              <w:spacing w:after="0"/>
              <w:rPr>
                <w:sz w:val="20"/>
                <w:szCs w:val="20"/>
                <w:color w:val="auto"/>
              </w:rPr>
            </w:pPr>
            <w:r>
              <w:rPr>
                <w:rFonts w:ascii="Arial" w:cs="Arial" w:eastAsia="Arial" w:hAnsi="Arial"/>
                <w:sz w:val="17"/>
                <w:szCs w:val="17"/>
                <w:color w:val="auto"/>
              </w:rPr>
              <w:t>—  $</w:t>
            </w:r>
          </w:p>
        </w:tc>
        <w:tc>
          <w:tcPr>
            <w:tcW w:w="1580" w:type="dxa"/>
            <w:vAlign w:val="bottom"/>
            <w:gridSpan w:val="3"/>
          </w:tcPr>
          <w:p>
            <w:pPr>
              <w:ind w:left="960"/>
              <w:spacing w:after="0"/>
              <w:rPr>
                <w:sz w:val="20"/>
                <w:szCs w:val="20"/>
                <w:color w:val="auto"/>
              </w:rPr>
            </w:pPr>
            <w:r>
              <w:rPr>
                <w:rFonts w:ascii="Arial" w:cs="Arial" w:eastAsia="Arial" w:hAnsi="Arial"/>
                <w:sz w:val="17"/>
                <w:szCs w:val="17"/>
                <w:color w:val="auto"/>
              </w:rPr>
              <w:t>—  $</w:t>
            </w:r>
          </w:p>
        </w:tc>
        <w:tc>
          <w:tcPr>
            <w:tcW w:w="1160" w:type="dxa"/>
            <w:vAlign w:val="bottom"/>
          </w:tcPr>
          <w:p>
            <w:pPr>
              <w:jc w:val="right"/>
              <w:spacing w:after="0"/>
              <w:rPr>
                <w:sz w:val="20"/>
                <w:szCs w:val="20"/>
                <w:color w:val="auto"/>
              </w:rPr>
            </w:pPr>
            <w:r>
              <w:rPr>
                <w:rFonts w:ascii="Arial" w:cs="Arial" w:eastAsia="Arial" w:hAnsi="Arial"/>
                <w:sz w:val="17"/>
                <w:szCs w:val="17"/>
                <w:color w:val="auto"/>
              </w:rPr>
              <w:t>437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34,965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34,528</w:t>
            </w:r>
          </w:p>
        </w:tc>
        <w:tc>
          <w:tcPr>
            <w:tcW w:w="0" w:type="dxa"/>
            <w:vAlign w:val="bottom"/>
          </w:tcPr>
          <w:p>
            <w:pPr>
              <w:spacing w:after="0"/>
              <w:rPr>
                <w:sz w:val="1"/>
                <w:szCs w:val="1"/>
                <w:color w:val="auto"/>
              </w:rPr>
            </w:pPr>
          </w:p>
        </w:tc>
      </w:tr>
      <w:tr>
        <w:trPr>
          <w:trHeight w:val="849"/>
        </w:trPr>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ind w:left="100"/>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200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M – Accumulated Other Comprehensive Loss</w:t>
      </w:r>
    </w:p>
    <w:p>
      <w:pPr>
        <w:spacing w:after="0" w:line="117"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The components of “Accumulated other comprehensive loss” on the Consolidated Balance Sheets at December 31, 2024 and March 31, 2025 and the changes during the three-month periods ended March 31, 2025 are presented net of taxes in the following table.</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Foreign</w:t>
            </w:r>
          </w:p>
        </w:tc>
        <w:tc>
          <w:tcPr>
            <w:tcW w:w="180" w:type="dxa"/>
            <w:vAlign w:val="bottom"/>
          </w:tcPr>
          <w:p>
            <w:pPr>
              <w:spacing w:after="0"/>
              <w:rPr>
                <w:sz w:val="16"/>
                <w:szCs w:val="16"/>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rPr>
              <w:t>Retirement and</w:t>
            </w: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center"/>
              <w:ind w:right="260"/>
              <w:spacing w:after="0" w:line="175" w:lineRule="exact"/>
              <w:rPr>
                <w:sz w:val="20"/>
                <w:szCs w:val="20"/>
                <w:color w:val="auto"/>
              </w:rPr>
            </w:pPr>
            <w:r>
              <w:rPr>
                <w:rFonts w:ascii="Arial" w:cs="Arial" w:eastAsia="Arial" w:hAnsi="Arial"/>
                <w:sz w:val="17"/>
                <w:szCs w:val="17"/>
                <w:b w:val="1"/>
                <w:bCs w:val="1"/>
                <w:color w:val="auto"/>
              </w:rPr>
              <w:t>Currency</w:t>
            </w:r>
          </w:p>
        </w:tc>
        <w:tc>
          <w:tcPr>
            <w:tcW w:w="180" w:type="dxa"/>
            <w:vAlign w:val="bottom"/>
          </w:tcPr>
          <w:p>
            <w:pPr>
              <w:spacing w:after="0"/>
              <w:rPr>
                <w:sz w:val="15"/>
                <w:szCs w:val="15"/>
                <w:color w:val="auto"/>
              </w:rPr>
            </w:pPr>
          </w:p>
        </w:tc>
        <w:tc>
          <w:tcPr>
            <w:tcW w:w="1620" w:type="dxa"/>
            <w:vAlign w:val="bottom"/>
            <w:gridSpan w:val="2"/>
          </w:tcPr>
          <w:p>
            <w:pPr>
              <w:jc w:val="center"/>
              <w:ind w:right="280"/>
              <w:spacing w:after="0" w:line="175" w:lineRule="exact"/>
              <w:rPr>
                <w:sz w:val="20"/>
                <w:szCs w:val="20"/>
                <w:color w:val="auto"/>
              </w:rPr>
            </w:pPr>
            <w:r>
              <w:rPr>
                <w:rFonts w:ascii="Arial" w:cs="Arial" w:eastAsia="Arial" w:hAnsi="Arial"/>
                <w:sz w:val="17"/>
                <w:szCs w:val="17"/>
                <w:b w:val="1"/>
                <w:bCs w:val="1"/>
                <w:color w:val="auto"/>
              </w:rPr>
              <w:t>Postretirement</w:t>
            </w: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20" w:type="dxa"/>
            <w:vAlign w:val="bottom"/>
            <w:gridSpan w:val="2"/>
            <w:vMerge w:val="restart"/>
          </w:tcPr>
          <w:p>
            <w:pPr>
              <w:spacing w:after="0"/>
              <w:rPr>
                <w:sz w:val="20"/>
                <w:szCs w:val="20"/>
                <w:color w:val="auto"/>
              </w:rPr>
            </w:pPr>
            <w:r>
              <w:rPr>
                <w:rFonts w:ascii="Arial" w:cs="Arial" w:eastAsia="Arial" w:hAnsi="Arial"/>
                <w:sz w:val="17"/>
                <w:szCs w:val="17"/>
                <w:i w:val="1"/>
                <w:iCs w:val="1"/>
                <w:color w:val="auto"/>
              </w:rPr>
              <w:t>(Thousands of dollars)</w:t>
            </w:r>
          </w:p>
        </w:tc>
        <w:tc>
          <w:tcPr>
            <w:tcW w:w="180" w:type="dxa"/>
            <w:vAlign w:val="bottom"/>
          </w:tcPr>
          <w:p>
            <w:pPr>
              <w:spacing w:after="0"/>
              <w:rPr>
                <w:sz w:val="15"/>
                <w:szCs w:val="15"/>
                <w:color w:val="auto"/>
              </w:rPr>
            </w:pPr>
          </w:p>
        </w:tc>
        <w:tc>
          <w:tcPr>
            <w:tcW w:w="1620" w:type="dxa"/>
            <w:vAlign w:val="bottom"/>
            <w:gridSpan w:val="2"/>
          </w:tcPr>
          <w:p>
            <w:pPr>
              <w:jc w:val="center"/>
              <w:ind w:right="260"/>
              <w:spacing w:after="0" w:line="174" w:lineRule="exact"/>
              <w:rPr>
                <w:sz w:val="20"/>
                <w:szCs w:val="20"/>
                <w:color w:val="auto"/>
              </w:rPr>
            </w:pPr>
            <w:r>
              <w:rPr>
                <w:rFonts w:ascii="Arial" w:cs="Arial" w:eastAsia="Arial" w:hAnsi="Arial"/>
                <w:sz w:val="17"/>
                <w:szCs w:val="17"/>
                <w:b w:val="1"/>
                <w:bCs w:val="1"/>
                <w:color w:val="auto"/>
              </w:rPr>
              <w:t>Translation</w:t>
            </w:r>
          </w:p>
        </w:tc>
        <w:tc>
          <w:tcPr>
            <w:tcW w:w="180" w:type="dxa"/>
            <w:vAlign w:val="bottom"/>
          </w:tcPr>
          <w:p>
            <w:pPr>
              <w:spacing w:after="0"/>
              <w:rPr>
                <w:sz w:val="15"/>
                <w:szCs w:val="15"/>
                <w:color w:val="auto"/>
              </w:rPr>
            </w:pPr>
          </w:p>
        </w:tc>
        <w:tc>
          <w:tcPr>
            <w:tcW w:w="1620" w:type="dxa"/>
            <w:vAlign w:val="bottom"/>
            <w:gridSpan w:val="2"/>
          </w:tcPr>
          <w:p>
            <w:pPr>
              <w:jc w:val="center"/>
              <w:ind w:right="260"/>
              <w:spacing w:after="0" w:line="174" w:lineRule="exact"/>
              <w:rPr>
                <w:sz w:val="20"/>
                <w:szCs w:val="20"/>
                <w:color w:val="auto"/>
              </w:rPr>
            </w:pPr>
            <w:r>
              <w:rPr>
                <w:rFonts w:ascii="Arial" w:cs="Arial" w:eastAsia="Arial" w:hAnsi="Arial"/>
                <w:sz w:val="17"/>
                <w:szCs w:val="17"/>
                <w:b w:val="1"/>
                <w:bCs w:val="1"/>
                <w:color w:val="auto"/>
              </w:rPr>
              <w:t>Benefit Plan</w:t>
            </w:r>
          </w:p>
        </w:tc>
        <w:tc>
          <w:tcPr>
            <w:tcW w:w="380" w:type="dxa"/>
            <w:vAlign w:val="bottom"/>
          </w:tcPr>
          <w:p>
            <w:pPr>
              <w:spacing w:after="0"/>
              <w:rPr>
                <w:sz w:val="15"/>
                <w:szCs w:val="15"/>
                <w:color w:val="auto"/>
              </w:rPr>
            </w:pPr>
          </w:p>
        </w:tc>
        <w:tc>
          <w:tcPr>
            <w:tcW w:w="1320" w:type="dxa"/>
            <w:vAlign w:val="bottom"/>
            <w:vMerge w:val="restart"/>
          </w:tcPr>
          <w:p>
            <w:pPr>
              <w:jc w:val="right"/>
              <w:ind w:right="55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9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center"/>
              <w:ind w:right="260"/>
              <w:spacing w:after="0" w:line="181" w:lineRule="exact"/>
              <w:rPr>
                <w:sz w:val="20"/>
                <w:szCs w:val="20"/>
                <w:color w:val="auto"/>
              </w:rPr>
            </w:pPr>
            <w:r>
              <w:rPr>
                <w:rFonts w:ascii="Arial" w:cs="Arial" w:eastAsia="Arial" w:hAnsi="Arial"/>
                <w:sz w:val="17"/>
                <w:szCs w:val="17"/>
                <w:b w:val="1"/>
                <w:bCs w:val="1"/>
                <w:color w:val="auto"/>
              </w:rPr>
              <w:t>Gains (Losses)</w:t>
            </w:r>
          </w:p>
        </w:tc>
        <w:tc>
          <w:tcPr>
            <w:tcW w:w="180" w:type="dxa"/>
            <w:vAlign w:val="bottom"/>
          </w:tcPr>
          <w:p>
            <w:pPr>
              <w:spacing w:after="0"/>
              <w:rPr>
                <w:sz w:val="15"/>
                <w:szCs w:val="15"/>
                <w:color w:val="auto"/>
              </w:rPr>
            </w:pPr>
          </w:p>
        </w:tc>
        <w:tc>
          <w:tcPr>
            <w:tcW w:w="1620" w:type="dxa"/>
            <w:vAlign w:val="bottom"/>
            <w:gridSpan w:val="2"/>
          </w:tcPr>
          <w:p>
            <w:pPr>
              <w:jc w:val="center"/>
              <w:ind w:right="260"/>
              <w:spacing w:after="0" w:line="181" w:lineRule="exact"/>
              <w:rPr>
                <w:sz w:val="20"/>
                <w:szCs w:val="20"/>
                <w:color w:val="auto"/>
              </w:rPr>
            </w:pPr>
            <w:r>
              <w:rPr>
                <w:rFonts w:ascii="Arial" w:cs="Arial" w:eastAsia="Arial" w:hAnsi="Arial"/>
                <w:sz w:val="17"/>
                <w:szCs w:val="17"/>
                <w:b w:val="1"/>
                <w:bCs w:val="1"/>
                <w:color w:val="auto"/>
              </w:rPr>
              <w:t>Adjustments</w:t>
            </w:r>
          </w:p>
        </w:tc>
        <w:tc>
          <w:tcPr>
            <w:tcW w:w="3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at December 31, 2024</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(516,324)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(111,748)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(628,072)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920" w:type="dxa"/>
            <w:vAlign w:val="bottom"/>
            <w:gridSpan w:val="2"/>
          </w:tcPr>
          <w:p>
            <w:pPr>
              <w:ind w:left="160"/>
              <w:spacing w:after="0"/>
              <w:rPr>
                <w:sz w:val="20"/>
                <w:szCs w:val="20"/>
                <w:color w:val="auto"/>
              </w:rPr>
            </w:pPr>
            <w:r>
              <w:rPr>
                <w:rFonts w:ascii="Arial" w:cs="Arial" w:eastAsia="Arial" w:hAnsi="Arial"/>
                <w:sz w:val="17"/>
                <w:szCs w:val="17"/>
                <w:color w:val="auto"/>
              </w:rPr>
              <w:t>Components of other comprehensive income (loss):</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Before reclassifications to income</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(1,667)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(1,667)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920" w:type="dxa"/>
            <w:vAlign w:val="bottom"/>
            <w:gridSpan w:val="2"/>
          </w:tcPr>
          <w:p>
            <w:pPr>
              <w:ind w:left="420"/>
              <w:spacing w:after="0"/>
              <w:rPr>
                <w:sz w:val="20"/>
                <w:szCs w:val="20"/>
                <w:color w:val="auto"/>
              </w:rPr>
            </w:pPr>
            <w:r>
              <w:rPr>
                <w:rFonts w:ascii="Arial" w:cs="Arial" w:eastAsia="Arial" w:hAnsi="Arial"/>
                <w:sz w:val="17"/>
                <w:szCs w:val="17"/>
                <w:color w:val="auto"/>
              </w:rPr>
              <w:t>Reclassifications to income ¹</w:t>
            </w:r>
          </w:p>
        </w:tc>
        <w:tc>
          <w:tcPr>
            <w:tcW w:w="180" w:type="dxa"/>
            <w:vAlign w:val="bottom"/>
          </w:tcPr>
          <w:p>
            <w:pPr>
              <w:spacing w:after="0"/>
              <w:rPr>
                <w:sz w:val="19"/>
                <w:szCs w:val="19"/>
                <w:color w:val="auto"/>
              </w:rPr>
            </w:pPr>
          </w:p>
        </w:tc>
        <w:tc>
          <w:tcPr>
            <w:tcW w:w="1620" w:type="dxa"/>
            <w:vAlign w:val="bottom"/>
            <w:gridSpan w:val="2"/>
          </w:tcPr>
          <w:p>
            <w:pPr>
              <w:ind w:left="128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b w:val="1"/>
                <w:bCs w:val="1"/>
                <w:color w:val="auto"/>
              </w:rPr>
              <w:t>864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864</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592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Net other comprehensive income (loss)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(1,667)</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864</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(803)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b w:val="1"/>
                <w:bCs w:val="1"/>
                <w:color w:val="auto"/>
              </w:rPr>
              <w:t>Balance at March 31, 2025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(517,991)</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(110,884)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(628,875)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160" w:right="520" w:hanging="157"/>
        <w:spacing w:after="0" w:line="227" w:lineRule="auto"/>
        <w:tabs>
          <w:tab w:leader="none" w:pos="147" w:val="left"/>
        </w:tabs>
        <w:numPr>
          <w:ilvl w:val="0"/>
          <w:numId w:val="9"/>
        </w:numPr>
        <w:rPr>
          <w:rFonts w:ascii="Arial" w:cs="Arial" w:eastAsia="Arial" w:hAnsi="Arial"/>
          <w:sz w:val="20"/>
          <w:szCs w:val="20"/>
          <w:color w:val="auto"/>
          <w:vertAlign w:val="superscript"/>
        </w:rPr>
      </w:pPr>
      <w:r>
        <w:rPr>
          <w:rFonts w:ascii="Arial" w:cs="Arial" w:eastAsia="Arial" w:hAnsi="Arial"/>
          <w:sz w:val="16"/>
          <w:szCs w:val="16"/>
          <w:color w:val="auto"/>
        </w:rPr>
        <w:t xml:space="preserve">Reclassifications before taxes of $1.0 million are included in the computation of net periodic benefit expense for the three-month period ended March 31, 2025. See </w:t>
      </w:r>
      <w:r>
        <w:rPr>
          <w:rFonts w:ascii="Arial" w:cs="Arial" w:eastAsia="Arial" w:hAnsi="Arial"/>
          <w:sz w:val="16"/>
          <w:szCs w:val="16"/>
          <w:u w:val="single" w:color="auto"/>
          <w:color w:val="0000FF"/>
        </w:rPr>
        <w:t>Note H</w:t>
      </w:r>
      <w:r>
        <w:rPr>
          <w:rFonts w:ascii="Arial" w:cs="Arial" w:eastAsia="Arial" w:hAnsi="Arial"/>
          <w:sz w:val="16"/>
          <w:szCs w:val="16"/>
          <w:color w:val="auto"/>
        </w:rPr>
        <w:t xml:space="preserve"> for additional information. Related income taxes of $0.2 million are included in "Income tax expense” on the Consolidated Statements of Operations for the three-month period ended March 31, 2025.</w:t>
      </w: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N – Environmental and Other Contingencies</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The Company’s operations and earnings have been and may be affected by various forms of governmental action both in the United States and throughout the world. Examples of such governmental action include, but are by no means limited to: tax legislation changes, including tax rate changes, and retroactive tax claims; trade policies, tariffs and other trade restrictions; royalty and revenue sharing increases; import and export controls; price controls; currency controls; allocation of supplies of crude oil and petroleum products and other goods; expropriation of property; restrictions and preferences affecting the issuance of oil and natural gas or mineral leases; restrictions on drilling and/or production; laws, regulations and government action intended for the promotion of safety and the protection and/or remediation of the environment including in connection with the purported causes or potential impacts of climate change; governmental support for other forms of energy; and laws and regulations affecting the Company’s relationships with employees, suppliers, customers, stockholders and others. Given the factors involved in various government actions, including political considerations, it is difficult to predict their likelihood, the form they may take, or the effect they may have on the Company.</w:t>
      </w:r>
    </w:p>
    <w:p>
      <w:pPr>
        <w:spacing w:after="0" w:line="78"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ENVIRONMENTAL MATTERS – Murphy and other companies in the oil and natural gas industry are subject to numerous federal, state, local and foreign laws and regulations dealing with the environment and protection of health and safety. The principal environmental, health and safety laws and regulations to which Murphy is subject address such matters as the generation, storage, handling, use, disposal and remediation of petroleum products, wastewater and hazardous materials; the emission and discharge of such materials to the environment, including methane and other greenhouse gas (GHG) emissions; wildlife, habitat and water protection; water access, use and disposal; the placement, operation and decommissioning of production equipment; the health and safety of our employees, contractors and communities where our operations are located, including indigenous communities; and the causes and impacts of climate change. These laws and regulations also generally require permits for existing operations, as well as the construction or development of new operations and the decommissioning of facilities once production has ceased.</w:t>
      </w:r>
    </w:p>
    <w:p>
      <w:pPr>
        <w:spacing w:after="0" w:line="283"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Violation of federal or state environmental, health and safety laws, regulations and permits can result in the imposition of significant civil and criminal penalties, injunctions and construction bans or delays. A discharge of hazardous substances into the environment could, to the extent such event is not adequately insured, subject the Company to substantial expense, including both the cost to comply with applicable regulations and claims by neighboring landowners and other third parties for any personal injury and property damage that might result. In addition, Item 103 of SEC Regulation S-K requires disclosure of certain environmental matters when a governmental authority is a party to the proceedings and such proceedings involve potential monetary sanctions that the Company reasonably believes will exceed a specified threshold. Pursuant to SEC amendments to this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N – Environmental and Other Contingencies (Continued)</w:t>
      </w:r>
    </w:p>
    <w:p>
      <w:pPr>
        <w:spacing w:after="0" w:line="200" w:lineRule="exact"/>
        <w:rPr>
          <w:sz w:val="20"/>
          <w:szCs w:val="20"/>
          <w:color w:val="auto"/>
        </w:rPr>
      </w:pPr>
    </w:p>
    <w:p>
      <w:pPr>
        <w:spacing w:after="0" w:line="291"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item, the Company will be using a threshold of $1.0 million for such proceedings and the Company is not aware of environmental legal proceedings likely to exceed this $1.0 million threshold.</w:t>
      </w:r>
    </w:p>
    <w:p>
      <w:pPr>
        <w:spacing w:after="0" w:line="43"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In recent years, there has been an increase in regulatory oversight of the oil and natural gas industry at the state and federal level, with a focus on climate change and GHG emissions (including methane emissions). For example, in March 2024, the U.S. Environmental Protection Agency (EPA) published its final rule regulating methane and volatile organic compounds emissions in the oil and natural gas industry which, among other things, requires periodic inspections to detect leaks (and subsequent repairs), places stringent restrictions on venting and flaring of methane, and establishes a program whereby third parties can monitor and report large methane emissions to the U.S. EPA. In November 2024, the U.S. EPA published its final rule implementing a charge on large emitters of waste methane from the oil and gas sector. This rule was disapproved by a joint Congressional resolution in March 2025. In addition, an international climate agreement (the Paris Agreement) was agreed to at the 2015 United Nations Framework Convention on Climate Change in Paris, France. Although the U.S. officially withdrew from the Paris Agreement on November 4, 2020, the U.S. rejoined the Paris Agreement in 2021. In January 2025, the United States submitted formal notification to the United Nations that it intends to withdraw from the Paris Agreement again. Pursuant to the terms of the Paris Agreement, the withdrawal will take effect on January 27, 2026.</w:t>
      </w:r>
    </w:p>
    <w:p>
      <w:pPr>
        <w:spacing w:after="0" w:line="75"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The Company currently owns or leases, and has in the past owned or leased, properties at which hazardous substances have been or are being handled. Hazardous substances may have been disposed of or released on or under the properties owned or leased by the Company or on or under other locations where these wastes have been taken for disposal. In addition, many of these properties have been operated by third parties whose treatment and disposal or release of hydrocarbons or other wastes were not under Murphy’s control. Under existing laws, the Company could be required to investigate, remove or remediate previously disposed wastes (including wastes disposed of or released by prior owners or operators), to investigate and clean up contaminated property (including contaminated groundwater) or to perform remedial plugging operations to prevent future contamination. Certain of these historical properties are in various stages of negotiation, investigation, and/or cleanup, and the Company is investigating the extent of any such liability and the availability of applicable defenses. The Company has retained certain liabilities related to environmental matters at formerly owned U.S. refineries that were sold in 2011. The Company also obtained insurance covering certain levels of environmental exposures related to past operations of these refineries. Murphy USA Inc. has retained any environmental exposure associated with Murphy’s former U.S. marketing operations that were spun-off in August 2013. The Company believes costs related to these sites will not have a material adverse effect on Murphy’s net income, financial condition or liquidity in a future period. Depending on the evolution of laws, regulations and litigation outcomes relating to climate change, there can be no guarantee that climate change litigation will not in the future materially adversely affect our results of operations, cash flows and financial condition.</w:t>
      </w:r>
    </w:p>
    <w:p>
      <w:pPr>
        <w:spacing w:after="0" w:line="79"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There is the possibility that environmental expenditures could be required at currently unidentified sites, and additional expenditures could be required at known sites. However, based on information currently available to the Company, the amount of future investigation and remediation costs incurred at known or currently unidentified sites is not expected to have a material adverse effect on the Company’s future net income, cash flows or liquidity.</w:t>
      </w:r>
    </w:p>
    <w:p>
      <w:pPr>
        <w:spacing w:after="0" w:line="64"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LEGAL MATTERS – Murphy and its subsidiaries are engaged in a number of other legal proceedings (including litigation related to climate change), all of which Murphy considers routine and incidental to its business. Based on information currently available to the Company, the ultimate resolution of environmental and legal matters referred to in this note is not expected to have a material adverse effect on the Company’s net income, financial condition or liquidity in a future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O – Common Stock Issued and Outstanding</w:t>
      </w:r>
    </w:p>
    <w:p>
      <w:pPr>
        <w:spacing w:after="0" w:line="117" w:lineRule="exact"/>
        <w:rPr>
          <w:sz w:val="20"/>
          <w:szCs w:val="20"/>
          <w:color w:val="auto"/>
        </w:rPr>
      </w:pPr>
    </w:p>
    <w:p>
      <w:pPr>
        <w:ind w:right="280"/>
        <w:spacing w:after="0" w:line="291" w:lineRule="auto"/>
        <w:rPr>
          <w:sz w:val="20"/>
          <w:szCs w:val="20"/>
          <w:color w:val="auto"/>
        </w:rPr>
      </w:pPr>
      <w:r>
        <w:rPr>
          <w:rFonts w:ascii="Arial" w:cs="Arial" w:eastAsia="Arial" w:hAnsi="Arial"/>
          <w:sz w:val="17"/>
          <w:szCs w:val="17"/>
          <w:color w:val="auto"/>
        </w:rPr>
        <w:t>Activity in the number of shares of common stock issued and outstanding for the three-month periods ended March 31, 2025 and 2024 is shown below.</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80" w:type="dxa"/>
            <w:vAlign w:val="bottom"/>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Number of shares outstanding</w:t>
            </w:r>
            <w:r>
              <w:rPr>
                <w:rFonts w:ascii="Arial" w:cs="Arial" w:eastAsia="Arial" w:hAnsi="Arial"/>
                <w:sz w:val="17"/>
                <w:szCs w:val="17"/>
                <w:color w:val="auto"/>
              </w:rPr>
              <w:t>)</w:t>
            </w:r>
          </w:p>
        </w:tc>
        <w:tc>
          <w:tcPr>
            <w:tcW w:w="1740" w:type="dxa"/>
            <w:vAlign w:val="bottom"/>
            <w:gridSpan w:val="2"/>
          </w:tcPr>
          <w:p>
            <w:pPr>
              <w:ind w:left="200"/>
              <w:spacing w:after="0"/>
              <w:rPr>
                <w:sz w:val="20"/>
                <w:szCs w:val="20"/>
                <w:color w:val="auto"/>
              </w:rPr>
            </w:pPr>
            <w:r>
              <w:rPr>
                <w:rFonts w:ascii="Arial" w:cs="Arial" w:eastAsia="Arial" w:hAnsi="Arial"/>
                <w:sz w:val="17"/>
                <w:szCs w:val="17"/>
                <w:b w:val="1"/>
                <w:bCs w:val="1"/>
                <w:color w:val="auto"/>
              </w:rPr>
              <w:t>March 31, 2025</w:t>
            </w:r>
          </w:p>
        </w:tc>
        <w:tc>
          <w:tcPr>
            <w:tcW w:w="1620" w:type="dxa"/>
            <w:vAlign w:val="bottom"/>
          </w:tcPr>
          <w:p>
            <w:pPr>
              <w:jc w:val="right"/>
              <w:ind w:right="134"/>
              <w:spacing w:after="0"/>
              <w:rPr>
                <w:sz w:val="20"/>
                <w:szCs w:val="20"/>
                <w:color w:val="auto"/>
              </w:rPr>
            </w:pPr>
            <w:r>
              <w:rPr>
                <w:rFonts w:ascii="Arial" w:cs="Arial" w:eastAsia="Arial" w:hAnsi="Arial"/>
                <w:sz w:val="17"/>
                <w:szCs w:val="17"/>
                <w:color w:val="auto"/>
              </w:rPr>
              <w:t>March 31, 2024</w:t>
            </w: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2300" w:type="dxa"/>
            <w:vAlign w:val="bottom"/>
            <w:tcBorders>
              <w:top w:val="single" w:sz="8" w:color="auto"/>
              <w:bottom w:val="single" w:sz="8" w:color="CCEEFF"/>
            </w:tcBorders>
          </w:tcPr>
          <w:p>
            <w:pPr>
              <w:spacing w:after="0" w:line="20" w:lineRule="exact"/>
              <w:rPr>
                <w:sz w:val="1"/>
                <w:szCs w:val="1"/>
                <w:color w:val="auto"/>
              </w:rPr>
            </w:pPr>
          </w:p>
        </w:tc>
        <w:tc>
          <w:tcPr>
            <w:tcW w:w="55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11"/>
        </w:trPr>
        <w:tc>
          <w:tcPr>
            <w:tcW w:w="78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Beginning of period</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145,845,124</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152,748,642</w:t>
            </w:r>
          </w:p>
        </w:tc>
      </w:tr>
      <w:tr>
        <w:trPr>
          <w:trHeight w:val="220"/>
        </w:trPr>
        <w:tc>
          <w:tcPr>
            <w:tcW w:w="7880" w:type="dxa"/>
            <w:vAlign w:val="bottom"/>
            <w:gridSpan w:val="3"/>
          </w:tcPr>
          <w:p>
            <w:pPr>
              <w:ind w:left="20"/>
              <w:spacing w:after="0" w:line="220" w:lineRule="exact"/>
              <w:rPr>
                <w:sz w:val="20"/>
                <w:szCs w:val="20"/>
                <w:color w:val="auto"/>
              </w:rPr>
            </w:pPr>
            <w:r>
              <w:rPr>
                <w:rFonts w:ascii="Arial" w:cs="Arial" w:eastAsia="Arial" w:hAnsi="Arial"/>
                <w:sz w:val="17"/>
                <w:szCs w:val="17"/>
                <w:color w:val="auto"/>
              </w:rPr>
              <w:t xml:space="preserve">Restricted stock awards </w:t>
            </w:r>
            <w:r>
              <w:rPr>
                <w:rFonts w:ascii="Arial" w:cs="Arial" w:eastAsia="Arial" w:hAnsi="Arial"/>
                <w:sz w:val="22"/>
                <w:szCs w:val="22"/>
                <w:color w:val="auto"/>
                <w:vertAlign w:val="superscript"/>
              </w:rPr>
              <w:t>1</w:t>
            </w:r>
          </w:p>
        </w:tc>
        <w:tc>
          <w:tcPr>
            <w:tcW w:w="1640" w:type="dxa"/>
            <w:vAlign w:val="bottom"/>
          </w:tcPr>
          <w:p>
            <w:pPr>
              <w:jc w:val="right"/>
              <w:spacing w:after="0"/>
              <w:rPr>
                <w:sz w:val="20"/>
                <w:szCs w:val="20"/>
                <w:color w:val="auto"/>
              </w:rPr>
            </w:pPr>
            <w:r>
              <w:rPr>
                <w:rFonts w:ascii="Arial" w:cs="Arial" w:eastAsia="Arial" w:hAnsi="Arial"/>
                <w:sz w:val="17"/>
                <w:szCs w:val="17"/>
                <w:b w:val="1"/>
                <w:bCs w:val="1"/>
                <w:color w:val="auto"/>
              </w:rPr>
              <w:t>484,388</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1,100,759</w:t>
            </w:r>
          </w:p>
        </w:tc>
      </w:tr>
      <w:tr>
        <w:trPr>
          <w:trHeight w:val="220"/>
        </w:trPr>
        <w:tc>
          <w:tcPr>
            <w:tcW w:w="78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Treasury shares purchased</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(3,613,450)</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(1,273,245)</w:t>
            </w:r>
          </w:p>
        </w:tc>
      </w:tr>
      <w:tr>
        <w:trPr>
          <w:trHeight w:val="213"/>
        </w:trPr>
        <w:tc>
          <w:tcPr>
            <w:tcW w:w="80" w:type="dxa"/>
            <w:vAlign w:val="bottom"/>
          </w:tcPr>
          <w:p>
            <w:pPr>
              <w:spacing w:after="0"/>
              <w:rPr>
                <w:sz w:val="18"/>
                <w:szCs w:val="18"/>
                <w:color w:val="auto"/>
              </w:rPr>
            </w:pPr>
          </w:p>
        </w:tc>
        <w:tc>
          <w:tcPr>
            <w:tcW w:w="7800" w:type="dxa"/>
            <w:vAlign w:val="bottom"/>
            <w:gridSpan w:val="2"/>
          </w:tcPr>
          <w:p>
            <w:pPr>
              <w:ind w:left="360"/>
              <w:spacing w:after="0"/>
              <w:rPr>
                <w:sz w:val="20"/>
                <w:szCs w:val="20"/>
                <w:color w:val="auto"/>
              </w:rPr>
            </w:pPr>
            <w:r>
              <w:rPr>
                <w:rFonts w:ascii="Arial" w:cs="Arial" w:eastAsia="Arial" w:hAnsi="Arial"/>
                <w:sz w:val="17"/>
                <w:szCs w:val="17"/>
                <w:color w:val="auto"/>
              </w:rPr>
              <w:t>End of period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142,716,062</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152,576,156</w:t>
            </w:r>
          </w:p>
        </w:tc>
      </w:tr>
      <w:tr>
        <w:trPr>
          <w:trHeight w:val="20"/>
        </w:trPr>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80" w:hanging="77"/>
        <w:spacing w:after="0"/>
        <w:tabs>
          <w:tab w:leader="none" w:pos="80" w:val="left"/>
        </w:tabs>
        <w:numPr>
          <w:ilvl w:val="0"/>
          <w:numId w:val="10"/>
        </w:numPr>
        <w:rPr>
          <w:rFonts w:ascii="Arial" w:cs="Arial" w:eastAsia="Arial" w:hAnsi="Arial"/>
          <w:sz w:val="20"/>
          <w:szCs w:val="20"/>
          <w:color w:val="auto"/>
          <w:vertAlign w:val="superscript"/>
        </w:rPr>
      </w:pPr>
      <w:r>
        <w:rPr>
          <w:rFonts w:ascii="Arial" w:cs="Arial" w:eastAsia="Arial" w:hAnsi="Arial"/>
          <w:sz w:val="16"/>
          <w:szCs w:val="16"/>
          <w:color w:val="auto"/>
        </w:rPr>
        <w:t>Shares issued upon award of restricted stock are less withholding for statutory income taxes owed upon issuance of shares.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On August 8, 2024, the Company’s Board of Directors authorized a share repurchase program whereby the Company can repurchase up to</w:t>
      </w:r>
    </w:p>
    <w:p>
      <w:pPr>
        <w:spacing w:after="0" w:line="27" w:lineRule="exact"/>
        <w:rPr>
          <w:sz w:val="20"/>
          <w:szCs w:val="20"/>
          <w:color w:val="auto"/>
        </w:rPr>
      </w:pPr>
    </w:p>
    <w:p>
      <w:pPr>
        <w:ind w:right="340"/>
        <w:spacing w:after="0" w:line="271" w:lineRule="auto"/>
        <w:rPr>
          <w:sz w:val="20"/>
          <w:szCs w:val="20"/>
          <w:color w:val="auto"/>
        </w:rPr>
      </w:pPr>
      <w:r>
        <w:rPr>
          <w:rFonts w:ascii="Arial" w:cs="Arial" w:eastAsia="Arial" w:hAnsi="Arial"/>
          <w:sz w:val="17"/>
          <w:szCs w:val="17"/>
          <w:color w:val="auto"/>
        </w:rPr>
        <w:t>$1,100.0 million of its common stock. This repurchase program has no time limit and may be suspended or discontinued completely at any time without prior notice as determined by the Company at its discretion and dependent upon a variety of factors.</w:t>
      </w:r>
    </w:p>
    <w:p>
      <w:pPr>
        <w:spacing w:after="0" w:line="59"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During the three months ended March 31, 2025, the Company repurchased 3.6 million shares of its common stock under the share repurchase program for $100.0 million ($100.9 million including excise taxes and fees). As of March 31, 2025, the Company had $550.1 million of its common stock remaining available to repurchase under the program.</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P – Business Segments</w:t>
      </w:r>
    </w:p>
    <w:p>
      <w:pPr>
        <w:spacing w:after="0" w:line="117" w:lineRule="exact"/>
        <w:rPr>
          <w:sz w:val="20"/>
          <w:szCs w:val="20"/>
          <w:color w:val="auto"/>
        </w:rPr>
      </w:pPr>
    </w:p>
    <w:p>
      <w:pPr>
        <w:ind w:right="260"/>
        <w:spacing w:after="0" w:line="266" w:lineRule="auto"/>
        <w:rPr>
          <w:sz w:val="20"/>
          <w:szCs w:val="20"/>
          <w:color w:val="auto"/>
        </w:rPr>
      </w:pPr>
      <w:r>
        <w:rPr>
          <w:rFonts w:ascii="Arial" w:cs="Arial" w:eastAsia="Arial" w:hAnsi="Arial"/>
          <w:sz w:val="17"/>
          <w:szCs w:val="17"/>
          <w:color w:val="auto"/>
        </w:rPr>
        <w:t>Information about business segments and geographic operations is reported in the following tables. For geographic purposes, revenues are attributed to the country in which the sale occurs. Corporate, including interest income, other gains and losses, interest expense and unallocated overhead, is shown in the table to reconcile the business segments to consolidated totals. The Company has accounted for its former United Kingdom (U.K.), Malaysia, and U.S. refining and marketing operations as discontinued operations for all periods presented.</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Murphy’s President and Chief Executive Officer, Eric M. Hambly, acts as the Chief Operating Decision Maker (CODM).</w:t>
      </w:r>
    </w:p>
    <w:p>
      <w:pPr>
        <w:spacing w:after="0" w:line="115"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“Other segment costs (income)” below are those items that are included in Segment income (loss) but are not regularly provided to the CODM, or are reported to the CODM but are not considered to be significant segment expenses. “Other segment costs (income)” for the periods presented included certain pension amortization costs allocated to the reportable segments, and dividend income from short-term investment accounts attributed to the Canada segment.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FF"/>
        </w:rPr>
        <w:t>Table of Contents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P – Business Segments (Continued)</w:t>
      </w:r>
    </w:p>
    <w:p>
      <w:pPr>
        <w:spacing w:after="0" w:line="200" w:lineRule="exact"/>
        <w:rPr>
          <w:sz w:val="20"/>
          <w:szCs w:val="20"/>
          <w:color w:val="auto"/>
        </w:rPr>
      </w:pP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6"/>
          </w:tcPr>
          <w:p>
            <w:pPr>
              <w:ind w:left="100"/>
              <w:spacing w:after="0"/>
              <w:rPr>
                <w:sz w:val="20"/>
                <w:szCs w:val="20"/>
                <w:color w:val="auto"/>
              </w:rPr>
            </w:pPr>
            <w:r>
              <w:rPr>
                <w:rFonts w:ascii="Arial" w:cs="Arial" w:eastAsia="Arial" w:hAnsi="Arial"/>
                <w:sz w:val="16"/>
                <w:szCs w:val="16"/>
                <w:color w:val="auto"/>
              </w:rPr>
              <w:t>Exploration and Production</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40"/>
              <w:spacing w:after="0" w:line="150" w:lineRule="exact"/>
              <w:rPr>
                <w:sz w:val="20"/>
                <w:szCs w:val="20"/>
                <w:color w:val="auto"/>
              </w:rPr>
            </w:pPr>
            <w:r>
              <w:rPr>
                <w:rFonts w:ascii="Arial" w:cs="Arial" w:eastAsia="Arial" w:hAnsi="Arial"/>
                <w:sz w:val="16"/>
                <w:szCs w:val="16"/>
                <w:color w:val="auto"/>
                <w:w w:val="97"/>
              </w:rPr>
              <w:t>Corporate,</w:t>
            </w: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6"/>
                <w:szCs w:val="16"/>
                <w:color w:val="auto"/>
                <w:w w:val="99"/>
              </w:rPr>
              <w:t>United</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6"/>
                <w:szCs w:val="16"/>
                <w:color w:val="auto"/>
              </w:rPr>
              <w:t>Total</w:t>
            </w:r>
          </w:p>
        </w:tc>
        <w:tc>
          <w:tcPr>
            <w:tcW w:w="160" w:type="dxa"/>
            <w:vAlign w:val="bottom"/>
          </w:tcPr>
          <w:p>
            <w:pPr>
              <w:spacing w:after="0"/>
              <w:rPr>
                <w:sz w:val="13"/>
                <w:szCs w:val="13"/>
                <w:color w:val="auto"/>
              </w:rPr>
            </w:pPr>
          </w:p>
        </w:tc>
        <w:tc>
          <w:tcPr>
            <w:tcW w:w="1260" w:type="dxa"/>
            <w:vAlign w:val="bottom"/>
            <w:gridSpan w:val="2"/>
          </w:tcPr>
          <w:p>
            <w:pPr>
              <w:jc w:val="center"/>
              <w:ind w:right="220"/>
              <w:spacing w:after="0" w:line="155" w:lineRule="exact"/>
              <w:rPr>
                <w:sz w:val="20"/>
                <w:szCs w:val="20"/>
                <w:color w:val="auto"/>
              </w:rPr>
            </w:pPr>
            <w:r>
              <w:rPr>
                <w:rFonts w:ascii="Arial" w:cs="Arial" w:eastAsia="Arial" w:hAnsi="Arial"/>
                <w:sz w:val="16"/>
                <w:szCs w:val="16"/>
                <w:color w:val="auto"/>
                <w:w w:val="95"/>
              </w:rPr>
              <w:t>Other, and</w:t>
            </w:r>
          </w:p>
        </w:tc>
        <w:tc>
          <w:tcPr>
            <w:tcW w:w="160" w:type="dxa"/>
            <w:vAlign w:val="bottom"/>
          </w:tcPr>
          <w:p>
            <w:pPr>
              <w:spacing w:after="0"/>
              <w:rPr>
                <w:sz w:val="13"/>
                <w:szCs w:val="13"/>
                <w:color w:val="auto"/>
              </w:rPr>
            </w:pPr>
          </w:p>
        </w:tc>
        <w:tc>
          <w:tcPr>
            <w:tcW w:w="1200" w:type="dxa"/>
            <w:vAlign w:val="bottom"/>
            <w:vMerge w:val="restart"/>
          </w:tcPr>
          <w:p>
            <w:pPr>
              <w:jc w:val="right"/>
              <w:ind w:right="142"/>
              <w:spacing w:after="0"/>
              <w:rPr>
                <w:sz w:val="20"/>
                <w:szCs w:val="20"/>
                <w:color w:val="auto"/>
              </w:rPr>
            </w:pPr>
            <w:r>
              <w:rPr>
                <w:rFonts w:ascii="Arial" w:cs="Arial" w:eastAsia="Arial" w:hAnsi="Arial"/>
                <w:sz w:val="16"/>
                <w:szCs w:val="16"/>
                <w:color w:val="auto"/>
              </w:rPr>
              <w:t>Consolidated</w:t>
            </w:r>
          </w:p>
        </w:tc>
        <w:tc>
          <w:tcPr>
            <w:tcW w:w="0" w:type="dxa"/>
            <w:vAlign w:val="bottom"/>
          </w:tcPr>
          <w:p>
            <w:pPr>
              <w:spacing w:after="0"/>
              <w:rPr>
                <w:sz w:val="1"/>
                <w:szCs w:val="1"/>
                <w:color w:val="auto"/>
              </w:rPr>
            </w:pPr>
          </w:p>
        </w:tc>
      </w:tr>
      <w:tr>
        <w:trPr>
          <w:trHeight w:val="155"/>
        </w:trPr>
        <w:tc>
          <w:tcPr>
            <w:tcW w:w="4160" w:type="dxa"/>
            <w:vAlign w:val="bottom"/>
            <w:gridSpan w:val="3"/>
            <w:vMerge w:val="restart"/>
          </w:tcPr>
          <w:p>
            <w:pPr>
              <w:ind w:left="20"/>
              <w:spacing w:after="0"/>
              <w:rPr>
                <w:sz w:val="20"/>
                <w:szCs w:val="20"/>
                <w:color w:val="auto"/>
              </w:rPr>
            </w:pPr>
            <w:r>
              <w:rPr>
                <w:rFonts w:ascii="Arial" w:cs="Arial" w:eastAsia="Arial" w:hAnsi="Arial"/>
                <w:sz w:val="16"/>
                <w:szCs w:val="16"/>
                <w:i w:val="1"/>
                <w:iCs w:val="1"/>
                <w:color w:val="auto"/>
              </w:rPr>
              <w:t>(Millions of dollars)</w:t>
            </w:r>
          </w:p>
        </w:tc>
        <w:tc>
          <w:tcPr>
            <w:tcW w:w="16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6"/>
                <w:szCs w:val="16"/>
                <w:color w:val="auto"/>
              </w:rPr>
              <w:t>Canada</w:t>
            </w:r>
          </w:p>
        </w:tc>
        <w:tc>
          <w:tcPr>
            <w:tcW w:w="200" w:type="dxa"/>
            <w:vAlign w:val="bottom"/>
          </w:tcPr>
          <w:p>
            <w:pPr>
              <w:spacing w:after="0"/>
              <w:rPr>
                <w:sz w:val="13"/>
                <w:szCs w:val="13"/>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40"/>
              <w:spacing w:after="0" w:line="155" w:lineRule="exact"/>
              <w:rPr>
                <w:sz w:val="20"/>
                <w:szCs w:val="20"/>
                <w:color w:val="auto"/>
              </w:rPr>
            </w:pPr>
            <w:r>
              <w:rPr>
                <w:rFonts w:ascii="Arial" w:cs="Arial" w:eastAsia="Arial" w:hAnsi="Arial"/>
                <w:sz w:val="16"/>
                <w:szCs w:val="16"/>
                <w:color w:val="auto"/>
                <w:w w:val="97"/>
              </w:rPr>
              <w:t>Discontinued</w:t>
            </w:r>
          </w:p>
        </w:tc>
        <w:tc>
          <w:tcPr>
            <w:tcW w:w="1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1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240"/>
              <w:spacing w:after="0" w:line="167" w:lineRule="exact"/>
              <w:rPr>
                <w:sz w:val="20"/>
                <w:szCs w:val="20"/>
                <w:color w:val="auto"/>
              </w:rPr>
            </w:pPr>
            <w:r>
              <w:rPr>
                <w:rFonts w:ascii="Arial" w:cs="Arial" w:eastAsia="Arial" w:hAnsi="Arial"/>
                <w:sz w:val="15"/>
                <w:szCs w:val="15"/>
                <w:color w:val="auto"/>
              </w:rPr>
              <w:t xml:space="preserve">States </w:t>
            </w:r>
            <w:r>
              <w:rPr>
                <w:rFonts w:ascii="Arial" w:cs="Arial" w:eastAsia="Arial" w:hAnsi="Arial"/>
                <w:sz w:val="19"/>
                <w:szCs w:val="19"/>
                <w:color w:val="auto"/>
                <w:vertAlign w:val="superscript"/>
              </w:rPr>
              <w:t>1</w:t>
            </w: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ind w:left="140"/>
              <w:spacing w:after="0" w:line="168" w:lineRule="exact"/>
              <w:rPr>
                <w:sz w:val="20"/>
                <w:szCs w:val="20"/>
                <w:color w:val="auto"/>
              </w:rPr>
            </w:pPr>
            <w:r>
              <w:rPr>
                <w:rFonts w:ascii="Arial" w:cs="Arial" w:eastAsia="Arial" w:hAnsi="Arial"/>
                <w:sz w:val="16"/>
                <w:szCs w:val="16"/>
                <w:color w:val="auto"/>
              </w:rPr>
              <w:t>E&amp;P</w:t>
            </w:r>
          </w:p>
        </w:tc>
        <w:tc>
          <w:tcPr>
            <w:tcW w:w="160" w:type="dxa"/>
            <w:vAlign w:val="bottom"/>
          </w:tcPr>
          <w:p>
            <w:pPr>
              <w:spacing w:after="0"/>
              <w:rPr>
                <w:sz w:val="14"/>
                <w:szCs w:val="14"/>
                <w:color w:val="auto"/>
              </w:rPr>
            </w:pPr>
          </w:p>
        </w:tc>
        <w:tc>
          <w:tcPr>
            <w:tcW w:w="1260" w:type="dxa"/>
            <w:vAlign w:val="bottom"/>
            <w:gridSpan w:val="2"/>
          </w:tcPr>
          <w:p>
            <w:pPr>
              <w:jc w:val="center"/>
              <w:ind w:right="220"/>
              <w:spacing w:after="0" w:line="168" w:lineRule="exact"/>
              <w:rPr>
                <w:sz w:val="20"/>
                <w:szCs w:val="20"/>
                <w:color w:val="auto"/>
              </w:rPr>
            </w:pPr>
            <w:r>
              <w:rPr>
                <w:rFonts w:ascii="Arial" w:cs="Arial" w:eastAsia="Arial" w:hAnsi="Arial"/>
                <w:sz w:val="16"/>
                <w:szCs w:val="16"/>
                <w:color w:val="auto"/>
                <w:w w:val="97"/>
              </w:rPr>
              <w:t>Operations</w:t>
            </w:r>
          </w:p>
        </w:tc>
        <w:tc>
          <w:tcPr>
            <w:tcW w:w="160" w:type="dxa"/>
            <w:vAlign w:val="bottom"/>
          </w:tcPr>
          <w:p>
            <w:pPr>
              <w:spacing w:after="0"/>
              <w:rPr>
                <w:sz w:val="14"/>
                <w:szCs w:val="14"/>
                <w:color w:val="auto"/>
              </w:rPr>
            </w:pPr>
          </w:p>
        </w:tc>
        <w:tc>
          <w:tcPr>
            <w:tcW w:w="1200" w:type="dxa"/>
            <w:vAlign w:val="bottom"/>
          </w:tcPr>
          <w:p>
            <w:pPr>
              <w:jc w:val="right"/>
              <w:ind w:right="442"/>
              <w:spacing w:after="0" w:line="168" w:lineRule="exact"/>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16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March 31, 2025</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160" w:type="dxa"/>
            <w:vAlign w:val="bottom"/>
            <w:gridSpan w:val="3"/>
          </w:tcPr>
          <w:p>
            <w:pPr>
              <w:ind w:left="20"/>
              <w:spacing w:after="0"/>
              <w:rPr>
                <w:sz w:val="20"/>
                <w:szCs w:val="20"/>
                <w:color w:val="auto"/>
              </w:rPr>
            </w:pPr>
            <w:r>
              <w:rPr>
                <w:rFonts w:ascii="Arial" w:cs="Arial" w:eastAsia="Arial" w:hAnsi="Arial"/>
                <w:sz w:val="16"/>
                <w:szCs w:val="16"/>
                <w:color w:val="auto"/>
              </w:rPr>
              <w:t>Revenue from production</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507.4</w:t>
            </w: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165.3</w:t>
            </w:r>
          </w:p>
        </w:tc>
        <w:tc>
          <w:tcPr>
            <w:tcW w:w="8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b w:val="1"/>
                <w:bCs w:val="1"/>
                <w:color w:val="auto"/>
                <w:w w:val="89"/>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jc w:val="right"/>
              <w:ind w:right="22"/>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672.7</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2"/>
              <w:spacing w:after="0"/>
              <w:rPr>
                <w:sz w:val="20"/>
                <w:szCs w:val="20"/>
                <w:color w:val="auto"/>
              </w:rPr>
            </w:pPr>
            <w:r>
              <w:rPr>
                <w:rFonts w:ascii="Arial" w:cs="Arial" w:eastAsia="Arial" w:hAnsi="Arial"/>
                <w:sz w:val="16"/>
                <w:szCs w:val="16"/>
                <w:b w:val="1"/>
                <w:bCs w:val="1"/>
                <w:color w:val="auto"/>
              </w:rPr>
              <w:t>672.7</w:t>
            </w:r>
          </w:p>
        </w:tc>
        <w:tc>
          <w:tcPr>
            <w:tcW w:w="0" w:type="dxa"/>
            <w:vAlign w:val="bottom"/>
          </w:tcPr>
          <w:p>
            <w:pPr>
              <w:spacing w:after="0"/>
              <w:rPr>
                <w:sz w:val="1"/>
                <w:szCs w:val="1"/>
                <w:color w:val="auto"/>
              </w:rPr>
            </w:pPr>
          </w:p>
        </w:tc>
      </w:tr>
      <w:tr>
        <w:trPr>
          <w:trHeight w:val="207"/>
        </w:trPr>
        <w:tc>
          <w:tcPr>
            <w:tcW w:w="41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Sales of purchased natural gas</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4160" w:type="dxa"/>
            <w:vAlign w:val="bottom"/>
            <w:gridSpan w:val="3"/>
          </w:tcPr>
          <w:p>
            <w:pPr>
              <w:ind w:left="20"/>
              <w:spacing w:after="0"/>
              <w:rPr>
                <w:sz w:val="20"/>
                <w:szCs w:val="20"/>
                <w:color w:val="auto"/>
              </w:rPr>
            </w:pPr>
            <w:r>
              <w:rPr>
                <w:rFonts w:ascii="Arial" w:cs="Arial" w:eastAsia="Arial" w:hAnsi="Arial"/>
                <w:sz w:val="16"/>
                <w:szCs w:val="16"/>
                <w:color w:val="auto"/>
              </w:rPr>
              <w:t>Gain on sales of assets and other operating income</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0.4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2.5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(9.5)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(7.0)</w:t>
            </w:r>
          </w:p>
        </w:tc>
        <w:tc>
          <w:tcPr>
            <w:tcW w:w="0" w:type="dxa"/>
            <w:vAlign w:val="bottom"/>
          </w:tcPr>
          <w:p>
            <w:pPr>
              <w:spacing w:after="0"/>
              <w:rPr>
                <w:sz w:val="1"/>
                <w:szCs w:val="1"/>
                <w:color w:val="auto"/>
              </w:rPr>
            </w:pPr>
          </w:p>
        </w:tc>
      </w:tr>
      <w:tr>
        <w:trPr>
          <w:trHeight w:val="200"/>
        </w:trPr>
        <w:tc>
          <w:tcPr>
            <w:tcW w:w="416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Revenues from external customers</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509.5</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165.7</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675.2</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665.7</w:t>
            </w:r>
          </w:p>
        </w:tc>
        <w:tc>
          <w:tcPr>
            <w:tcW w:w="0" w:type="dxa"/>
            <w:vAlign w:val="bottom"/>
          </w:tcPr>
          <w:p>
            <w:pPr>
              <w:spacing w:after="0"/>
              <w:rPr>
                <w:sz w:val="1"/>
                <w:szCs w:val="1"/>
                <w:color w:val="auto"/>
              </w:rPr>
            </w:pPr>
          </w:p>
        </w:tc>
      </w:tr>
      <w:tr>
        <w:trPr>
          <w:trHeight w:val="186"/>
        </w:trPr>
        <w:tc>
          <w:tcPr>
            <w:tcW w:w="4160" w:type="dxa"/>
            <w:vAlign w:val="bottom"/>
            <w:gridSpan w:val="3"/>
          </w:tcPr>
          <w:p>
            <w:pPr>
              <w:ind w:left="20"/>
              <w:spacing w:after="0"/>
              <w:rPr>
                <w:sz w:val="20"/>
                <w:szCs w:val="20"/>
                <w:color w:val="auto"/>
              </w:rPr>
            </w:pPr>
            <w:r>
              <w:rPr>
                <w:rFonts w:ascii="Arial" w:cs="Arial" w:eastAsia="Arial" w:hAnsi="Arial"/>
                <w:sz w:val="16"/>
                <w:szCs w:val="16"/>
                <w:color w:val="auto"/>
              </w:rPr>
              <w:t>Lease operating expenses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60" w:type="dxa"/>
            <w:vAlign w:val="bottom"/>
            <w:shd w:val="clear" w:color="auto" w:fill="CCEEFF"/>
          </w:tcPr>
          <w:p>
            <w:pPr>
              <w:spacing w:after="0"/>
              <w:rPr>
                <w:sz w:val="13"/>
                <w:szCs w:val="13"/>
                <w:color w:val="auto"/>
              </w:rPr>
            </w:pPr>
          </w:p>
        </w:tc>
        <w:tc>
          <w:tcPr>
            <w:tcW w:w="4100" w:type="dxa"/>
            <w:vAlign w:val="bottom"/>
            <w:gridSpan w:val="2"/>
            <w:shd w:val="clear" w:color="auto" w:fill="CCEEFF"/>
          </w:tcPr>
          <w:p>
            <w:pPr>
              <w:ind w:left="260"/>
              <w:spacing w:after="0" w:line="157" w:lineRule="exact"/>
              <w:rPr>
                <w:sz w:val="20"/>
                <w:szCs w:val="20"/>
                <w:color w:val="auto"/>
              </w:rPr>
            </w:pPr>
            <w:r>
              <w:rPr>
                <w:rFonts w:ascii="Arial" w:cs="Arial" w:eastAsia="Arial" w:hAnsi="Arial"/>
                <w:sz w:val="16"/>
                <w:szCs w:val="16"/>
                <w:color w:val="auto"/>
              </w:rPr>
              <w:t>Lease operating expenses and taxes other than</w:t>
            </w:r>
          </w:p>
        </w:tc>
        <w:tc>
          <w:tcPr>
            <w:tcW w:w="1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100.3</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45.2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0.4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145.9</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145.9</w:t>
            </w:r>
          </w:p>
        </w:tc>
        <w:tc>
          <w:tcPr>
            <w:tcW w:w="0" w:type="dxa"/>
            <w:vAlign w:val="bottom"/>
          </w:tcPr>
          <w:p>
            <w:pPr>
              <w:spacing w:after="0"/>
              <w:rPr>
                <w:sz w:val="1"/>
                <w:szCs w:val="1"/>
                <w:color w:val="auto"/>
              </w:rPr>
            </w:pPr>
          </w:p>
        </w:tc>
      </w:tr>
      <w:tr>
        <w:trPr>
          <w:trHeight w:val="206"/>
        </w:trPr>
        <w:tc>
          <w:tcPr>
            <w:tcW w:w="60" w:type="dxa"/>
            <w:vAlign w:val="bottom"/>
            <w:shd w:val="clear" w:color="auto" w:fill="CCEEFF"/>
          </w:tcPr>
          <w:p>
            <w:pPr>
              <w:spacing w:after="0"/>
              <w:rPr>
                <w:sz w:val="17"/>
                <w:szCs w:val="17"/>
                <w:color w:val="auto"/>
              </w:rPr>
            </w:pPr>
          </w:p>
        </w:tc>
        <w:tc>
          <w:tcPr>
            <w:tcW w:w="41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income</w:t>
            </w: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4100" w:type="dxa"/>
            <w:vAlign w:val="bottom"/>
            <w:gridSpan w:val="2"/>
          </w:tcPr>
          <w:p>
            <w:pPr>
              <w:ind w:left="260"/>
              <w:spacing w:after="0"/>
              <w:rPr>
                <w:sz w:val="20"/>
                <w:szCs w:val="20"/>
                <w:color w:val="auto"/>
              </w:rPr>
            </w:pPr>
            <w:r>
              <w:rPr>
                <w:rFonts w:ascii="Arial" w:cs="Arial" w:eastAsia="Arial" w:hAnsi="Arial"/>
                <w:sz w:val="16"/>
                <w:szCs w:val="16"/>
                <w:color w:val="auto"/>
              </w:rPr>
              <w:t>Repair and maintenance</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10.2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1.6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11.8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b w:val="1"/>
                <w:bCs w:val="1"/>
                <w:color w:val="auto"/>
              </w:rPr>
              <w:t>11.8</w:t>
            </w:r>
          </w:p>
        </w:tc>
        <w:tc>
          <w:tcPr>
            <w:tcW w:w="0" w:type="dxa"/>
            <w:vAlign w:val="bottom"/>
          </w:tcPr>
          <w:p>
            <w:pPr>
              <w:spacing w:after="0"/>
              <w:rPr>
                <w:sz w:val="1"/>
                <w:szCs w:val="1"/>
                <w:color w:val="auto"/>
              </w:rPr>
            </w:pPr>
          </w:p>
        </w:tc>
      </w:tr>
      <w:tr>
        <w:trPr>
          <w:trHeight w:val="207"/>
        </w:trPr>
        <w:tc>
          <w:tcPr>
            <w:tcW w:w="60" w:type="dxa"/>
            <w:vAlign w:val="bottom"/>
            <w:shd w:val="clear" w:color="auto" w:fill="CCEEFF"/>
          </w:tcPr>
          <w:p>
            <w:pPr>
              <w:spacing w:after="0"/>
              <w:rPr>
                <w:sz w:val="17"/>
                <w:szCs w:val="17"/>
                <w:color w:val="auto"/>
              </w:rPr>
            </w:pPr>
          </w:p>
        </w:tc>
        <w:tc>
          <w:tcPr>
            <w:tcW w:w="41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Workovers</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0.3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47.4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47.4</w:t>
            </w:r>
          </w:p>
        </w:tc>
        <w:tc>
          <w:tcPr>
            <w:tcW w:w="0" w:type="dxa"/>
            <w:vAlign w:val="bottom"/>
          </w:tcPr>
          <w:p>
            <w:pPr>
              <w:spacing w:after="0"/>
              <w:rPr>
                <w:sz w:val="1"/>
                <w:szCs w:val="1"/>
                <w:color w:val="auto"/>
              </w:rPr>
            </w:pPr>
          </w:p>
        </w:tc>
      </w:tr>
      <w:tr>
        <w:trPr>
          <w:trHeight w:val="200"/>
        </w:trPr>
        <w:tc>
          <w:tcPr>
            <w:tcW w:w="416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Total lease operating expenses</w:t>
            </w:r>
          </w:p>
        </w:tc>
        <w:tc>
          <w:tcPr>
            <w:tcW w:w="1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157.6</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47.1</w:t>
            </w: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0.4</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205.1</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205.1</w:t>
            </w:r>
          </w:p>
        </w:tc>
        <w:tc>
          <w:tcPr>
            <w:tcW w:w="0" w:type="dxa"/>
            <w:vAlign w:val="bottom"/>
          </w:tcPr>
          <w:p>
            <w:pPr>
              <w:spacing w:after="0"/>
              <w:rPr>
                <w:sz w:val="1"/>
                <w:szCs w:val="1"/>
                <w:color w:val="auto"/>
              </w:rPr>
            </w:pPr>
          </w:p>
        </w:tc>
      </w:tr>
      <w:tr>
        <w:trPr>
          <w:trHeight w:val="200"/>
        </w:trPr>
        <w:tc>
          <w:tcPr>
            <w:tcW w:w="41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Severance and ad valorem taxes</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0.3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8.7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8.7</w:t>
            </w:r>
          </w:p>
        </w:tc>
        <w:tc>
          <w:tcPr>
            <w:tcW w:w="0" w:type="dxa"/>
            <w:vAlign w:val="bottom"/>
          </w:tcPr>
          <w:p>
            <w:pPr>
              <w:spacing w:after="0"/>
              <w:rPr>
                <w:sz w:val="1"/>
                <w:szCs w:val="1"/>
                <w:color w:val="auto"/>
              </w:rPr>
            </w:pPr>
          </w:p>
        </w:tc>
      </w:tr>
      <w:tr>
        <w:trPr>
          <w:trHeight w:val="207"/>
        </w:trPr>
        <w:tc>
          <w:tcPr>
            <w:tcW w:w="4160" w:type="dxa"/>
            <w:vAlign w:val="bottom"/>
            <w:gridSpan w:val="3"/>
          </w:tcPr>
          <w:p>
            <w:pPr>
              <w:ind w:left="20"/>
              <w:spacing w:after="0"/>
              <w:rPr>
                <w:sz w:val="20"/>
                <w:szCs w:val="20"/>
                <w:color w:val="auto"/>
              </w:rPr>
            </w:pPr>
            <w:r>
              <w:rPr>
                <w:rFonts w:ascii="Arial" w:cs="Arial" w:eastAsia="Arial" w:hAnsi="Arial"/>
                <w:sz w:val="16"/>
                <w:szCs w:val="16"/>
                <w:color w:val="auto"/>
              </w:rPr>
              <w:t>Transportation, gathering and processing</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28.7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20.2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48.9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b w:val="1"/>
                <w:bCs w:val="1"/>
                <w:color w:val="auto"/>
              </w:rPr>
              <w:t>48.9</w:t>
            </w:r>
          </w:p>
        </w:tc>
        <w:tc>
          <w:tcPr>
            <w:tcW w:w="0" w:type="dxa"/>
            <w:vAlign w:val="bottom"/>
          </w:tcPr>
          <w:p>
            <w:pPr>
              <w:spacing w:after="0"/>
              <w:rPr>
                <w:sz w:val="1"/>
                <w:szCs w:val="1"/>
                <w:color w:val="auto"/>
              </w:rPr>
            </w:pPr>
          </w:p>
        </w:tc>
      </w:tr>
      <w:tr>
        <w:trPr>
          <w:trHeight w:val="207"/>
        </w:trPr>
        <w:tc>
          <w:tcPr>
            <w:tcW w:w="41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Costs of purchased natural gas</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4160" w:type="dxa"/>
            <w:vAlign w:val="bottom"/>
            <w:gridSpan w:val="3"/>
          </w:tcPr>
          <w:p>
            <w:pPr>
              <w:ind w:left="20"/>
              <w:spacing w:after="0"/>
              <w:rPr>
                <w:sz w:val="20"/>
                <w:szCs w:val="20"/>
                <w:color w:val="auto"/>
              </w:rPr>
            </w:pPr>
            <w:r>
              <w:rPr>
                <w:rFonts w:ascii="Arial" w:cs="Arial" w:eastAsia="Arial" w:hAnsi="Arial"/>
                <w:sz w:val="16"/>
                <w:szCs w:val="16"/>
                <w:color w:val="auto"/>
              </w:rPr>
              <w:t>Selling and general expenses</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6.0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9.9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b w:val="1"/>
                <w:bCs w:val="1"/>
                <w:color w:val="auto"/>
              </w:rPr>
              <w:t>21.0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b w:val="1"/>
                <w:bCs w:val="1"/>
                <w:color w:val="auto"/>
              </w:rPr>
              <w:t>30.9</w:t>
            </w:r>
          </w:p>
        </w:tc>
        <w:tc>
          <w:tcPr>
            <w:tcW w:w="0" w:type="dxa"/>
            <w:vAlign w:val="bottom"/>
          </w:tcPr>
          <w:p>
            <w:pPr>
              <w:spacing w:after="0"/>
              <w:rPr>
                <w:sz w:val="1"/>
                <w:szCs w:val="1"/>
                <w:color w:val="auto"/>
              </w:rPr>
            </w:pPr>
          </w:p>
        </w:tc>
      </w:tr>
      <w:tr>
        <w:trPr>
          <w:trHeight w:val="207"/>
        </w:trPr>
        <w:tc>
          <w:tcPr>
            <w:tcW w:w="41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Exploration Expenses</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4100" w:type="dxa"/>
            <w:vAlign w:val="bottom"/>
            <w:gridSpan w:val="2"/>
          </w:tcPr>
          <w:p>
            <w:pPr>
              <w:ind w:left="260"/>
              <w:spacing w:after="0"/>
              <w:rPr>
                <w:sz w:val="20"/>
                <w:szCs w:val="20"/>
                <w:color w:val="auto"/>
              </w:rPr>
            </w:pPr>
            <w:r>
              <w:rPr>
                <w:rFonts w:ascii="Arial" w:cs="Arial" w:eastAsia="Arial" w:hAnsi="Arial"/>
                <w:sz w:val="16"/>
                <w:szCs w:val="16"/>
                <w:color w:val="auto"/>
              </w:rPr>
              <w:t>Geological and geophysical</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0.3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3.5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b w:val="1"/>
                <w:bCs w:val="1"/>
                <w:color w:val="auto"/>
              </w:rPr>
              <w:t>3.5</w:t>
            </w:r>
          </w:p>
        </w:tc>
        <w:tc>
          <w:tcPr>
            <w:tcW w:w="0" w:type="dxa"/>
            <w:vAlign w:val="bottom"/>
          </w:tcPr>
          <w:p>
            <w:pPr>
              <w:spacing w:after="0"/>
              <w:rPr>
                <w:sz w:val="1"/>
                <w:szCs w:val="1"/>
                <w:color w:val="auto"/>
              </w:rPr>
            </w:pPr>
          </w:p>
        </w:tc>
      </w:tr>
      <w:tr>
        <w:trPr>
          <w:trHeight w:val="207"/>
        </w:trPr>
        <w:tc>
          <w:tcPr>
            <w:tcW w:w="60" w:type="dxa"/>
            <w:vAlign w:val="bottom"/>
            <w:shd w:val="clear" w:color="auto" w:fill="CCEEFF"/>
          </w:tcPr>
          <w:p>
            <w:pPr>
              <w:spacing w:after="0"/>
              <w:rPr>
                <w:sz w:val="17"/>
                <w:szCs w:val="17"/>
                <w:color w:val="auto"/>
              </w:rPr>
            </w:pPr>
          </w:p>
        </w:tc>
        <w:tc>
          <w:tcPr>
            <w:tcW w:w="41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w w:val="99"/>
              </w:rPr>
              <w:t>Dry holes and previously suspended exploration costs</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0.2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0.2</w:t>
            </w: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4100" w:type="dxa"/>
            <w:vAlign w:val="bottom"/>
            <w:gridSpan w:val="2"/>
          </w:tcPr>
          <w:p>
            <w:pPr>
              <w:ind w:left="260"/>
              <w:spacing w:after="0" w:line="156" w:lineRule="exact"/>
              <w:rPr>
                <w:sz w:val="20"/>
                <w:szCs w:val="20"/>
                <w:color w:val="auto"/>
              </w:rPr>
            </w:pPr>
            <w:r>
              <w:rPr>
                <w:rFonts w:ascii="Arial" w:cs="Arial" w:eastAsia="Arial" w:hAnsi="Arial"/>
                <w:sz w:val="16"/>
                <w:szCs w:val="16"/>
                <w:color w:val="auto"/>
              </w:rPr>
              <w:t>Other exploratory costs, including undeveloped lease</w:t>
            </w: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0.1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10.8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3"/>
                <w:szCs w:val="13"/>
                <w:color w:val="auto"/>
              </w:rPr>
            </w:pPr>
          </w:p>
        </w:tc>
        <w:tc>
          <w:tcPr>
            <w:tcW w:w="120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10.8</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4100" w:type="dxa"/>
            <w:vAlign w:val="bottom"/>
            <w:gridSpan w:val="2"/>
          </w:tcPr>
          <w:p>
            <w:pPr>
              <w:ind w:left="260"/>
              <w:spacing w:after="0"/>
              <w:rPr>
                <w:sz w:val="20"/>
                <w:szCs w:val="20"/>
                <w:color w:val="auto"/>
              </w:rPr>
            </w:pPr>
            <w:r>
              <w:rPr>
                <w:rFonts w:ascii="Arial" w:cs="Arial" w:eastAsia="Arial" w:hAnsi="Arial"/>
                <w:sz w:val="16"/>
                <w:szCs w:val="16"/>
                <w:color w:val="auto"/>
              </w:rPr>
              <w:t>amortization and delay lease rentals</w:t>
            </w:r>
          </w:p>
        </w:tc>
        <w:tc>
          <w:tcPr>
            <w:tcW w:w="1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16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Total exploration expenses</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6.1</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0.1</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14.5</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14.5</w:t>
            </w:r>
          </w:p>
        </w:tc>
        <w:tc>
          <w:tcPr>
            <w:tcW w:w="0" w:type="dxa"/>
            <w:vAlign w:val="bottom"/>
          </w:tcPr>
          <w:p>
            <w:pPr>
              <w:spacing w:after="0"/>
              <w:rPr>
                <w:sz w:val="1"/>
                <w:szCs w:val="1"/>
                <w:color w:val="auto"/>
              </w:rPr>
            </w:pPr>
          </w:p>
        </w:tc>
      </w:tr>
      <w:tr>
        <w:trPr>
          <w:trHeight w:val="200"/>
        </w:trPr>
        <w:tc>
          <w:tcPr>
            <w:tcW w:w="4160" w:type="dxa"/>
            <w:vAlign w:val="bottom"/>
            <w:gridSpan w:val="3"/>
          </w:tcPr>
          <w:p>
            <w:pPr>
              <w:ind w:left="20"/>
              <w:spacing w:after="0"/>
              <w:rPr>
                <w:sz w:val="20"/>
                <w:szCs w:val="20"/>
                <w:color w:val="auto"/>
              </w:rPr>
            </w:pPr>
            <w:r>
              <w:rPr>
                <w:rFonts w:ascii="Arial" w:cs="Arial" w:eastAsia="Arial" w:hAnsi="Arial"/>
                <w:sz w:val="16"/>
                <w:szCs w:val="16"/>
                <w:color w:val="auto"/>
              </w:rPr>
              <w:t>Depreciation, depletion and amortization</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159.4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32.4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0.1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191.9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b w:val="1"/>
                <w:bCs w:val="1"/>
                <w:color w:val="auto"/>
              </w:rPr>
              <w:t>2.3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b w:val="1"/>
                <w:bCs w:val="1"/>
                <w:color w:val="auto"/>
              </w:rPr>
              <w:t>194.2</w:t>
            </w:r>
          </w:p>
        </w:tc>
        <w:tc>
          <w:tcPr>
            <w:tcW w:w="0" w:type="dxa"/>
            <w:vAlign w:val="bottom"/>
          </w:tcPr>
          <w:p>
            <w:pPr>
              <w:spacing w:after="0"/>
              <w:rPr>
                <w:sz w:val="1"/>
                <w:szCs w:val="1"/>
                <w:color w:val="auto"/>
              </w:rPr>
            </w:pPr>
          </w:p>
        </w:tc>
      </w:tr>
      <w:tr>
        <w:trPr>
          <w:trHeight w:val="207"/>
        </w:trPr>
        <w:tc>
          <w:tcPr>
            <w:tcW w:w="41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Accretion of asset retirement obligations</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14.0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14.0</w:t>
            </w:r>
          </w:p>
        </w:tc>
        <w:tc>
          <w:tcPr>
            <w:tcW w:w="0" w:type="dxa"/>
            <w:vAlign w:val="bottom"/>
          </w:tcPr>
          <w:p>
            <w:pPr>
              <w:spacing w:after="0"/>
              <w:rPr>
                <w:sz w:val="1"/>
                <w:szCs w:val="1"/>
                <w:color w:val="auto"/>
              </w:rPr>
            </w:pPr>
          </w:p>
        </w:tc>
      </w:tr>
      <w:tr>
        <w:trPr>
          <w:trHeight w:val="207"/>
        </w:trPr>
        <w:tc>
          <w:tcPr>
            <w:tcW w:w="4160" w:type="dxa"/>
            <w:vAlign w:val="bottom"/>
            <w:gridSpan w:val="3"/>
          </w:tcPr>
          <w:p>
            <w:pPr>
              <w:ind w:left="20"/>
              <w:spacing w:after="0"/>
              <w:rPr>
                <w:sz w:val="20"/>
                <w:szCs w:val="20"/>
                <w:color w:val="auto"/>
              </w:rPr>
            </w:pPr>
            <w:r>
              <w:rPr>
                <w:rFonts w:ascii="Arial" w:cs="Arial" w:eastAsia="Arial" w:hAnsi="Arial"/>
                <w:sz w:val="16"/>
                <w:szCs w:val="16"/>
                <w:color w:val="auto"/>
              </w:rPr>
              <w:t>Other operating expenses</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0.9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0.1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3.6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b w:val="1"/>
                <w:bCs w:val="1"/>
                <w:color w:val="auto"/>
              </w:rPr>
              <w:t>2.0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b w:val="1"/>
                <w:bCs w:val="1"/>
                <w:color w:val="auto"/>
              </w:rPr>
              <w:t>5.6</w:t>
            </w:r>
          </w:p>
        </w:tc>
        <w:tc>
          <w:tcPr>
            <w:tcW w:w="0" w:type="dxa"/>
            <w:vAlign w:val="bottom"/>
          </w:tcPr>
          <w:p>
            <w:pPr>
              <w:spacing w:after="0"/>
              <w:rPr>
                <w:sz w:val="1"/>
                <w:szCs w:val="1"/>
                <w:color w:val="auto"/>
              </w:rPr>
            </w:pPr>
          </w:p>
        </w:tc>
      </w:tr>
      <w:tr>
        <w:trPr>
          <w:trHeight w:val="207"/>
        </w:trPr>
        <w:tc>
          <w:tcPr>
            <w:tcW w:w="41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w:t>
            </w:r>
          </w:p>
        </w:tc>
        <w:tc>
          <w:tcPr>
            <w:tcW w:w="0" w:type="dxa"/>
            <w:vAlign w:val="bottom"/>
          </w:tcPr>
          <w:p>
            <w:pPr>
              <w:spacing w:after="0"/>
              <w:rPr>
                <w:sz w:val="1"/>
                <w:szCs w:val="1"/>
                <w:color w:val="auto"/>
              </w:rPr>
            </w:pPr>
          </w:p>
        </w:tc>
      </w:tr>
      <w:tr>
        <w:trPr>
          <w:trHeight w:val="207"/>
        </w:trPr>
        <w:tc>
          <w:tcPr>
            <w:tcW w:w="4160" w:type="dxa"/>
            <w:vAlign w:val="bottom"/>
            <w:gridSpan w:val="3"/>
          </w:tcPr>
          <w:p>
            <w:pPr>
              <w:ind w:left="20"/>
              <w:spacing w:after="0"/>
              <w:rPr>
                <w:sz w:val="20"/>
                <w:szCs w:val="20"/>
                <w:color w:val="auto"/>
              </w:rPr>
            </w:pPr>
            <w:r>
              <w:rPr>
                <w:rFonts w:ascii="Arial" w:cs="Arial" w:eastAsia="Arial" w:hAnsi="Arial"/>
                <w:sz w:val="16"/>
                <w:szCs w:val="16"/>
                <w:color w:val="auto"/>
              </w:rPr>
              <w:t>Interest (expense), net of capitalization</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b w:val="1"/>
                <w:bCs w:val="1"/>
                <w:color w:val="auto"/>
              </w:rPr>
              <w:t>23.5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b w:val="1"/>
                <w:bCs w:val="1"/>
                <w:color w:val="auto"/>
              </w:rPr>
              <w:t>23.5</w:t>
            </w:r>
          </w:p>
        </w:tc>
        <w:tc>
          <w:tcPr>
            <w:tcW w:w="0" w:type="dxa"/>
            <w:vAlign w:val="bottom"/>
          </w:tcPr>
          <w:p>
            <w:pPr>
              <w:spacing w:after="0"/>
              <w:rPr>
                <w:sz w:val="1"/>
                <w:szCs w:val="1"/>
                <w:color w:val="auto"/>
              </w:rPr>
            </w:pPr>
          </w:p>
        </w:tc>
      </w:tr>
      <w:tr>
        <w:trPr>
          <w:trHeight w:val="207"/>
        </w:trPr>
        <w:tc>
          <w:tcPr>
            <w:tcW w:w="41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4100" w:type="dxa"/>
            <w:vAlign w:val="bottom"/>
            <w:gridSpan w:val="2"/>
          </w:tcPr>
          <w:p>
            <w:pPr>
              <w:ind w:left="260"/>
              <w:spacing w:after="0"/>
              <w:rPr>
                <w:sz w:val="20"/>
                <w:szCs w:val="20"/>
                <w:color w:val="auto"/>
              </w:rPr>
            </w:pPr>
            <w:r>
              <w:rPr>
                <w:rFonts w:ascii="Arial" w:cs="Arial" w:eastAsia="Arial" w:hAnsi="Arial"/>
                <w:sz w:val="16"/>
                <w:szCs w:val="16"/>
                <w:color w:val="auto"/>
              </w:rPr>
              <w:t>Current income tax expense</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0.5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13.7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14.2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b w:val="1"/>
                <w:bCs w:val="1"/>
                <w:color w:val="auto"/>
              </w:rPr>
              <w:t>2.1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b w:val="1"/>
                <w:bCs w:val="1"/>
                <w:color w:val="auto"/>
              </w:rPr>
              <w:t>16.3</w:t>
            </w:r>
          </w:p>
        </w:tc>
        <w:tc>
          <w:tcPr>
            <w:tcW w:w="0" w:type="dxa"/>
            <w:vAlign w:val="bottom"/>
          </w:tcPr>
          <w:p>
            <w:pPr>
              <w:spacing w:after="0"/>
              <w:rPr>
                <w:sz w:val="1"/>
                <w:szCs w:val="1"/>
                <w:color w:val="auto"/>
              </w:rPr>
            </w:pPr>
          </w:p>
        </w:tc>
      </w:tr>
      <w:tr>
        <w:trPr>
          <w:trHeight w:val="207"/>
        </w:trPr>
        <w:tc>
          <w:tcPr>
            <w:tcW w:w="60" w:type="dxa"/>
            <w:vAlign w:val="bottom"/>
            <w:shd w:val="clear" w:color="auto" w:fill="CCEEFF"/>
          </w:tcPr>
          <w:p>
            <w:pPr>
              <w:spacing w:after="0"/>
              <w:rPr>
                <w:sz w:val="17"/>
                <w:szCs w:val="17"/>
                <w:color w:val="auto"/>
              </w:rPr>
            </w:pPr>
          </w:p>
        </w:tc>
        <w:tc>
          <w:tcPr>
            <w:tcW w:w="41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Deferred income tax expense (benefit)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0.6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25.1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16.4</w:t>
            </w:r>
          </w:p>
        </w:tc>
        <w:tc>
          <w:tcPr>
            <w:tcW w:w="0" w:type="dxa"/>
            <w:vAlign w:val="bottom"/>
          </w:tcPr>
          <w:p>
            <w:pPr>
              <w:spacing w:after="0"/>
              <w:rPr>
                <w:sz w:val="1"/>
                <w:szCs w:val="1"/>
                <w:color w:val="auto"/>
              </w:rPr>
            </w:pPr>
          </w:p>
        </w:tc>
      </w:tr>
      <w:tr>
        <w:trPr>
          <w:trHeight w:val="200"/>
        </w:trPr>
        <w:tc>
          <w:tcPr>
            <w:tcW w:w="416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Total income tax expense</w:t>
            </w:r>
          </w:p>
        </w:tc>
        <w:tc>
          <w:tcPr>
            <w:tcW w:w="1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25.0</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14.3</w:t>
            </w: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39.3</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32.7</w:t>
            </w:r>
          </w:p>
        </w:tc>
        <w:tc>
          <w:tcPr>
            <w:tcW w:w="0" w:type="dxa"/>
            <w:vAlign w:val="bottom"/>
          </w:tcPr>
          <w:p>
            <w:pPr>
              <w:spacing w:after="0"/>
              <w:rPr>
                <w:sz w:val="1"/>
                <w:szCs w:val="1"/>
                <w:color w:val="auto"/>
              </w:rPr>
            </w:pPr>
          </w:p>
        </w:tc>
      </w:tr>
      <w:tr>
        <w:trPr>
          <w:trHeight w:val="200"/>
        </w:trPr>
        <w:tc>
          <w:tcPr>
            <w:tcW w:w="41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segment costs (income)</w:t>
            </w: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0.9</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0.4</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1.5</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0.4</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1.9</w:t>
            </w:r>
          </w:p>
        </w:tc>
        <w:tc>
          <w:tcPr>
            <w:tcW w:w="0" w:type="dxa"/>
            <w:vAlign w:val="bottom"/>
          </w:tcPr>
          <w:p>
            <w:pPr>
              <w:spacing w:after="0"/>
              <w:rPr>
                <w:sz w:val="1"/>
                <w:szCs w:val="1"/>
                <w:color w:val="auto"/>
              </w:rPr>
            </w:pPr>
          </w:p>
        </w:tc>
      </w:tr>
      <w:tr>
        <w:trPr>
          <w:trHeight w:val="200"/>
        </w:trPr>
        <w:tc>
          <w:tcPr>
            <w:tcW w:w="4160" w:type="dxa"/>
            <w:vAlign w:val="bottom"/>
            <w:gridSpan w:val="3"/>
          </w:tcPr>
          <w:p>
            <w:pPr>
              <w:ind w:left="20"/>
              <w:spacing w:after="0" w:line="200" w:lineRule="exact"/>
              <w:rPr>
                <w:sz w:val="20"/>
                <w:szCs w:val="20"/>
                <w:color w:val="auto"/>
              </w:rPr>
            </w:pPr>
            <w:r>
              <w:rPr>
                <w:rFonts w:ascii="Arial" w:cs="Arial" w:eastAsia="Arial" w:hAnsi="Arial"/>
                <w:sz w:val="16"/>
                <w:szCs w:val="16"/>
                <w:color w:val="auto"/>
              </w:rPr>
              <w:t xml:space="preserve">Segment income (loss) - including NCI </w:t>
            </w:r>
            <w:r>
              <w:rPr>
                <w:rFonts w:ascii="Arial" w:cs="Arial" w:eastAsia="Arial" w:hAnsi="Arial"/>
                <w:sz w:val="20"/>
                <w:szCs w:val="20"/>
                <w:color w:val="auto"/>
                <w:vertAlign w:val="superscript"/>
              </w:rPr>
              <w:t>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107.9</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41.5</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138.2</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(48.8)</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89.4</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160" w:type="dxa"/>
            <w:vAlign w:val="bottom"/>
            <w:gridSpan w:val="3"/>
          </w:tcPr>
          <w:p>
            <w:pPr>
              <w:ind w:left="20"/>
              <w:spacing w:after="0"/>
              <w:rPr>
                <w:sz w:val="20"/>
                <w:szCs w:val="20"/>
                <w:color w:val="auto"/>
              </w:rPr>
            </w:pPr>
            <w:r>
              <w:rPr>
                <w:rFonts w:ascii="Arial" w:cs="Arial" w:eastAsia="Arial" w:hAnsi="Arial"/>
                <w:sz w:val="16"/>
                <w:szCs w:val="16"/>
                <w:color w:val="auto"/>
              </w:rPr>
              <w:t>Additions to property, plant, equipment</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317.1</w:t>
            </w: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55.4</w:t>
            </w:r>
          </w:p>
        </w:tc>
        <w:tc>
          <w:tcPr>
            <w:tcW w:w="8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35.3</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407.8</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2"/>
              <w:spacing w:after="0"/>
              <w:rPr>
                <w:sz w:val="20"/>
                <w:szCs w:val="20"/>
                <w:color w:val="auto"/>
              </w:rPr>
            </w:pPr>
            <w:r>
              <w:rPr>
                <w:rFonts w:ascii="Arial" w:cs="Arial" w:eastAsia="Arial" w:hAnsi="Arial"/>
                <w:sz w:val="16"/>
                <w:szCs w:val="16"/>
                <w:b w:val="1"/>
                <w:bCs w:val="1"/>
                <w:color w:val="auto"/>
              </w:rPr>
              <w:t>4.2</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2"/>
              <w:spacing w:after="0"/>
              <w:rPr>
                <w:sz w:val="20"/>
                <w:szCs w:val="20"/>
                <w:color w:val="auto"/>
              </w:rPr>
            </w:pPr>
            <w:r>
              <w:rPr>
                <w:rFonts w:ascii="Arial" w:cs="Arial" w:eastAsia="Arial" w:hAnsi="Arial"/>
                <w:sz w:val="16"/>
                <w:szCs w:val="16"/>
                <w:b w:val="1"/>
                <w:bCs w:val="1"/>
                <w:color w:val="auto"/>
              </w:rPr>
              <w:t>412.0</w:t>
            </w:r>
          </w:p>
        </w:tc>
        <w:tc>
          <w:tcPr>
            <w:tcW w:w="0" w:type="dxa"/>
            <w:vAlign w:val="bottom"/>
          </w:tcPr>
          <w:p>
            <w:pPr>
              <w:spacing w:after="0"/>
              <w:rPr>
                <w:sz w:val="1"/>
                <w:szCs w:val="1"/>
                <w:color w:val="auto"/>
              </w:rPr>
            </w:pPr>
          </w:p>
        </w:tc>
      </w:tr>
      <w:tr>
        <w:trPr>
          <w:trHeight w:val="207"/>
        </w:trPr>
        <w:tc>
          <w:tcPr>
            <w:tcW w:w="41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Total assets at quarter-end</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7,046.3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1,963.4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345.7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9,355.4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464.9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9,820.3</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00" w:hanging="90"/>
        <w:spacing w:after="0"/>
        <w:tabs>
          <w:tab w:leader="none" w:pos="100" w:val="left"/>
        </w:tabs>
        <w:numPr>
          <w:ilvl w:val="0"/>
          <w:numId w:val="11"/>
        </w:numPr>
        <w:rPr>
          <w:rFonts w:ascii="Arial" w:cs="Arial" w:eastAsia="Arial" w:hAnsi="Arial"/>
          <w:sz w:val="20"/>
          <w:szCs w:val="20"/>
          <w:color w:val="auto"/>
          <w:vertAlign w:val="superscript"/>
        </w:rPr>
      </w:pPr>
      <w:r>
        <w:rPr>
          <w:rFonts w:ascii="Arial" w:cs="Arial" w:eastAsia="Arial" w:hAnsi="Arial"/>
          <w:sz w:val="16"/>
          <w:szCs w:val="16"/>
          <w:color w:val="auto"/>
        </w:rPr>
        <w:t>Includes results attributable to a noncontrolling interest in MP GOM.</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39"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FF"/>
        </w:rPr>
        <w:t>Table of Contents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P – Business Segments (Continued)</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6"/>
          </w:tcPr>
          <w:p>
            <w:pPr>
              <w:ind w:left="100"/>
              <w:spacing w:after="0"/>
              <w:rPr>
                <w:sz w:val="20"/>
                <w:szCs w:val="20"/>
                <w:color w:val="auto"/>
              </w:rPr>
            </w:pPr>
            <w:r>
              <w:rPr>
                <w:rFonts w:ascii="Arial" w:cs="Arial" w:eastAsia="Arial" w:hAnsi="Arial"/>
                <w:sz w:val="16"/>
                <w:szCs w:val="16"/>
                <w:color w:val="auto"/>
              </w:rPr>
              <w:t>Exploration and Production</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260"/>
              <w:spacing w:after="0" w:line="150" w:lineRule="exact"/>
              <w:rPr>
                <w:sz w:val="20"/>
                <w:szCs w:val="20"/>
                <w:color w:val="auto"/>
              </w:rPr>
            </w:pPr>
            <w:r>
              <w:rPr>
                <w:rFonts w:ascii="Arial" w:cs="Arial" w:eastAsia="Arial" w:hAnsi="Arial"/>
                <w:sz w:val="16"/>
                <w:szCs w:val="16"/>
                <w:color w:val="auto"/>
                <w:w w:val="95"/>
              </w:rPr>
              <w:t>Corporate,</w:t>
            </w: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6"/>
                <w:szCs w:val="16"/>
                <w:color w:val="auto"/>
                <w:w w:val="99"/>
              </w:rPr>
              <w:t>United</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6"/>
                <w:szCs w:val="16"/>
                <w:color w:val="auto"/>
              </w:rPr>
              <w:t>Total</w:t>
            </w:r>
          </w:p>
        </w:tc>
        <w:tc>
          <w:tcPr>
            <w:tcW w:w="180" w:type="dxa"/>
            <w:vAlign w:val="bottom"/>
          </w:tcPr>
          <w:p>
            <w:pPr>
              <w:spacing w:after="0"/>
              <w:rPr>
                <w:sz w:val="13"/>
                <w:szCs w:val="13"/>
                <w:color w:val="auto"/>
              </w:rPr>
            </w:pPr>
          </w:p>
        </w:tc>
        <w:tc>
          <w:tcPr>
            <w:tcW w:w="1260" w:type="dxa"/>
            <w:vAlign w:val="bottom"/>
            <w:gridSpan w:val="2"/>
          </w:tcPr>
          <w:p>
            <w:pPr>
              <w:jc w:val="center"/>
              <w:ind w:right="260"/>
              <w:spacing w:after="0" w:line="155" w:lineRule="exact"/>
              <w:rPr>
                <w:sz w:val="20"/>
                <w:szCs w:val="20"/>
                <w:color w:val="auto"/>
              </w:rPr>
            </w:pPr>
            <w:r>
              <w:rPr>
                <w:rFonts w:ascii="Arial" w:cs="Arial" w:eastAsia="Arial" w:hAnsi="Arial"/>
                <w:sz w:val="16"/>
                <w:szCs w:val="16"/>
                <w:color w:val="auto"/>
                <w:w w:val="95"/>
              </w:rPr>
              <w:t>Other, and</w:t>
            </w:r>
          </w:p>
        </w:tc>
        <w:tc>
          <w:tcPr>
            <w:tcW w:w="160" w:type="dxa"/>
            <w:vAlign w:val="bottom"/>
          </w:tcPr>
          <w:p>
            <w:pPr>
              <w:spacing w:after="0"/>
              <w:rPr>
                <w:sz w:val="13"/>
                <w:szCs w:val="13"/>
                <w:color w:val="auto"/>
              </w:rPr>
            </w:pPr>
          </w:p>
        </w:tc>
        <w:tc>
          <w:tcPr>
            <w:tcW w:w="1180" w:type="dxa"/>
            <w:vAlign w:val="bottom"/>
            <w:vMerge w:val="restart"/>
          </w:tcPr>
          <w:p>
            <w:pPr>
              <w:jc w:val="right"/>
              <w:ind w:right="142"/>
              <w:spacing w:after="0"/>
              <w:rPr>
                <w:sz w:val="20"/>
                <w:szCs w:val="20"/>
                <w:color w:val="auto"/>
              </w:rPr>
            </w:pPr>
            <w:r>
              <w:rPr>
                <w:rFonts w:ascii="Arial" w:cs="Arial" w:eastAsia="Arial" w:hAnsi="Arial"/>
                <w:sz w:val="16"/>
                <w:szCs w:val="16"/>
                <w:color w:val="auto"/>
              </w:rPr>
              <w:t>Consolidated</w:t>
            </w:r>
          </w:p>
        </w:tc>
        <w:tc>
          <w:tcPr>
            <w:tcW w:w="0" w:type="dxa"/>
            <w:vAlign w:val="bottom"/>
          </w:tcPr>
          <w:p>
            <w:pPr>
              <w:spacing w:after="0"/>
              <w:rPr>
                <w:sz w:val="1"/>
                <w:szCs w:val="1"/>
                <w:color w:val="auto"/>
              </w:rPr>
            </w:pPr>
          </w:p>
        </w:tc>
      </w:tr>
      <w:tr>
        <w:trPr>
          <w:trHeight w:val="155"/>
        </w:trPr>
        <w:tc>
          <w:tcPr>
            <w:tcW w:w="4180" w:type="dxa"/>
            <w:vAlign w:val="bottom"/>
            <w:gridSpan w:val="3"/>
            <w:vMerge w:val="restart"/>
          </w:tcPr>
          <w:p>
            <w:pPr>
              <w:ind w:left="20"/>
              <w:spacing w:after="0"/>
              <w:rPr>
                <w:sz w:val="20"/>
                <w:szCs w:val="20"/>
                <w:color w:val="auto"/>
              </w:rPr>
            </w:pPr>
            <w:r>
              <w:rPr>
                <w:rFonts w:ascii="Arial" w:cs="Arial" w:eastAsia="Arial" w:hAnsi="Arial"/>
                <w:sz w:val="16"/>
                <w:szCs w:val="16"/>
                <w:i w:val="1"/>
                <w:iCs w:val="1"/>
                <w:color w:val="auto"/>
              </w:rPr>
              <w:t>(Millions of dollars)</w:t>
            </w:r>
          </w:p>
        </w:tc>
        <w:tc>
          <w:tcPr>
            <w:tcW w:w="16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6"/>
                <w:szCs w:val="16"/>
                <w:color w:val="auto"/>
              </w:rPr>
              <w:t>Canada</w:t>
            </w:r>
          </w:p>
        </w:tc>
        <w:tc>
          <w:tcPr>
            <w:tcW w:w="200" w:type="dxa"/>
            <w:vAlign w:val="bottom"/>
          </w:tcPr>
          <w:p>
            <w:pPr>
              <w:spacing w:after="0"/>
              <w:rPr>
                <w:sz w:val="13"/>
                <w:szCs w:val="13"/>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260"/>
              <w:spacing w:after="0" w:line="155" w:lineRule="exact"/>
              <w:rPr>
                <w:sz w:val="20"/>
                <w:szCs w:val="20"/>
                <w:color w:val="auto"/>
              </w:rPr>
            </w:pPr>
            <w:r>
              <w:rPr>
                <w:rFonts w:ascii="Arial" w:cs="Arial" w:eastAsia="Arial" w:hAnsi="Arial"/>
                <w:sz w:val="16"/>
                <w:szCs w:val="16"/>
                <w:color w:val="auto"/>
                <w:w w:val="95"/>
              </w:rPr>
              <w:t>Discontinued</w:t>
            </w:r>
          </w:p>
        </w:tc>
        <w:tc>
          <w:tcPr>
            <w:tcW w:w="16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1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240"/>
              <w:spacing w:after="0" w:line="167" w:lineRule="exact"/>
              <w:rPr>
                <w:sz w:val="20"/>
                <w:szCs w:val="20"/>
                <w:color w:val="auto"/>
              </w:rPr>
            </w:pPr>
            <w:r>
              <w:rPr>
                <w:rFonts w:ascii="Arial" w:cs="Arial" w:eastAsia="Arial" w:hAnsi="Arial"/>
                <w:sz w:val="15"/>
                <w:szCs w:val="15"/>
                <w:color w:val="auto"/>
              </w:rPr>
              <w:t xml:space="preserve">States </w:t>
            </w:r>
            <w:r>
              <w:rPr>
                <w:rFonts w:ascii="Arial" w:cs="Arial" w:eastAsia="Arial" w:hAnsi="Arial"/>
                <w:sz w:val="19"/>
                <w:szCs w:val="19"/>
                <w:color w:val="auto"/>
                <w:vertAlign w:val="superscript"/>
              </w:rPr>
              <w:t>1</w:t>
            </w: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ind w:left="140"/>
              <w:spacing w:after="0" w:line="168" w:lineRule="exact"/>
              <w:rPr>
                <w:sz w:val="20"/>
                <w:szCs w:val="20"/>
                <w:color w:val="auto"/>
              </w:rPr>
            </w:pPr>
            <w:r>
              <w:rPr>
                <w:rFonts w:ascii="Arial" w:cs="Arial" w:eastAsia="Arial" w:hAnsi="Arial"/>
                <w:sz w:val="16"/>
                <w:szCs w:val="16"/>
                <w:color w:val="auto"/>
              </w:rPr>
              <w:t>E&amp;P</w:t>
            </w:r>
          </w:p>
        </w:tc>
        <w:tc>
          <w:tcPr>
            <w:tcW w:w="180" w:type="dxa"/>
            <w:vAlign w:val="bottom"/>
          </w:tcPr>
          <w:p>
            <w:pPr>
              <w:spacing w:after="0"/>
              <w:rPr>
                <w:sz w:val="14"/>
                <w:szCs w:val="14"/>
                <w:color w:val="auto"/>
              </w:rPr>
            </w:pPr>
          </w:p>
        </w:tc>
        <w:tc>
          <w:tcPr>
            <w:tcW w:w="1260" w:type="dxa"/>
            <w:vAlign w:val="bottom"/>
            <w:gridSpan w:val="2"/>
          </w:tcPr>
          <w:p>
            <w:pPr>
              <w:jc w:val="center"/>
              <w:ind w:right="260"/>
              <w:spacing w:after="0" w:line="168" w:lineRule="exact"/>
              <w:rPr>
                <w:sz w:val="20"/>
                <w:szCs w:val="20"/>
                <w:color w:val="auto"/>
              </w:rPr>
            </w:pPr>
            <w:r>
              <w:rPr>
                <w:rFonts w:ascii="Arial" w:cs="Arial" w:eastAsia="Arial" w:hAnsi="Arial"/>
                <w:sz w:val="16"/>
                <w:szCs w:val="16"/>
                <w:color w:val="auto"/>
                <w:w w:val="97"/>
              </w:rPr>
              <w:t>Operations</w:t>
            </w:r>
          </w:p>
        </w:tc>
        <w:tc>
          <w:tcPr>
            <w:tcW w:w="160" w:type="dxa"/>
            <w:vAlign w:val="bottom"/>
          </w:tcPr>
          <w:p>
            <w:pPr>
              <w:spacing w:after="0"/>
              <w:rPr>
                <w:sz w:val="14"/>
                <w:szCs w:val="14"/>
                <w:color w:val="auto"/>
              </w:rPr>
            </w:pPr>
          </w:p>
        </w:tc>
        <w:tc>
          <w:tcPr>
            <w:tcW w:w="1180" w:type="dxa"/>
            <w:vAlign w:val="bottom"/>
          </w:tcPr>
          <w:p>
            <w:pPr>
              <w:jc w:val="right"/>
              <w:ind w:right="422"/>
              <w:spacing w:after="0" w:line="168" w:lineRule="exact"/>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18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March 31, 2024</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180" w:type="dxa"/>
            <w:vAlign w:val="bottom"/>
            <w:gridSpan w:val="3"/>
          </w:tcPr>
          <w:p>
            <w:pPr>
              <w:ind w:left="20"/>
              <w:spacing w:after="0"/>
              <w:rPr>
                <w:sz w:val="20"/>
                <w:szCs w:val="20"/>
                <w:color w:val="auto"/>
              </w:rPr>
            </w:pPr>
            <w:r>
              <w:rPr>
                <w:rFonts w:ascii="Arial" w:cs="Arial" w:eastAsia="Arial" w:hAnsi="Arial"/>
                <w:sz w:val="16"/>
                <w:szCs w:val="16"/>
                <w:color w:val="auto"/>
              </w:rPr>
              <w:t>Revenue from production</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658.4</w:t>
            </w: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136.3</w:t>
            </w:r>
          </w:p>
        </w:tc>
        <w:tc>
          <w:tcPr>
            <w:tcW w:w="8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794.6</w:t>
            </w: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794.6</w:t>
            </w:r>
          </w:p>
        </w:tc>
        <w:tc>
          <w:tcPr>
            <w:tcW w:w="0" w:type="dxa"/>
            <w:vAlign w:val="bottom"/>
          </w:tcPr>
          <w:p>
            <w:pPr>
              <w:spacing w:after="0"/>
              <w:rPr>
                <w:sz w:val="1"/>
                <w:szCs w:val="1"/>
                <w:color w:val="auto"/>
              </w:rPr>
            </w:pPr>
          </w:p>
        </w:tc>
      </w:tr>
      <w:tr>
        <w:trPr>
          <w:trHeight w:val="208"/>
        </w:trPr>
        <w:tc>
          <w:tcPr>
            <w:tcW w:w="41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Sales of purchased natural gas</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6"/>
        </w:trPr>
        <w:tc>
          <w:tcPr>
            <w:tcW w:w="418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Gain on sales of assets and other operating income</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0.4</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0"/>
        </w:trPr>
        <w:tc>
          <w:tcPr>
            <w:tcW w:w="41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Revenues from external customers</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136.9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796.4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796.4</w:t>
            </w:r>
          </w:p>
        </w:tc>
        <w:tc>
          <w:tcPr>
            <w:tcW w:w="0" w:type="dxa"/>
            <w:vAlign w:val="bottom"/>
          </w:tcPr>
          <w:p>
            <w:pPr>
              <w:spacing w:after="0"/>
              <w:rPr>
                <w:sz w:val="1"/>
                <w:szCs w:val="1"/>
                <w:color w:val="auto"/>
              </w:rPr>
            </w:pPr>
          </w:p>
        </w:tc>
      </w:tr>
      <w:tr>
        <w:trPr>
          <w:trHeight w:val="186"/>
        </w:trPr>
        <w:tc>
          <w:tcPr>
            <w:tcW w:w="4180" w:type="dxa"/>
            <w:vAlign w:val="bottom"/>
            <w:gridSpan w:val="3"/>
          </w:tcPr>
          <w:p>
            <w:pPr>
              <w:ind w:left="20"/>
              <w:spacing w:after="0"/>
              <w:rPr>
                <w:sz w:val="20"/>
                <w:szCs w:val="20"/>
                <w:color w:val="auto"/>
              </w:rPr>
            </w:pPr>
            <w:r>
              <w:rPr>
                <w:rFonts w:ascii="Arial" w:cs="Arial" w:eastAsia="Arial" w:hAnsi="Arial"/>
                <w:sz w:val="16"/>
                <w:szCs w:val="16"/>
                <w:color w:val="auto"/>
              </w:rPr>
              <w:t>Lease operating expenses</w:t>
            </w: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w w:val="96"/>
              </w:rPr>
              <w:t>Lease operating expenses and taxes other than income</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167.1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167.1</w:t>
            </w: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4100" w:type="dxa"/>
            <w:vAlign w:val="bottom"/>
            <w:gridSpan w:val="2"/>
          </w:tcPr>
          <w:p>
            <w:pPr>
              <w:ind w:left="260"/>
              <w:spacing w:after="0"/>
              <w:rPr>
                <w:sz w:val="20"/>
                <w:szCs w:val="20"/>
                <w:color w:val="auto"/>
              </w:rPr>
            </w:pPr>
            <w:r>
              <w:rPr>
                <w:rFonts w:ascii="Arial" w:cs="Arial" w:eastAsia="Arial" w:hAnsi="Arial"/>
                <w:sz w:val="16"/>
                <w:szCs w:val="16"/>
                <w:color w:val="auto"/>
              </w:rPr>
              <w:t>Repair and maintenance</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0.6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11.6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08"/>
        </w:trPr>
        <w:tc>
          <w:tcPr>
            <w:tcW w:w="8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Workovers</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55.6</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0" w:type="dxa"/>
            <w:vAlign w:val="bottom"/>
          </w:tcPr>
          <w:p>
            <w:pPr>
              <w:spacing w:after="0"/>
              <w:rPr>
                <w:sz w:val="1"/>
                <w:szCs w:val="1"/>
                <w:color w:val="auto"/>
              </w:rPr>
            </w:pPr>
          </w:p>
        </w:tc>
      </w:tr>
      <w:tr>
        <w:trPr>
          <w:trHeight w:val="199"/>
        </w:trPr>
        <w:tc>
          <w:tcPr>
            <w:tcW w:w="418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Total lease operating expenses</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186.6</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47.5</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234.3</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234.3</w:t>
            </w:r>
          </w:p>
        </w:tc>
        <w:tc>
          <w:tcPr>
            <w:tcW w:w="0" w:type="dxa"/>
            <w:vAlign w:val="bottom"/>
          </w:tcPr>
          <w:p>
            <w:pPr>
              <w:spacing w:after="0"/>
              <w:rPr>
                <w:sz w:val="1"/>
                <w:szCs w:val="1"/>
                <w:color w:val="auto"/>
              </w:rPr>
            </w:pPr>
          </w:p>
        </w:tc>
      </w:tr>
      <w:tr>
        <w:trPr>
          <w:trHeight w:val="200"/>
        </w:trPr>
        <w:tc>
          <w:tcPr>
            <w:tcW w:w="41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Severance and ad valorem taxes</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06"/>
        </w:trPr>
        <w:tc>
          <w:tcPr>
            <w:tcW w:w="4180" w:type="dxa"/>
            <w:vAlign w:val="bottom"/>
            <w:gridSpan w:val="3"/>
          </w:tcPr>
          <w:p>
            <w:pPr>
              <w:ind w:left="20"/>
              <w:spacing w:after="0"/>
              <w:rPr>
                <w:sz w:val="20"/>
                <w:szCs w:val="20"/>
                <w:color w:val="auto"/>
              </w:rPr>
            </w:pPr>
            <w:r>
              <w:rPr>
                <w:rFonts w:ascii="Arial" w:cs="Arial" w:eastAsia="Arial" w:hAnsi="Arial"/>
                <w:sz w:val="16"/>
                <w:szCs w:val="16"/>
                <w:color w:val="auto"/>
              </w:rPr>
              <w:t>Transportation, gathering and processing</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19.9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56.5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208"/>
        </w:trPr>
        <w:tc>
          <w:tcPr>
            <w:tcW w:w="41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Costs of purchased natural gas</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6"/>
        </w:trPr>
        <w:tc>
          <w:tcPr>
            <w:tcW w:w="4180" w:type="dxa"/>
            <w:vAlign w:val="bottom"/>
            <w:gridSpan w:val="3"/>
          </w:tcPr>
          <w:p>
            <w:pPr>
              <w:ind w:left="20"/>
              <w:spacing w:after="0"/>
              <w:rPr>
                <w:sz w:val="20"/>
                <w:szCs w:val="20"/>
                <w:color w:val="auto"/>
              </w:rPr>
            </w:pPr>
            <w:r>
              <w:rPr>
                <w:rFonts w:ascii="Arial" w:cs="Arial" w:eastAsia="Arial" w:hAnsi="Arial"/>
                <w:sz w:val="16"/>
                <w:szCs w:val="16"/>
                <w:color w:val="auto"/>
              </w:rPr>
              <w:t>Selling and general expenses</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5.1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6.1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25.0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08"/>
        </w:trPr>
        <w:tc>
          <w:tcPr>
            <w:tcW w:w="41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Exploration Expenses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4100" w:type="dxa"/>
            <w:vAlign w:val="bottom"/>
            <w:gridSpan w:val="2"/>
          </w:tcPr>
          <w:p>
            <w:pPr>
              <w:ind w:left="260"/>
              <w:spacing w:after="0"/>
              <w:rPr>
                <w:sz w:val="20"/>
                <w:szCs w:val="20"/>
                <w:color w:val="auto"/>
              </w:rPr>
            </w:pPr>
            <w:r>
              <w:rPr>
                <w:rFonts w:ascii="Arial" w:cs="Arial" w:eastAsia="Arial" w:hAnsi="Arial"/>
                <w:sz w:val="16"/>
                <w:szCs w:val="16"/>
                <w:color w:val="auto"/>
              </w:rPr>
              <w:t>Geological and geophysical</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8"/>
        </w:trPr>
        <w:tc>
          <w:tcPr>
            <w:tcW w:w="8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w w:val="99"/>
              </w:rPr>
              <w:t>Dry holes and previously suspended exploration costs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32.4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4100" w:type="dxa"/>
            <w:vAlign w:val="bottom"/>
            <w:gridSpan w:val="2"/>
          </w:tcPr>
          <w:p>
            <w:pPr>
              <w:ind w:left="260"/>
              <w:spacing w:after="0" w:line="156" w:lineRule="exact"/>
              <w:rPr>
                <w:sz w:val="20"/>
                <w:szCs w:val="20"/>
                <w:color w:val="auto"/>
              </w:rPr>
            </w:pPr>
            <w:r>
              <w:rPr>
                <w:rFonts w:ascii="Arial" w:cs="Arial" w:eastAsia="Arial" w:hAnsi="Arial"/>
                <w:sz w:val="16"/>
                <w:szCs w:val="16"/>
                <w:color w:val="auto"/>
              </w:rPr>
              <w:t>Other exploratory costs, including undeveloped lease</w:t>
            </w: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vMerge w:val="restart"/>
          </w:tcPr>
          <w:p>
            <w:pPr>
              <w:jc w:val="right"/>
              <w:ind w:right="2"/>
              <w:spacing w:after="0"/>
              <w:rPr>
                <w:sz w:val="20"/>
                <w:szCs w:val="20"/>
                <w:color w:val="auto"/>
              </w:rPr>
            </w:pPr>
            <w:r>
              <w:rPr>
                <w:rFonts w:ascii="Arial" w:cs="Arial" w:eastAsia="Arial" w:hAnsi="Arial"/>
                <w:sz w:val="16"/>
                <w:szCs w:val="16"/>
                <w:color w:val="auto"/>
              </w:rPr>
              <w:t>10.6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05"/>
        </w:trPr>
        <w:tc>
          <w:tcPr>
            <w:tcW w:w="80" w:type="dxa"/>
            <w:vAlign w:val="bottom"/>
            <w:tcBorders>
              <w:bottom w:val="single" w:sz="8" w:color="CCEEFF"/>
            </w:tcBorders>
          </w:tcPr>
          <w:p>
            <w:pPr>
              <w:spacing w:after="0"/>
              <w:rPr>
                <w:sz w:val="17"/>
                <w:szCs w:val="17"/>
                <w:color w:val="auto"/>
              </w:rPr>
            </w:pPr>
          </w:p>
        </w:tc>
        <w:tc>
          <w:tcPr>
            <w:tcW w:w="410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amortization and delay lease rentals</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1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Total exploration expenses</w:t>
            </w: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44.4</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0" w:type="dxa"/>
            <w:vAlign w:val="bottom"/>
          </w:tcPr>
          <w:p>
            <w:pPr>
              <w:spacing w:after="0"/>
              <w:rPr>
                <w:sz w:val="1"/>
                <w:szCs w:val="1"/>
                <w:color w:val="auto"/>
              </w:rPr>
            </w:pPr>
          </w:p>
        </w:tc>
      </w:tr>
      <w:tr>
        <w:trPr>
          <w:trHeight w:val="199"/>
        </w:trPr>
        <w:tc>
          <w:tcPr>
            <w:tcW w:w="4180" w:type="dxa"/>
            <w:vAlign w:val="bottom"/>
            <w:gridSpan w:val="3"/>
          </w:tcPr>
          <w:p>
            <w:pPr>
              <w:ind w:left="20"/>
              <w:spacing w:after="0"/>
              <w:rPr>
                <w:sz w:val="20"/>
                <w:szCs w:val="20"/>
                <w:color w:val="auto"/>
              </w:rPr>
            </w:pPr>
            <w:r>
              <w:rPr>
                <w:rFonts w:ascii="Arial" w:cs="Arial" w:eastAsia="Arial" w:hAnsi="Arial"/>
                <w:sz w:val="16"/>
                <w:szCs w:val="16"/>
                <w:color w:val="auto"/>
              </w:rPr>
              <w:t>Depreciation, depletion and amortization</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174.0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34.3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208.3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211.1</w:t>
            </w:r>
          </w:p>
        </w:tc>
        <w:tc>
          <w:tcPr>
            <w:tcW w:w="0" w:type="dxa"/>
            <w:vAlign w:val="bottom"/>
          </w:tcPr>
          <w:p>
            <w:pPr>
              <w:spacing w:after="0"/>
              <w:rPr>
                <w:sz w:val="1"/>
                <w:szCs w:val="1"/>
                <w:color w:val="auto"/>
              </w:rPr>
            </w:pPr>
          </w:p>
        </w:tc>
      </w:tr>
      <w:tr>
        <w:trPr>
          <w:trHeight w:val="208"/>
        </w:trPr>
        <w:tc>
          <w:tcPr>
            <w:tcW w:w="41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Impairment of assets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34.5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06"/>
        </w:trPr>
        <w:tc>
          <w:tcPr>
            <w:tcW w:w="4180" w:type="dxa"/>
            <w:vAlign w:val="bottom"/>
            <w:gridSpan w:val="3"/>
          </w:tcPr>
          <w:p>
            <w:pPr>
              <w:ind w:left="20"/>
              <w:spacing w:after="0"/>
              <w:rPr>
                <w:sz w:val="20"/>
                <w:szCs w:val="20"/>
                <w:color w:val="auto"/>
              </w:rPr>
            </w:pPr>
            <w:r>
              <w:rPr>
                <w:rFonts w:ascii="Arial" w:cs="Arial" w:eastAsia="Arial" w:hAnsi="Arial"/>
                <w:sz w:val="16"/>
                <w:szCs w:val="16"/>
                <w:color w:val="auto"/>
              </w:rPr>
              <w:t>Accretion of asset retirement obligations</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12.8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08"/>
        </w:trPr>
        <w:tc>
          <w:tcPr>
            <w:tcW w:w="41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operating expenses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06"/>
        </w:trPr>
        <w:tc>
          <w:tcPr>
            <w:tcW w:w="4180" w:type="dxa"/>
            <w:vAlign w:val="bottom"/>
            <w:gridSpan w:val="3"/>
          </w:tcPr>
          <w:p>
            <w:pPr>
              <w:ind w:left="2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8"/>
        </w:trPr>
        <w:tc>
          <w:tcPr>
            <w:tcW w:w="41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Interest expense, net of capitalization</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06"/>
        </w:trPr>
        <w:tc>
          <w:tcPr>
            <w:tcW w:w="4180" w:type="dxa"/>
            <w:vAlign w:val="bottom"/>
            <w:gridSpan w:val="3"/>
          </w:tcPr>
          <w:p>
            <w:pPr>
              <w:ind w:left="20"/>
              <w:spacing w:after="0"/>
              <w:rPr>
                <w:sz w:val="20"/>
                <w:szCs w:val="20"/>
                <w:color w:val="auto"/>
              </w:rPr>
            </w:pPr>
            <w:r>
              <w:rPr>
                <w:rFonts w:ascii="Arial" w:cs="Arial" w:eastAsia="Arial" w:hAnsi="Arial"/>
                <w:sz w:val="16"/>
                <w:szCs w:val="16"/>
                <w:color w:val="auto"/>
              </w:rPr>
              <w:t>Income tax expense</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Current income tax expense</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06"/>
        </w:trPr>
        <w:tc>
          <w:tcPr>
            <w:tcW w:w="80" w:type="dxa"/>
            <w:vAlign w:val="bottom"/>
            <w:tcBorders>
              <w:bottom w:val="single" w:sz="8" w:color="CCEEFF"/>
            </w:tcBorders>
          </w:tcPr>
          <w:p>
            <w:pPr>
              <w:spacing w:after="0"/>
              <w:rPr>
                <w:sz w:val="17"/>
                <w:szCs w:val="17"/>
                <w:color w:val="auto"/>
              </w:rPr>
            </w:pPr>
          </w:p>
        </w:tc>
        <w:tc>
          <w:tcPr>
            <w:tcW w:w="410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Deferred income tax expense (benefit)</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30.6</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00"/>
        </w:trPr>
        <w:tc>
          <w:tcPr>
            <w:tcW w:w="41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Total income tax expense (benefit)</w:t>
            </w: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6.9</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37.4</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199"/>
        </w:trPr>
        <w:tc>
          <w:tcPr>
            <w:tcW w:w="418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Other segment costs (income)</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0.1</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25"/>
        </w:trPr>
        <w:tc>
          <w:tcPr>
            <w:tcW w:w="4180" w:type="dxa"/>
            <w:vAlign w:val="bottom"/>
            <w:tcBorders>
              <w:bottom w:val="single" w:sz="8" w:color="CCEEFF"/>
            </w:tcBorders>
            <w:gridSpan w:val="3"/>
            <w:shd w:val="clear" w:color="auto" w:fill="CCEEFF"/>
          </w:tcPr>
          <w:p>
            <w:pPr>
              <w:ind w:left="20"/>
              <w:spacing w:after="0" w:line="201" w:lineRule="exact"/>
              <w:rPr>
                <w:sz w:val="20"/>
                <w:szCs w:val="20"/>
                <w:color w:val="auto"/>
              </w:rPr>
            </w:pPr>
            <w:r>
              <w:rPr>
                <w:rFonts w:ascii="Arial" w:cs="Arial" w:eastAsia="Arial" w:hAnsi="Arial"/>
                <w:sz w:val="16"/>
                <w:szCs w:val="16"/>
                <w:color w:val="auto"/>
              </w:rPr>
              <w:t xml:space="preserve">Segment income (loss) - including NCI </w:t>
            </w:r>
            <w:r>
              <w:rPr>
                <w:rFonts w:ascii="Arial" w:cs="Arial" w:eastAsia="Arial" w:hAnsi="Arial"/>
                <w:sz w:val="20"/>
                <w:szCs w:val="20"/>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134.5</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19.4</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143.1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114.7</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1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Additions to property, plant,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67.2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225.4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229.6</w:t>
            </w:r>
          </w:p>
        </w:tc>
        <w:tc>
          <w:tcPr>
            <w:tcW w:w="0" w:type="dxa"/>
            <w:vAlign w:val="bottom"/>
          </w:tcPr>
          <w:p>
            <w:pPr>
              <w:spacing w:after="0"/>
              <w:rPr>
                <w:sz w:val="1"/>
                <w:szCs w:val="1"/>
                <w:color w:val="auto"/>
              </w:rPr>
            </w:pPr>
          </w:p>
        </w:tc>
      </w:tr>
      <w:tr>
        <w:trPr>
          <w:trHeight w:val="205"/>
        </w:trPr>
        <w:tc>
          <w:tcPr>
            <w:tcW w:w="4180" w:type="dxa"/>
            <w:vAlign w:val="bottom"/>
            <w:gridSpan w:val="3"/>
          </w:tcPr>
          <w:p>
            <w:pPr>
              <w:ind w:left="20"/>
              <w:spacing w:after="0"/>
              <w:rPr>
                <w:sz w:val="20"/>
                <w:szCs w:val="20"/>
                <w:color w:val="auto"/>
              </w:rPr>
            </w:pPr>
            <w:r>
              <w:rPr>
                <w:rFonts w:ascii="Arial" w:cs="Arial" w:eastAsia="Arial" w:hAnsi="Arial"/>
                <w:sz w:val="16"/>
                <w:szCs w:val="16"/>
                <w:color w:val="auto"/>
              </w:rPr>
              <w:t>Total assets at quarter-end</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7,030.7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2,059.1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210.2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9,300.0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368.7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9,668.7</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100" w:hanging="90"/>
        <w:spacing w:after="0"/>
        <w:tabs>
          <w:tab w:leader="none" w:pos="100" w:val="left"/>
        </w:tabs>
        <w:numPr>
          <w:ilvl w:val="0"/>
          <w:numId w:val="12"/>
        </w:numPr>
        <w:rPr>
          <w:rFonts w:ascii="Arial" w:cs="Arial" w:eastAsia="Arial" w:hAnsi="Arial"/>
          <w:sz w:val="20"/>
          <w:szCs w:val="20"/>
          <w:color w:val="auto"/>
          <w:vertAlign w:val="superscript"/>
        </w:rPr>
      </w:pPr>
      <w:r>
        <w:rPr>
          <w:rFonts w:ascii="Arial" w:cs="Arial" w:eastAsia="Arial" w:hAnsi="Arial"/>
          <w:sz w:val="16"/>
          <w:szCs w:val="16"/>
          <w:color w:val="auto"/>
        </w:rPr>
        <w:t>Includes results attributable to a noncontrolling interest in MP GOM.</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39"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FF"/>
        </w:rPr>
        <w:t>Table of Contents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(MD&amp;A) should be read together with the unaudited consolidated financial statements and accompanying notes for the quarter ended March 31, 2025 included under “</w:t>
      </w:r>
      <w:r>
        <w:rPr>
          <w:rFonts w:ascii="Arial" w:cs="Arial" w:eastAsia="Arial" w:hAnsi="Arial"/>
          <w:sz w:val="17"/>
          <w:szCs w:val="17"/>
          <w:u w:val="single" w:color="auto"/>
          <w:color w:val="0000FF"/>
        </w:rPr>
        <w:t>Item 1. Financial</w:t>
      </w:r>
      <w:r>
        <w:rPr>
          <w:rFonts w:ascii="Arial" w:cs="Arial" w:eastAsia="Arial" w:hAnsi="Arial"/>
          <w:sz w:val="17"/>
          <w:szCs w:val="17"/>
          <w:color w:val="auto"/>
        </w:rPr>
        <w:t xml:space="preserve"> </w:t>
      </w:r>
      <w:r>
        <w:rPr>
          <w:rFonts w:ascii="Arial" w:cs="Arial" w:eastAsia="Arial" w:hAnsi="Arial"/>
          <w:sz w:val="17"/>
          <w:szCs w:val="17"/>
          <w:u w:val="single" w:color="auto"/>
          <w:color w:val="0000FF"/>
        </w:rPr>
        <w:t>Statements</w:t>
      </w:r>
      <w:r>
        <w:rPr>
          <w:rFonts w:ascii="Arial" w:cs="Arial" w:eastAsia="Arial" w:hAnsi="Arial"/>
          <w:sz w:val="17"/>
          <w:szCs w:val="17"/>
          <w:color w:val="000000"/>
        </w:rPr>
        <w:t>” of this Form 10-Q and the audited consolidated financial statements and related notes and MD&amp;A included in Item 8 and 7,</w:t>
      </w:r>
      <w:r>
        <w:rPr>
          <w:rFonts w:ascii="Arial" w:cs="Arial" w:eastAsia="Arial" w:hAnsi="Arial"/>
          <w:sz w:val="17"/>
          <w:szCs w:val="17"/>
          <w:color w:val="0000FF"/>
        </w:rPr>
        <w:t xml:space="preserve"> </w:t>
      </w:r>
      <w:r>
        <w:rPr>
          <w:rFonts w:ascii="Arial" w:cs="Arial" w:eastAsia="Arial" w:hAnsi="Arial"/>
          <w:sz w:val="17"/>
          <w:szCs w:val="17"/>
          <w:color w:val="000000"/>
        </w:rPr>
        <w:t>respectively, of our Annual Report on Form 10-K for the year ended December 31, 2024. This MD&amp;A includes forward-looking statements that involve certain risks and uncertainties. See “</w:t>
      </w:r>
      <w:r>
        <w:rPr>
          <w:rFonts w:ascii="Arial" w:cs="Arial" w:eastAsia="Arial" w:hAnsi="Arial"/>
          <w:sz w:val="17"/>
          <w:szCs w:val="17"/>
          <w:u w:val="single" w:color="auto"/>
          <w:color w:val="0000FF"/>
        </w:rPr>
        <w:t>Forward-Looking Statements</w:t>
      </w:r>
      <w:r>
        <w:rPr>
          <w:rFonts w:ascii="Arial" w:cs="Arial" w:eastAsia="Arial" w:hAnsi="Arial"/>
          <w:sz w:val="17"/>
          <w:szCs w:val="17"/>
          <w:color w:val="000000"/>
        </w:rPr>
        <w:t>” at the end of this section.</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Overview</w:t>
      </w:r>
    </w:p>
    <w:p>
      <w:pPr>
        <w:spacing w:after="0" w:line="168"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color w:val="auto"/>
        </w:rPr>
        <w:t>Murphy is an independent oil and natural gas company with a multi-basin onshore and offshore portfolio and significant exploration opportunities. The Company has more than a century-long history of demonstrating strong execution and innovative, full-cycle development capabilities with a focus on value creation that drives shareholder returns. The Company’s current operations include inventory located onshore in the Eagle Ford Shale, Tupper Montney and Kaybob Duvernay, as well as offshore in the Gulf of America and Canada. Murphy also strives to create long-term shareholder value through offshore exploration and development in the Gulf of America, Vietnam and Côte d’Ivoire.</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The analysis and discussion in this section includes amounts attributable to a noncontrolling interest in MP GOM, unless otherwise noted.</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Significant Company financial and operational highlights during the first quarter of 2025 were as follows:</w:t>
      </w:r>
    </w:p>
    <w:p>
      <w:pPr>
        <w:spacing w:after="0" w:line="115" w:lineRule="exact"/>
        <w:rPr>
          <w:sz w:val="20"/>
          <w:szCs w:val="20"/>
          <w:color w:val="auto"/>
        </w:rPr>
      </w:pPr>
    </w:p>
    <w:p>
      <w:pPr>
        <w:ind w:left="600" w:hanging="287"/>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Drilled an oil discovery at Lac Da Hong-1X (Pink Camel) in offshore Vietnam and encountered 106 feet of net oil pay from one reservoir</w:t>
      </w:r>
    </w:p>
    <w:p>
      <w:pPr>
        <w:spacing w:after="0" w:line="114" w:lineRule="exact"/>
        <w:rPr>
          <w:rFonts w:ascii="Arial" w:cs="Arial" w:eastAsia="Arial" w:hAnsi="Arial"/>
          <w:sz w:val="17"/>
          <w:szCs w:val="17"/>
          <w:color w:val="auto"/>
        </w:rPr>
      </w:pPr>
    </w:p>
    <w:p>
      <w:pPr>
        <w:ind w:left="600" w:hanging="287"/>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Closed the strategic acquisition of the BW Pioneer FPSO in the Gulf of America for $125.0 million gross purchase price</w:t>
      </w:r>
    </w:p>
    <w:p>
      <w:pPr>
        <w:spacing w:after="0" w:line="114" w:lineRule="exact"/>
        <w:rPr>
          <w:rFonts w:ascii="Arial" w:cs="Arial" w:eastAsia="Arial" w:hAnsi="Arial"/>
          <w:sz w:val="17"/>
          <w:szCs w:val="17"/>
          <w:color w:val="auto"/>
        </w:rPr>
      </w:pPr>
    </w:p>
    <w:p>
      <w:pPr>
        <w:ind w:left="600" w:hanging="287"/>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Paid quarterly dividend of $0.325 per share or $1.30 per share annualized</w:t>
      </w:r>
    </w:p>
    <w:p>
      <w:pPr>
        <w:spacing w:after="0" w:line="114" w:lineRule="exact"/>
        <w:rPr>
          <w:rFonts w:ascii="Arial" w:cs="Arial" w:eastAsia="Arial" w:hAnsi="Arial"/>
          <w:sz w:val="17"/>
          <w:szCs w:val="17"/>
          <w:color w:val="auto"/>
        </w:rPr>
      </w:pPr>
    </w:p>
    <w:p>
      <w:pPr>
        <w:ind w:left="600" w:hanging="287"/>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Repurchased $100.0 million ($100.9 million including excise taxes and fees) of common stock, or 3.6 million shares</w:t>
      </w:r>
    </w:p>
    <w:p>
      <w:pPr>
        <w:spacing w:after="0" w:line="200" w:lineRule="exact"/>
        <w:rPr>
          <w:sz w:val="20"/>
          <w:szCs w:val="20"/>
          <w:color w:val="auto"/>
        </w:rPr>
      </w:pPr>
    </w:p>
    <w:p>
      <w:pPr>
        <w:spacing w:after="0" w:line="25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Murphy Oil Corporation’s net income from continuing operations, including noncontrolling interest, for the three months ended March 31, 2025, was $90.0 million, a decrease of $25.6 million compared to the same period of 2024. Lower net income from continuing operations was largely driven by lower revenues from production ($121.9 million) and was partially offset by lower impairment of assets ($34.5 million), lower exploration expenses ($29.9 million), and lower lease operating expenses ($29.2 million). Lower revenues were primarily driven by lower crude oil production in the U.S., resulting from workover and turnaround-related downtime, and well performance, combined with lower crude oil prices. This was partially offset by increased crude oil sales at Canada Offshore, as 2024 had lower production build-up following the completion of the non-operated Terra Nova asset life extension project. In 2024, there were asset impairment charges relating to the Calliope field in Mississippi Canyon in the Gulf of America, as a result of operational issues that led to a reserve reduction. Lower lease operating expenses were primarily driven by lower sales volumes in the U.S. and lower operating costs at the non-operated Terra Nova field as 2024 had higher asset restart costs, partially offset by increased sales volumes at the non-operated Terra Nova field. Exploration expenses decreased in 2025, as 2024 had additional expenses for dry holes and previously suspended exploration costs relating to Hoffe Park #1 (Mississippi Canyon 166) exploration well and costs related to the non-operated Oso #1 (Atwater Valley 138) exploration well in the Gulf of America.</w:t>
      </w:r>
    </w:p>
    <w:p>
      <w:pPr>
        <w:spacing w:after="0" w:line="72"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For the three months ended March 31, 2025, total hydrocarbon production was 163,374 barrels of oil equivalent per day, a decrease of 8% compared to the first quarter of 2024. The decrease was principally due to lower production in the U.S., partially offset by higher production in Canada. Decreases in the Gulf of America resulted from workover and turnaround-related downtime, and well performance, while decreases in the Eagle Ford Shale were due to natural decline and well downtime related to workovers and winter weather. Higher</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(Continued)</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color w:val="auto"/>
        </w:rPr>
        <w:t>production in Canada primarily related to the non-operated Terra Nova field following the asset resuming operations.</w:t>
      </w:r>
    </w:p>
    <w:p>
      <w:pPr>
        <w:spacing w:after="0" w:line="115"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Murphy’s continuing operations generate revenues through the production and sale of crude oil, natural gas and natural gas liquids in the United States and Canada. Changes in the price of crude oil and natural gas have a significant impact on the profitability of the Company. In order to make a profit and generate cash in its exploration and production business, revenue generated from the sales of oil and natural gas produced must exceed the combined costs of producing these products and expenses related to exploration, administration and capital borrowing from lending institutions and note holders. Geopolitical uncertainty surrounding domestic and foreign governmental regulations, including effects of trade policies, tariffs and other trade restrictions, can affect the demand of crude oil, natural gas and natural gas liquids, as well as the cost of oil field goods and services.</w:t>
      </w:r>
    </w:p>
    <w:p>
      <w:pPr>
        <w:spacing w:after="0" w:line="280"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For the three months ended March 31, 2025, West Texas Intermediate (WTI) crude oil price at the end of the first quarter of 2025 was $71.48 per barrel, whereas the crude oil price at the end of April 2025 was $58.21, reflecting a 19% reduction in price. The average sales price in April 2025 was $63.79 per barrel. As of May 5, 2025 closing, the NYMEX WTI forward curve price for remainder of 2025 was $56.46 per barrel. Reductions in commodity prices will reduce the Company’s future profits and operating cash flows.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0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auto"/>
              </w:rPr>
              <w:t>Results of Operations</w:t>
            </w:r>
          </w:p>
        </w:tc>
        <w:tc>
          <w:tcPr>
            <w:tcW w:w="6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0"/>
        </w:trPr>
        <w:tc>
          <w:tcPr>
            <w:tcW w:w="8020" w:type="dxa"/>
            <w:vAlign w:val="bottom"/>
            <w:gridSpan w:val="4"/>
          </w:tcPr>
          <w:p>
            <w:pPr>
              <w:spacing w:after="0"/>
              <w:rPr>
                <w:sz w:val="20"/>
                <w:szCs w:val="20"/>
                <w:color w:val="auto"/>
              </w:rPr>
            </w:pPr>
            <w:r>
              <w:rPr>
                <w:rFonts w:ascii="Arial" w:cs="Arial" w:eastAsia="Arial" w:hAnsi="Arial"/>
                <w:sz w:val="17"/>
                <w:szCs w:val="17"/>
                <w:color w:val="auto"/>
              </w:rPr>
              <w:t>Murphy’s Net income (loss) by type of business and geographic segment is presented below:</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center"/>
              <w:ind w:left="534"/>
              <w:spacing w:after="0"/>
              <w:rPr>
                <w:sz w:val="20"/>
                <w:szCs w:val="20"/>
                <w:color w:val="auto"/>
              </w:rPr>
            </w:pPr>
            <w:r>
              <w:rPr>
                <w:rFonts w:ascii="Arial" w:cs="Arial" w:eastAsia="Arial" w:hAnsi="Arial"/>
                <w:sz w:val="17"/>
                <w:szCs w:val="17"/>
                <w:b w:val="1"/>
                <w:bCs w:val="1"/>
                <w:color w:val="auto"/>
              </w:rPr>
              <w:t>Income (Loss)</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20" w:type="dxa"/>
            <w:vAlign w:val="bottom"/>
            <w:gridSpan w:val="4"/>
          </w:tcPr>
          <w:p>
            <w:pPr>
              <w:jc w:val="center"/>
              <w:ind w:right="274"/>
              <w:spacing w:after="0" w:line="168" w:lineRule="exact"/>
              <w:rPr>
                <w:sz w:val="20"/>
                <w:szCs w:val="20"/>
                <w:color w:val="auto"/>
              </w:rPr>
            </w:pPr>
            <w:r>
              <w:rPr>
                <w:rFonts w:ascii="Arial" w:cs="Arial" w:eastAsia="Arial" w:hAnsi="Arial"/>
                <w:sz w:val="17"/>
                <w:szCs w:val="17"/>
                <w:b w:val="1"/>
                <w:bCs w:val="1"/>
                <w:color w:val="auto"/>
              </w:rPr>
              <w:t>Three Months Ended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00" w:type="dxa"/>
            <w:vAlign w:val="bottom"/>
            <w:gridSpan w:val="3"/>
            <w:vMerge w:val="restart"/>
          </w:tcPr>
          <w:p>
            <w:pPr>
              <w:spacing w:after="0"/>
              <w:rPr>
                <w:sz w:val="20"/>
                <w:szCs w:val="20"/>
                <w:color w:val="auto"/>
              </w:rPr>
            </w:pPr>
            <w:r>
              <w:rPr>
                <w:rFonts w:ascii="Arial" w:cs="Arial" w:eastAsia="Arial" w:hAnsi="Arial"/>
                <w:sz w:val="17"/>
                <w:szCs w:val="17"/>
                <w:i w:val="1"/>
                <w:iCs w:val="1"/>
                <w:color w:val="auto"/>
              </w:rPr>
              <w:t>(Millions of dollars)</w:t>
            </w:r>
          </w:p>
        </w:tc>
        <w:tc>
          <w:tcPr>
            <w:tcW w:w="3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center"/>
              <w:ind w:left="534"/>
              <w:spacing w:after="0"/>
              <w:rPr>
                <w:sz w:val="20"/>
                <w:szCs w:val="20"/>
                <w:color w:val="auto"/>
              </w:rPr>
            </w:pPr>
            <w:r>
              <w:rPr>
                <w:rFonts w:ascii="Arial" w:cs="Arial" w:eastAsia="Arial" w:hAnsi="Arial"/>
                <w:sz w:val="17"/>
                <w:szCs w:val="17"/>
                <w:b w:val="1"/>
                <w:bCs w:val="1"/>
                <w:color w:val="auto"/>
                <w:w w:val="99"/>
              </w:rPr>
              <w:t>March 31,</w:t>
            </w: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0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494"/>
              <w:spacing w:after="0" w:line="174" w:lineRule="exact"/>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jc w:val="right"/>
              <w:ind w:right="494"/>
              <w:spacing w:after="0" w:line="174" w:lineRule="exact"/>
              <w:rPr>
                <w:sz w:val="20"/>
                <w:szCs w:val="20"/>
                <w:color w:val="auto"/>
              </w:rPr>
            </w:pPr>
            <w:r>
              <w:rPr>
                <w:rFonts w:ascii="Arial" w:cs="Arial" w:eastAsia="Arial" w:hAnsi="Arial"/>
                <w:sz w:val="17"/>
                <w:szCs w:val="17"/>
                <w:color w:val="auto"/>
              </w:rPr>
              <w:t>2024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80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Exploration and production</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00" w:type="dxa"/>
            <w:vAlign w:val="bottom"/>
            <w:gridSpan w:val="3"/>
          </w:tcPr>
          <w:p>
            <w:pPr>
              <w:ind w:left="200"/>
              <w:spacing w:after="0"/>
              <w:rPr>
                <w:sz w:val="20"/>
                <w:szCs w:val="20"/>
                <w:color w:val="auto"/>
              </w:rPr>
            </w:pPr>
            <w:r>
              <w:rPr>
                <w:rFonts w:ascii="Arial" w:cs="Arial" w:eastAsia="Arial" w:hAnsi="Arial"/>
                <w:sz w:val="17"/>
                <w:szCs w:val="17"/>
                <w:color w:val="auto"/>
              </w:rPr>
              <w:t>United States</w:t>
            </w:r>
          </w:p>
        </w:tc>
        <w:tc>
          <w:tcPr>
            <w:tcW w:w="36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107.9</w:t>
            </w:r>
          </w:p>
        </w:tc>
        <w:tc>
          <w:tcPr>
            <w:tcW w:w="100" w:type="dxa"/>
            <w:vAlign w:val="bottom"/>
          </w:tcPr>
          <w:p>
            <w:pPr>
              <w:spacing w:after="0"/>
              <w:rPr>
                <w:sz w:val="19"/>
                <w:szCs w:val="19"/>
                <w:color w:val="auto"/>
              </w:rPr>
            </w:pPr>
          </w:p>
        </w:tc>
        <w:tc>
          <w:tcPr>
            <w:tcW w:w="560" w:type="dxa"/>
            <w:vAlign w:val="bottom"/>
          </w:tcPr>
          <w:p>
            <w:pPr>
              <w:jc w:val="right"/>
              <w:ind w:right="37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134.5</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00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Canada</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41.5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8000" w:type="dxa"/>
            <w:vAlign w:val="bottom"/>
            <w:tcBorders>
              <w:bottom w:val="single" w:sz="8" w:color="CCEEFF"/>
            </w:tcBorders>
            <w:gridSpan w:val="3"/>
          </w:tcPr>
          <w:p>
            <w:pPr>
              <w:ind w:left="200"/>
              <w:spacing w:after="0"/>
              <w:rPr>
                <w:sz w:val="20"/>
                <w:szCs w:val="20"/>
                <w:color w:val="auto"/>
              </w:rPr>
            </w:pPr>
            <w:r>
              <w:rPr>
                <w:rFonts w:ascii="Arial" w:cs="Arial" w:eastAsia="Arial" w:hAnsi="Arial"/>
                <w:sz w:val="17"/>
                <w:szCs w:val="17"/>
                <w:color w:val="auto"/>
              </w:rPr>
              <w:t>Other</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00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Total exploration and production</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138.2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143.1</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800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color w:val="auto"/>
              </w:rPr>
              <w:t>Corporate and other</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(48.2)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00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Income from continuing operations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90.0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115.6</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800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color w:val="auto"/>
              </w:rPr>
              <w:t>Loss from discontinued operations ¹</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00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Net income including noncontrolling interest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89.4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114.7</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8000" w:type="dxa"/>
            <w:vAlign w:val="bottom"/>
            <w:tcBorders>
              <w:bottom w:val="single" w:sz="8" w:color="CCEEFF"/>
            </w:tcBorders>
            <w:gridSpan w:val="3"/>
          </w:tcPr>
          <w:p>
            <w:pPr>
              <w:ind w:left="400"/>
              <w:spacing w:after="0"/>
              <w:rPr>
                <w:sz w:val="20"/>
                <w:szCs w:val="20"/>
                <w:color w:val="auto"/>
              </w:rPr>
            </w:pPr>
            <w:r>
              <w:rPr>
                <w:rFonts w:ascii="Arial" w:cs="Arial" w:eastAsia="Arial" w:hAnsi="Arial"/>
                <w:sz w:val="17"/>
                <w:szCs w:val="17"/>
                <w:color w:val="auto"/>
              </w:rPr>
              <w:t>Net income attributable to noncontrolling interest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800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7"/>
                <w:szCs w:val="17"/>
                <w:color w:val="auto"/>
              </w:rPr>
              <w:t>Net income attributable to Murphy</w:t>
            </w: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73.0</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160" w:right="620" w:hanging="150"/>
        <w:spacing w:after="0" w:line="223" w:lineRule="auto"/>
        <w:tabs>
          <w:tab w:leader="none" w:pos="95" w:val="left"/>
        </w:tabs>
        <w:numPr>
          <w:ilvl w:val="0"/>
          <w:numId w:val="14"/>
        </w:numPr>
        <w:rPr>
          <w:rFonts w:ascii="Arial" w:cs="Arial" w:eastAsia="Arial" w:hAnsi="Arial"/>
          <w:sz w:val="20"/>
          <w:szCs w:val="20"/>
          <w:color w:val="auto"/>
          <w:vertAlign w:val="superscript"/>
        </w:rPr>
      </w:pPr>
      <w:r>
        <w:rPr>
          <w:rFonts w:ascii="Arial" w:cs="Arial" w:eastAsia="Arial" w:hAnsi="Arial"/>
          <w:sz w:val="16"/>
          <w:szCs w:val="16"/>
          <w:color w:val="auto"/>
        </w:rPr>
        <w:t>The Company has presented its former U.K., Malaysia and U.S. refining and marketing operations as discontinued operations in its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(Continued)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Exploration and Production Continuing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section of Exploration and Production (E&amp;P) continuing operations excludes the Corporate segment unless otherwise noted.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020" w:type="dxa"/>
            <w:vAlign w:val="bottom"/>
            <w:gridSpan w:val="3"/>
          </w:tcPr>
          <w:p>
            <w:pPr>
              <w:spacing w:after="0"/>
              <w:rPr>
                <w:sz w:val="20"/>
                <w:szCs w:val="20"/>
                <w:color w:val="auto"/>
              </w:rPr>
            </w:pPr>
            <w:r>
              <w:rPr>
                <w:rFonts w:ascii="Arial" w:cs="Arial" w:eastAsia="Arial" w:hAnsi="Arial"/>
                <w:sz w:val="17"/>
                <w:szCs w:val="17"/>
                <w:color w:val="auto"/>
              </w:rPr>
              <w:t>The following is a summarized statement of operations for E&amp;P continuing operations: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95"/>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20" w:type="dxa"/>
            <w:vAlign w:val="bottom"/>
            <w:gridSpan w:val="4"/>
          </w:tcPr>
          <w:p>
            <w:pPr>
              <w:jc w:val="right"/>
              <w:ind w:right="654"/>
              <w:spacing w:after="0"/>
              <w:rPr>
                <w:sz w:val="20"/>
                <w:szCs w:val="20"/>
                <w:color w:val="auto"/>
              </w:rPr>
            </w:pPr>
            <w:r>
              <w:rPr>
                <w:rFonts w:ascii="Arial" w:cs="Arial" w:eastAsia="Arial" w:hAnsi="Arial"/>
                <w:sz w:val="17"/>
                <w:szCs w:val="17"/>
                <w:b w:val="1"/>
                <w:bCs w:val="1"/>
                <w:color w:val="auto"/>
              </w:rPr>
              <w:t>Three Months Ended</w:t>
            </w:r>
          </w:p>
        </w:tc>
      </w:tr>
      <w:tr>
        <w:trPr>
          <w:trHeight w:val="233"/>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7"/>
                <w:szCs w:val="17"/>
                <w:b w:val="1"/>
                <w:bCs w:val="1"/>
                <w:color w:val="auto"/>
              </w:rPr>
              <w:t>March 31,</w:t>
            </w:r>
          </w:p>
        </w:tc>
        <w:tc>
          <w:tcPr>
            <w:tcW w:w="1080" w:type="dxa"/>
            <w:vAlign w:val="bottom"/>
            <w:tcBorders>
              <w:bottom w:val="single" w:sz="8" w:color="auto"/>
            </w:tcBorders>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8000" w:type="dxa"/>
            <w:vAlign w:val="bottom"/>
            <w:gridSpan w:val="2"/>
          </w:tcPr>
          <w:p>
            <w:pPr>
              <w:spacing w:after="0" w:line="174" w:lineRule="exact"/>
              <w:rPr>
                <w:sz w:val="20"/>
                <w:szCs w:val="20"/>
                <w:color w:val="auto"/>
              </w:rPr>
            </w:pPr>
            <w:r>
              <w:rPr>
                <w:rFonts w:ascii="Arial" w:cs="Arial" w:eastAsia="Arial" w:hAnsi="Arial"/>
                <w:sz w:val="17"/>
                <w:szCs w:val="17"/>
                <w:i w:val="1"/>
                <w:iCs w:val="1"/>
                <w:color w:val="auto"/>
              </w:rPr>
              <w:t>(Millions of dollars)</w:t>
            </w:r>
          </w:p>
        </w:tc>
        <w:tc>
          <w:tcPr>
            <w:tcW w:w="360" w:type="dxa"/>
            <w:vAlign w:val="bottom"/>
          </w:tcPr>
          <w:p>
            <w:pPr>
              <w:spacing w:after="0"/>
              <w:rPr>
                <w:sz w:val="15"/>
                <w:szCs w:val="15"/>
                <w:color w:val="auto"/>
              </w:rPr>
            </w:pPr>
          </w:p>
        </w:tc>
        <w:tc>
          <w:tcPr>
            <w:tcW w:w="1180" w:type="dxa"/>
            <w:vAlign w:val="bottom"/>
          </w:tcPr>
          <w:p>
            <w:pPr>
              <w:jc w:val="right"/>
              <w:ind w:right="494"/>
              <w:spacing w:after="0" w:line="174" w:lineRule="exact"/>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jc w:val="right"/>
              <w:ind w:right="494"/>
              <w:spacing w:after="0" w:line="174" w:lineRule="exact"/>
              <w:rPr>
                <w:sz w:val="20"/>
                <w:szCs w:val="20"/>
                <w:color w:val="auto"/>
              </w:rPr>
            </w:pPr>
            <w:r>
              <w:rPr>
                <w:rFonts w:ascii="Arial" w:cs="Arial" w:eastAsia="Arial" w:hAnsi="Arial"/>
                <w:sz w:val="17"/>
                <w:szCs w:val="17"/>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Revenues and other income</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8000" w:type="dxa"/>
            <w:vAlign w:val="bottom"/>
            <w:gridSpan w:val="2"/>
          </w:tcPr>
          <w:p>
            <w:pPr>
              <w:ind w:left="200"/>
              <w:spacing w:after="0"/>
              <w:rPr>
                <w:sz w:val="20"/>
                <w:szCs w:val="20"/>
                <w:color w:val="auto"/>
              </w:rPr>
            </w:pPr>
            <w:r>
              <w:rPr>
                <w:rFonts w:ascii="Arial" w:cs="Arial" w:eastAsia="Arial" w:hAnsi="Arial"/>
                <w:sz w:val="17"/>
                <w:szCs w:val="17"/>
                <w:color w:val="auto"/>
              </w:rPr>
              <w:t>Revenue from production</w:t>
            </w:r>
          </w:p>
        </w:tc>
        <w:tc>
          <w:tcPr>
            <w:tcW w:w="36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672.7</w:t>
            </w:r>
          </w:p>
        </w:tc>
        <w:tc>
          <w:tcPr>
            <w:tcW w:w="100" w:type="dxa"/>
            <w:vAlign w:val="bottom"/>
          </w:tcPr>
          <w:p>
            <w:pPr>
              <w:spacing w:after="0"/>
              <w:rPr>
                <w:sz w:val="19"/>
                <w:szCs w:val="19"/>
                <w:color w:val="auto"/>
              </w:rPr>
            </w:pP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794.6</w:t>
            </w:r>
          </w:p>
        </w:tc>
      </w:tr>
      <w:tr>
        <w:trPr>
          <w:trHeight w:val="22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Sales of purchased natural gas</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20"/>
        </w:trPr>
        <w:tc>
          <w:tcPr>
            <w:tcW w:w="20" w:type="dxa"/>
            <w:vAlign w:val="bottom"/>
            <w:tcBorders>
              <w:bottom w:val="single" w:sz="8" w:color="CCEEFF"/>
            </w:tcBorders>
          </w:tcPr>
          <w:p>
            <w:pPr>
              <w:spacing w:after="0"/>
              <w:rPr>
                <w:sz w:val="19"/>
                <w:szCs w:val="19"/>
                <w:color w:val="auto"/>
              </w:rPr>
            </w:pPr>
          </w:p>
        </w:tc>
        <w:tc>
          <w:tcPr>
            <w:tcW w:w="800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Other income</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r>
      <w:tr>
        <w:trPr>
          <w:trHeight w:val="213"/>
        </w:trPr>
        <w:tc>
          <w:tcPr>
            <w:tcW w:w="20" w:type="dxa"/>
            <w:vAlign w:val="bottom"/>
            <w:shd w:val="clear" w:color="auto" w:fill="CCEEFF"/>
          </w:tcPr>
          <w:p>
            <w:pPr>
              <w:spacing w:after="0"/>
              <w:rPr>
                <w:sz w:val="18"/>
                <w:szCs w:val="18"/>
                <w:color w:val="auto"/>
              </w:rPr>
            </w:pPr>
          </w:p>
        </w:tc>
        <w:tc>
          <w:tcPr>
            <w:tcW w:w="80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Total revenues and other income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675.2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796.4</w:t>
            </w:r>
          </w:p>
        </w:tc>
      </w:tr>
      <w:tr>
        <w:trPr>
          <w:trHeight w:val="220"/>
        </w:trPr>
        <w:tc>
          <w:tcPr>
            <w:tcW w:w="20" w:type="dxa"/>
            <w:vAlign w:val="bottom"/>
          </w:tcPr>
          <w:p>
            <w:pPr>
              <w:spacing w:after="0"/>
              <w:rPr>
                <w:sz w:val="19"/>
                <w:szCs w:val="19"/>
                <w:color w:val="auto"/>
              </w:rPr>
            </w:pPr>
          </w:p>
        </w:tc>
        <w:tc>
          <w:tcPr>
            <w:tcW w:w="8000" w:type="dxa"/>
            <w:vAlign w:val="bottom"/>
            <w:gridSpan w:val="2"/>
          </w:tcPr>
          <w:p>
            <w:pPr>
              <w:spacing w:after="0"/>
              <w:rPr>
                <w:sz w:val="20"/>
                <w:szCs w:val="20"/>
                <w:color w:val="auto"/>
              </w:rPr>
            </w:pPr>
            <w:r>
              <w:rPr>
                <w:rFonts w:ascii="Arial" w:cs="Arial" w:eastAsia="Arial" w:hAnsi="Arial"/>
                <w:sz w:val="17"/>
                <w:szCs w:val="17"/>
                <w:color w:val="auto"/>
              </w:rPr>
              <w:t>Cost and Expenses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Lease operating expenses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205.1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234.3</w:t>
            </w:r>
          </w:p>
        </w:tc>
      </w:tr>
      <w:tr>
        <w:trPr>
          <w:trHeight w:val="220"/>
        </w:trPr>
        <w:tc>
          <w:tcPr>
            <w:tcW w:w="20" w:type="dxa"/>
            <w:vAlign w:val="bottom"/>
          </w:tcPr>
          <w:p>
            <w:pPr>
              <w:spacing w:after="0"/>
              <w:rPr>
                <w:sz w:val="19"/>
                <w:szCs w:val="19"/>
                <w:color w:val="auto"/>
              </w:rPr>
            </w:pPr>
          </w:p>
        </w:tc>
        <w:tc>
          <w:tcPr>
            <w:tcW w:w="8000" w:type="dxa"/>
            <w:vAlign w:val="bottom"/>
            <w:gridSpan w:val="2"/>
          </w:tcPr>
          <w:p>
            <w:pPr>
              <w:ind w:left="200"/>
              <w:spacing w:after="0"/>
              <w:rPr>
                <w:sz w:val="20"/>
                <w:szCs w:val="20"/>
                <w:color w:val="auto"/>
              </w:rPr>
            </w:pPr>
            <w:r>
              <w:rPr>
                <w:rFonts w:ascii="Arial" w:cs="Arial" w:eastAsia="Arial" w:hAnsi="Arial"/>
                <w:sz w:val="17"/>
                <w:szCs w:val="17"/>
                <w:color w:val="auto"/>
              </w:rPr>
              <w:t>Severance and ad valorem taxes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8.7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10.1</w:t>
            </w:r>
          </w:p>
        </w:tc>
      </w:tr>
      <w:tr>
        <w:trPr>
          <w:trHeight w:val="22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Transportation, gathering and processing</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48.9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w:t>
            </w:r>
          </w:p>
        </w:tc>
      </w:tr>
      <w:tr>
        <w:trPr>
          <w:trHeight w:val="220"/>
        </w:trPr>
        <w:tc>
          <w:tcPr>
            <w:tcW w:w="20" w:type="dxa"/>
            <w:vAlign w:val="bottom"/>
          </w:tcPr>
          <w:p>
            <w:pPr>
              <w:spacing w:after="0"/>
              <w:rPr>
                <w:sz w:val="19"/>
                <w:szCs w:val="19"/>
                <w:color w:val="auto"/>
              </w:rPr>
            </w:pPr>
          </w:p>
        </w:tc>
        <w:tc>
          <w:tcPr>
            <w:tcW w:w="8000" w:type="dxa"/>
            <w:vAlign w:val="bottom"/>
            <w:gridSpan w:val="2"/>
          </w:tcPr>
          <w:p>
            <w:pPr>
              <w:ind w:left="200"/>
              <w:spacing w:after="0"/>
              <w:rPr>
                <w:sz w:val="20"/>
                <w:szCs w:val="20"/>
                <w:color w:val="auto"/>
              </w:rPr>
            </w:pPr>
            <w:r>
              <w:rPr>
                <w:rFonts w:ascii="Arial" w:cs="Arial" w:eastAsia="Arial" w:hAnsi="Arial"/>
                <w:sz w:val="17"/>
                <w:szCs w:val="17"/>
                <w:color w:val="auto"/>
              </w:rPr>
              <w:t>Costs of purchased natural gas</w:t>
            </w:r>
          </w:p>
        </w:tc>
        <w:tc>
          <w:tcPr>
            <w:tcW w:w="3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0.2</w:t>
            </w:r>
          </w:p>
        </w:tc>
      </w:tr>
      <w:tr>
        <w:trPr>
          <w:trHeight w:val="22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Depreciation, depletion and amortization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191.8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208.3</w:t>
            </w:r>
          </w:p>
        </w:tc>
      </w:tr>
      <w:tr>
        <w:trPr>
          <w:trHeight w:val="220"/>
        </w:trPr>
        <w:tc>
          <w:tcPr>
            <w:tcW w:w="20" w:type="dxa"/>
            <w:vAlign w:val="bottom"/>
          </w:tcPr>
          <w:p>
            <w:pPr>
              <w:spacing w:after="0"/>
              <w:rPr>
                <w:sz w:val="19"/>
                <w:szCs w:val="19"/>
                <w:color w:val="auto"/>
              </w:rPr>
            </w:pPr>
          </w:p>
        </w:tc>
        <w:tc>
          <w:tcPr>
            <w:tcW w:w="8000" w:type="dxa"/>
            <w:vAlign w:val="bottom"/>
            <w:gridSpan w:val="2"/>
          </w:tcPr>
          <w:p>
            <w:pPr>
              <w:ind w:left="200"/>
              <w:spacing w:after="0"/>
              <w:rPr>
                <w:sz w:val="20"/>
                <w:szCs w:val="20"/>
                <w:color w:val="auto"/>
              </w:rPr>
            </w:pPr>
            <w:r>
              <w:rPr>
                <w:rFonts w:ascii="Arial" w:cs="Arial" w:eastAsia="Arial" w:hAnsi="Arial"/>
                <w:sz w:val="17"/>
                <w:szCs w:val="17"/>
                <w:color w:val="auto"/>
              </w:rPr>
              <w:t>Impairments of assets</w:t>
            </w:r>
          </w:p>
        </w:tc>
        <w:tc>
          <w:tcPr>
            <w:tcW w:w="3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34.5</w:t>
            </w:r>
          </w:p>
        </w:tc>
      </w:tr>
      <w:tr>
        <w:trPr>
          <w:trHeight w:val="22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Accretion of asset retirement obligations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r>
      <w:tr>
        <w:trPr>
          <w:trHeight w:val="220"/>
        </w:trPr>
        <w:tc>
          <w:tcPr>
            <w:tcW w:w="20" w:type="dxa"/>
            <w:vAlign w:val="bottom"/>
          </w:tcPr>
          <w:p>
            <w:pPr>
              <w:spacing w:after="0"/>
              <w:rPr>
                <w:sz w:val="19"/>
                <w:szCs w:val="19"/>
                <w:color w:val="auto"/>
              </w:rPr>
            </w:pPr>
          </w:p>
        </w:tc>
        <w:tc>
          <w:tcPr>
            <w:tcW w:w="8000" w:type="dxa"/>
            <w:vAlign w:val="bottom"/>
            <w:gridSpan w:val="2"/>
          </w:tcPr>
          <w:p>
            <w:pPr>
              <w:ind w:left="200"/>
              <w:spacing w:after="0"/>
              <w:rPr>
                <w:sz w:val="20"/>
                <w:szCs w:val="20"/>
                <w:color w:val="auto"/>
              </w:rPr>
            </w:pPr>
            <w:r>
              <w:rPr>
                <w:rFonts w:ascii="Arial" w:cs="Arial" w:eastAsia="Arial" w:hAnsi="Arial"/>
                <w:sz w:val="17"/>
                <w:szCs w:val="17"/>
                <w:color w:val="auto"/>
              </w:rPr>
              <w:t>Total exploration expenses, including undeveloped lease amortization</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14.5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44.4</w:t>
            </w:r>
          </w:p>
        </w:tc>
      </w:tr>
      <w:tr>
        <w:trPr>
          <w:trHeight w:val="22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Selling and general expenses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r>
      <w:tr>
        <w:trPr>
          <w:trHeight w:val="220"/>
        </w:trPr>
        <w:tc>
          <w:tcPr>
            <w:tcW w:w="20" w:type="dxa"/>
            <w:vAlign w:val="bottom"/>
            <w:tcBorders>
              <w:bottom w:val="single" w:sz="8" w:color="CCEEFF"/>
            </w:tcBorders>
          </w:tcPr>
          <w:p>
            <w:pPr>
              <w:spacing w:after="0"/>
              <w:rPr>
                <w:sz w:val="19"/>
                <w:szCs w:val="19"/>
                <w:color w:val="auto"/>
              </w:rPr>
            </w:pPr>
          </w:p>
        </w:tc>
        <w:tc>
          <w:tcPr>
            <w:tcW w:w="800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Other</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w:t>
            </w:r>
          </w:p>
        </w:tc>
      </w:tr>
      <w:tr>
        <w:trPr>
          <w:trHeight w:val="213"/>
        </w:trPr>
        <w:tc>
          <w:tcPr>
            <w:tcW w:w="20" w:type="dxa"/>
            <w:vAlign w:val="bottom"/>
            <w:shd w:val="clear" w:color="auto" w:fill="CCEEFF"/>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Results of operations before taxes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177.5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180.5</w:t>
            </w:r>
          </w:p>
        </w:tc>
      </w:tr>
      <w:tr>
        <w:trPr>
          <w:trHeight w:val="220"/>
        </w:trPr>
        <w:tc>
          <w:tcPr>
            <w:tcW w:w="20" w:type="dxa"/>
            <w:vAlign w:val="bottom"/>
            <w:tcBorders>
              <w:bottom w:val="single" w:sz="8" w:color="CCEEFF"/>
            </w:tcBorders>
          </w:tcPr>
          <w:p>
            <w:pPr>
              <w:spacing w:after="0"/>
              <w:rPr>
                <w:sz w:val="19"/>
                <w:szCs w:val="19"/>
                <w:color w:val="auto"/>
              </w:rPr>
            </w:pPr>
          </w:p>
        </w:tc>
        <w:tc>
          <w:tcPr>
            <w:tcW w:w="80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Income tax provisions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39.3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37.4</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8000" w:type="dxa"/>
            <w:vAlign w:val="bottom"/>
            <w:tcBorders>
              <w:bottom w:val="single" w:sz="8" w:color="CCEEFF"/>
            </w:tcBorders>
            <w:gridSpan w:val="2"/>
            <w:shd w:val="clear" w:color="auto" w:fill="CCEEFF"/>
          </w:tcPr>
          <w:p>
            <w:pPr>
              <w:ind w:left="260"/>
              <w:spacing w:after="0" w:line="212" w:lineRule="exact"/>
              <w:rPr>
                <w:sz w:val="20"/>
                <w:szCs w:val="20"/>
                <w:color w:val="auto"/>
              </w:rPr>
            </w:pPr>
            <w:r>
              <w:rPr>
                <w:rFonts w:ascii="Arial" w:cs="Arial" w:eastAsia="Arial" w:hAnsi="Arial"/>
                <w:sz w:val="17"/>
                <w:szCs w:val="17"/>
                <w:color w:val="auto"/>
              </w:rPr>
              <w:t xml:space="preserve">Results of operations (excluding Corporate segment) </w:t>
            </w:r>
            <w:r>
              <w:rPr>
                <w:rFonts w:ascii="Arial" w:cs="Arial" w:eastAsia="Arial" w:hAnsi="Arial"/>
                <w:sz w:val="22"/>
                <w:szCs w:val="22"/>
                <w:color w:val="auto"/>
                <w:vertAlign w:val="superscript"/>
              </w:rPr>
              <w:t>1</w:t>
            </w: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138.2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6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100" w:hanging="97"/>
        <w:spacing w:after="0"/>
        <w:tabs>
          <w:tab w:leader="none" w:pos="100" w:val="left"/>
        </w:tabs>
        <w:numPr>
          <w:ilvl w:val="0"/>
          <w:numId w:val="15"/>
        </w:numPr>
        <w:rPr>
          <w:rFonts w:ascii="Arial" w:cs="Arial" w:eastAsia="Arial" w:hAnsi="Arial"/>
          <w:sz w:val="20"/>
          <w:szCs w:val="20"/>
          <w:color w:val="auto"/>
          <w:vertAlign w:val="superscript"/>
        </w:rPr>
      </w:pPr>
      <w:r>
        <w:rPr>
          <w:rFonts w:ascii="Arial" w:cs="Arial" w:eastAsia="Arial" w:hAnsi="Arial"/>
          <w:sz w:val="16"/>
          <w:szCs w:val="16"/>
          <w:color w:val="auto"/>
        </w:rPr>
        <w:t>Includes results attributable to a noncontrolling interest in MP GOM.</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226" w:right="37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(Continued)</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Pricing</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contains the weighted average sales prices for the three-month periods ended March 31, 2025 and 2024:</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4"/>
          </w:tcPr>
          <w:p>
            <w:pPr>
              <w:jc w:val="center"/>
              <w:ind w:right="274"/>
              <w:spacing w:after="0"/>
              <w:rPr>
                <w:sz w:val="20"/>
                <w:szCs w:val="20"/>
                <w:color w:val="auto"/>
              </w:rPr>
            </w:pPr>
            <w:r>
              <w:rPr>
                <w:rFonts w:ascii="Arial" w:cs="Arial" w:eastAsia="Arial" w:hAnsi="Arial"/>
                <w:sz w:val="17"/>
                <w:szCs w:val="17"/>
                <w:b w:val="1"/>
                <w:bCs w:val="1"/>
                <w:color w:val="auto"/>
              </w:rPr>
              <w:t>Three Months Ended</w:t>
            </w:r>
          </w:p>
        </w:tc>
      </w:tr>
      <w:tr>
        <w:trPr>
          <w:trHeight w:val="233"/>
        </w:trPr>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left="634"/>
              <w:spacing w:after="0"/>
              <w:rPr>
                <w:sz w:val="20"/>
                <w:szCs w:val="20"/>
                <w:color w:val="auto"/>
              </w:rPr>
            </w:pPr>
            <w:r>
              <w:rPr>
                <w:rFonts w:ascii="Arial" w:cs="Arial" w:eastAsia="Arial" w:hAnsi="Arial"/>
                <w:sz w:val="17"/>
                <w:szCs w:val="17"/>
                <w:b w:val="1"/>
                <w:bCs w:val="1"/>
                <w:color w:val="auto"/>
                <w:w w:val="99"/>
              </w:rPr>
              <w:t>March 31,</w:t>
            </w:r>
          </w:p>
        </w:tc>
        <w:tc>
          <w:tcPr>
            <w:tcW w:w="1080" w:type="dxa"/>
            <w:vAlign w:val="bottom"/>
            <w:tcBorders>
              <w:bottom w:val="single" w:sz="8" w:color="auto"/>
            </w:tcBorders>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8000" w:type="dxa"/>
            <w:vAlign w:val="bottom"/>
            <w:gridSpan w:val="2"/>
          </w:tcPr>
          <w:p>
            <w:pPr>
              <w:spacing w:after="0" w:line="174" w:lineRule="exact"/>
              <w:rPr>
                <w:sz w:val="20"/>
                <w:szCs w:val="20"/>
                <w:color w:val="auto"/>
              </w:rPr>
            </w:pPr>
            <w:r>
              <w:rPr>
                <w:rFonts w:ascii="Arial" w:cs="Arial" w:eastAsia="Arial" w:hAnsi="Arial"/>
                <w:sz w:val="17"/>
                <w:szCs w:val="17"/>
                <w:i w:val="1"/>
                <w:iCs w:val="1"/>
                <w:color w:val="auto"/>
              </w:rPr>
              <w:t>(Weighted average sales prices)</w:t>
            </w:r>
          </w:p>
        </w:tc>
        <w:tc>
          <w:tcPr>
            <w:tcW w:w="360" w:type="dxa"/>
            <w:vAlign w:val="bottom"/>
          </w:tcPr>
          <w:p>
            <w:pPr>
              <w:spacing w:after="0"/>
              <w:rPr>
                <w:sz w:val="15"/>
                <w:szCs w:val="15"/>
                <w:color w:val="auto"/>
              </w:rPr>
            </w:pPr>
          </w:p>
        </w:tc>
        <w:tc>
          <w:tcPr>
            <w:tcW w:w="1180" w:type="dxa"/>
            <w:vAlign w:val="bottom"/>
          </w:tcPr>
          <w:p>
            <w:pPr>
              <w:jc w:val="right"/>
              <w:ind w:right="494"/>
              <w:spacing w:after="0" w:line="174" w:lineRule="exact"/>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jc w:val="right"/>
              <w:ind w:right="494"/>
              <w:spacing w:after="0" w:line="174" w:lineRule="exact"/>
              <w:rPr>
                <w:sz w:val="20"/>
                <w:szCs w:val="20"/>
                <w:color w:val="auto"/>
              </w:rPr>
            </w:pPr>
            <w:r>
              <w:rPr>
                <w:rFonts w:ascii="Arial" w:cs="Arial" w:eastAsia="Arial" w:hAnsi="Arial"/>
                <w:sz w:val="17"/>
                <w:szCs w:val="17"/>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top w:val="single" w:sz="8" w:color="auto"/>
              <w:bottom w:val="single" w:sz="8" w:color="CCEEFF"/>
            </w:tcBorders>
          </w:tcPr>
          <w:p>
            <w:pPr>
              <w:spacing w:after="0" w:line="20" w:lineRule="exact"/>
              <w:rPr>
                <w:sz w:val="1"/>
                <w:szCs w:val="1"/>
                <w:color w:val="auto"/>
              </w:rPr>
            </w:pPr>
          </w:p>
        </w:tc>
        <w:tc>
          <w:tcPr>
            <w:tcW w:w="55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8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Crude oil and condensate – dollars per barrel</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8000" w:type="dxa"/>
            <w:vAlign w:val="bottom"/>
            <w:gridSpan w:val="2"/>
          </w:tcPr>
          <w:p>
            <w:pPr>
              <w:ind w:left="420"/>
              <w:spacing w:after="0"/>
              <w:rPr>
                <w:sz w:val="20"/>
                <w:szCs w:val="20"/>
                <w:color w:val="auto"/>
              </w:rPr>
            </w:pPr>
            <w:r>
              <w:rPr>
                <w:rFonts w:ascii="Arial" w:cs="Arial" w:eastAsia="Arial" w:hAnsi="Arial"/>
                <w:sz w:val="17"/>
                <w:szCs w:val="17"/>
                <w:color w:val="auto"/>
              </w:rPr>
              <w:t>United States - Onshore</w:t>
            </w:r>
          </w:p>
        </w:tc>
        <w:tc>
          <w:tcPr>
            <w:tcW w:w="36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71.65</w:t>
            </w:r>
          </w:p>
        </w:tc>
        <w:tc>
          <w:tcPr>
            <w:tcW w:w="100" w:type="dxa"/>
            <w:vAlign w:val="bottom"/>
          </w:tcPr>
          <w:p>
            <w:pPr>
              <w:spacing w:after="0"/>
              <w:rPr>
                <w:sz w:val="19"/>
                <w:szCs w:val="19"/>
                <w:color w:val="auto"/>
              </w:rPr>
            </w:pP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76.85</w:t>
            </w:r>
          </w:p>
        </w:tc>
      </w:tr>
      <w:tr>
        <w:trPr>
          <w:trHeight w:val="22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72.32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77.58</w:t>
            </w:r>
          </w:p>
        </w:tc>
      </w:tr>
      <w:tr>
        <w:trPr>
          <w:trHeight w:val="220"/>
        </w:trPr>
        <w:tc>
          <w:tcPr>
            <w:tcW w:w="20" w:type="dxa"/>
            <w:vAlign w:val="bottom"/>
          </w:tcPr>
          <w:p>
            <w:pPr>
              <w:spacing w:after="0"/>
              <w:rPr>
                <w:sz w:val="19"/>
                <w:szCs w:val="19"/>
                <w:color w:val="auto"/>
              </w:rPr>
            </w:pPr>
          </w:p>
        </w:tc>
        <w:tc>
          <w:tcPr>
            <w:tcW w:w="8000" w:type="dxa"/>
            <w:vAlign w:val="bottom"/>
            <w:gridSpan w:val="2"/>
          </w:tcPr>
          <w:p>
            <w:pPr>
              <w:ind w:left="420"/>
              <w:spacing w:after="0" w:line="220" w:lineRule="exact"/>
              <w:rPr>
                <w:sz w:val="20"/>
                <w:szCs w:val="20"/>
                <w:color w:val="auto"/>
              </w:rPr>
            </w:pPr>
            <w:r>
              <w:rPr>
                <w:rFonts w:ascii="Arial" w:cs="Arial" w:eastAsia="Arial" w:hAnsi="Arial"/>
                <w:sz w:val="17"/>
                <w:szCs w:val="17"/>
                <w:color w:val="auto"/>
              </w:rPr>
              <w:t xml:space="preserve">Canada - Onshore </w:t>
            </w:r>
            <w:r>
              <w:rPr>
                <w:rFonts w:ascii="Arial" w:cs="Arial" w:eastAsia="Arial" w:hAnsi="Arial"/>
                <w:sz w:val="22"/>
                <w:szCs w:val="22"/>
                <w:color w:val="auto"/>
                <w:vertAlign w:val="superscript"/>
              </w:rPr>
              <w:t>2</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63.34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67.59</w:t>
            </w:r>
          </w:p>
        </w:tc>
      </w:tr>
      <w:tr>
        <w:trPr>
          <w:trHeight w:val="22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420"/>
              <w:spacing w:after="0" w:line="220" w:lineRule="exact"/>
              <w:rPr>
                <w:sz w:val="20"/>
                <w:szCs w:val="20"/>
                <w:color w:val="auto"/>
              </w:rPr>
            </w:pPr>
            <w:r>
              <w:rPr>
                <w:rFonts w:ascii="Arial" w:cs="Arial" w:eastAsia="Arial" w:hAnsi="Arial"/>
                <w:sz w:val="17"/>
                <w:szCs w:val="17"/>
                <w:color w:val="auto"/>
              </w:rPr>
              <w:t xml:space="preserve">Canada - Offshore </w:t>
            </w:r>
            <w:r>
              <w:rPr>
                <w:rFonts w:ascii="Arial" w:cs="Arial" w:eastAsia="Arial" w:hAnsi="Arial"/>
                <w:sz w:val="22"/>
                <w:szCs w:val="22"/>
                <w:color w:val="auto"/>
                <w:vertAlign w:val="superscript"/>
              </w:rPr>
              <w:t>2</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74.36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85.99</w:t>
            </w:r>
          </w:p>
        </w:tc>
      </w:tr>
      <w:tr>
        <w:trPr>
          <w:trHeight w:val="220"/>
        </w:trPr>
        <w:tc>
          <w:tcPr>
            <w:tcW w:w="20" w:type="dxa"/>
            <w:vAlign w:val="bottom"/>
          </w:tcPr>
          <w:p>
            <w:pPr>
              <w:spacing w:after="0"/>
              <w:rPr>
                <w:sz w:val="19"/>
                <w:szCs w:val="19"/>
                <w:color w:val="auto"/>
              </w:rPr>
            </w:pPr>
          </w:p>
        </w:tc>
        <w:tc>
          <w:tcPr>
            <w:tcW w:w="8000" w:type="dxa"/>
            <w:vAlign w:val="bottom"/>
            <w:gridSpan w:val="2"/>
          </w:tcPr>
          <w:p>
            <w:pPr>
              <w:ind w:left="120"/>
              <w:spacing w:after="0"/>
              <w:rPr>
                <w:sz w:val="20"/>
                <w:szCs w:val="20"/>
                <w:color w:val="auto"/>
              </w:rPr>
            </w:pPr>
            <w:r>
              <w:rPr>
                <w:rFonts w:ascii="Arial" w:cs="Arial" w:eastAsia="Arial" w:hAnsi="Arial"/>
                <w:sz w:val="17"/>
                <w:szCs w:val="17"/>
                <w:color w:val="auto"/>
              </w:rPr>
              <w:t>Natural gas liquids – dollars per barrel</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United States - Onshore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20.67</w:t>
            </w:r>
          </w:p>
        </w:tc>
      </w:tr>
      <w:tr>
        <w:trPr>
          <w:trHeight w:val="220"/>
        </w:trPr>
        <w:tc>
          <w:tcPr>
            <w:tcW w:w="20" w:type="dxa"/>
            <w:vAlign w:val="bottom"/>
          </w:tcPr>
          <w:p>
            <w:pPr>
              <w:spacing w:after="0"/>
              <w:rPr>
                <w:sz w:val="19"/>
                <w:szCs w:val="19"/>
                <w:color w:val="auto"/>
              </w:rPr>
            </w:pPr>
          </w:p>
        </w:tc>
        <w:tc>
          <w:tcPr>
            <w:tcW w:w="8000" w:type="dxa"/>
            <w:vAlign w:val="bottom"/>
            <w:gridSpan w:val="2"/>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27.02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24.32</w:t>
            </w:r>
          </w:p>
        </w:tc>
      </w:tr>
      <w:tr>
        <w:trPr>
          <w:trHeight w:val="22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420"/>
              <w:spacing w:after="0" w:line="220" w:lineRule="exact"/>
              <w:rPr>
                <w:sz w:val="20"/>
                <w:szCs w:val="20"/>
                <w:color w:val="auto"/>
              </w:rPr>
            </w:pPr>
            <w:r>
              <w:rPr>
                <w:rFonts w:ascii="Arial" w:cs="Arial" w:eastAsia="Arial" w:hAnsi="Arial"/>
                <w:sz w:val="17"/>
                <w:szCs w:val="17"/>
                <w:color w:val="auto"/>
              </w:rPr>
              <w:t xml:space="preserve">Canada - Onshore </w:t>
            </w:r>
            <w:r>
              <w:rPr>
                <w:rFonts w:ascii="Arial" w:cs="Arial" w:eastAsia="Arial" w:hAnsi="Arial"/>
                <w:sz w:val="22"/>
                <w:szCs w:val="22"/>
                <w:color w:val="auto"/>
                <w:vertAlign w:val="superscript"/>
              </w:rPr>
              <w:t>2</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36.08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34.84</w:t>
            </w:r>
          </w:p>
        </w:tc>
      </w:tr>
      <w:tr>
        <w:trPr>
          <w:trHeight w:val="220"/>
        </w:trPr>
        <w:tc>
          <w:tcPr>
            <w:tcW w:w="20" w:type="dxa"/>
            <w:vAlign w:val="bottom"/>
          </w:tcPr>
          <w:p>
            <w:pPr>
              <w:spacing w:after="0"/>
              <w:rPr>
                <w:sz w:val="19"/>
                <w:szCs w:val="19"/>
                <w:color w:val="auto"/>
              </w:rPr>
            </w:pPr>
          </w:p>
        </w:tc>
        <w:tc>
          <w:tcPr>
            <w:tcW w:w="8000" w:type="dxa"/>
            <w:vAlign w:val="bottom"/>
            <w:gridSpan w:val="2"/>
          </w:tcPr>
          <w:p>
            <w:pPr>
              <w:ind w:left="120"/>
              <w:spacing w:after="0"/>
              <w:rPr>
                <w:sz w:val="20"/>
                <w:szCs w:val="20"/>
                <w:color w:val="auto"/>
              </w:rPr>
            </w:pPr>
            <w:r>
              <w:rPr>
                <w:rFonts w:ascii="Arial" w:cs="Arial" w:eastAsia="Arial" w:hAnsi="Arial"/>
                <w:sz w:val="17"/>
                <w:szCs w:val="17"/>
                <w:color w:val="auto"/>
              </w:rPr>
              <w:t>Natural gas – dollars per thousand cubic feet</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United States - Onshore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r>
      <w:tr>
        <w:trPr>
          <w:trHeight w:val="220"/>
        </w:trPr>
        <w:tc>
          <w:tcPr>
            <w:tcW w:w="20" w:type="dxa"/>
            <w:vAlign w:val="bottom"/>
          </w:tcPr>
          <w:p>
            <w:pPr>
              <w:spacing w:after="0"/>
              <w:rPr>
                <w:sz w:val="19"/>
                <w:szCs w:val="19"/>
                <w:color w:val="auto"/>
              </w:rPr>
            </w:pPr>
          </w:p>
        </w:tc>
        <w:tc>
          <w:tcPr>
            <w:tcW w:w="8000" w:type="dxa"/>
            <w:vAlign w:val="bottom"/>
            <w:gridSpan w:val="2"/>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4.33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2.66</w:t>
            </w:r>
          </w:p>
        </w:tc>
      </w:tr>
      <w:tr>
        <w:trPr>
          <w:trHeight w:val="22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420"/>
              <w:spacing w:after="0" w:line="220" w:lineRule="exact"/>
              <w:rPr>
                <w:sz w:val="20"/>
                <w:szCs w:val="20"/>
                <w:color w:val="auto"/>
              </w:rPr>
            </w:pPr>
            <w:r>
              <w:rPr>
                <w:rFonts w:ascii="Arial" w:cs="Arial" w:eastAsia="Arial" w:hAnsi="Arial"/>
                <w:sz w:val="17"/>
                <w:szCs w:val="17"/>
                <w:color w:val="auto"/>
              </w:rPr>
              <w:t xml:space="preserve">Canada - Onshore </w:t>
            </w:r>
            <w:r>
              <w:rPr>
                <w:rFonts w:ascii="Arial" w:cs="Arial" w:eastAsia="Arial" w:hAnsi="Arial"/>
                <w:sz w:val="22"/>
                <w:szCs w:val="22"/>
                <w:color w:val="auto"/>
                <w:vertAlign w:val="superscript"/>
              </w:rPr>
              <w:t>2</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r>
    </w:tbl>
    <w:p>
      <w:pPr>
        <w:spacing w:after="0" w:line="182" w:lineRule="exact"/>
        <w:rPr>
          <w:sz w:val="20"/>
          <w:szCs w:val="20"/>
          <w:color w:val="auto"/>
        </w:rPr>
      </w:pPr>
    </w:p>
    <w:p>
      <w:pPr>
        <w:ind w:right="6820" w:firstLine="10"/>
        <w:spacing w:after="0" w:line="260" w:lineRule="auto"/>
        <w:tabs>
          <w:tab w:leader="none" w:pos="142" w:val="left"/>
        </w:tabs>
        <w:numPr>
          <w:ilvl w:val="0"/>
          <w:numId w:val="16"/>
        </w:numPr>
        <w:rPr>
          <w:rFonts w:ascii="Arial" w:cs="Arial" w:eastAsia="Arial" w:hAnsi="Arial"/>
          <w:sz w:val="20"/>
          <w:szCs w:val="20"/>
          <w:color w:val="auto"/>
          <w:vertAlign w:val="superscript"/>
        </w:rPr>
      </w:pPr>
      <w:r>
        <w:rPr>
          <w:rFonts w:ascii="Arial" w:cs="Arial" w:eastAsia="Arial" w:hAnsi="Arial"/>
          <w:sz w:val="16"/>
          <w:szCs w:val="16"/>
          <w:color w:val="auto"/>
        </w:rPr>
        <w:t xml:space="preserve">Prices include the effect of noncontrolling interest in MP GOM. </w:t>
      </w:r>
      <w:r>
        <w:rPr>
          <w:rFonts w:ascii="Arial" w:cs="Arial" w:eastAsia="Arial" w:hAnsi="Arial"/>
          <w:sz w:val="20"/>
          <w:szCs w:val="20"/>
          <w:color w:val="auto"/>
          <w:vertAlign w:val="superscript"/>
        </w:rPr>
        <w:t>2</w:t>
      </w:r>
      <w:r>
        <w:rPr>
          <w:rFonts w:ascii="Arial" w:cs="Arial" w:eastAsia="Arial" w:hAnsi="Arial"/>
          <w:sz w:val="16"/>
          <w:szCs w:val="16"/>
          <w:color w:val="auto"/>
        </w:rPr>
        <w:t xml:space="preserve"> U.S. dollar equivalent.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contains benchmark prices relevant to the Company for the three-month periods ended March 31, 2025 and 2024:</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0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5"/>
          </w:tcPr>
          <w:p>
            <w:pPr>
              <w:jc w:val="center"/>
              <w:ind w:right="400"/>
              <w:spacing w:after="0"/>
              <w:rPr>
                <w:sz w:val="20"/>
                <w:szCs w:val="20"/>
                <w:color w:val="auto"/>
              </w:rPr>
            </w:pPr>
            <w:r>
              <w:rPr>
                <w:rFonts w:ascii="Arial" w:cs="Arial" w:eastAsia="Arial" w:hAnsi="Arial"/>
                <w:sz w:val="17"/>
                <w:szCs w:val="17"/>
                <w:b w:val="1"/>
                <w:bCs w:val="1"/>
                <w:color w:val="auto"/>
              </w:rPr>
              <w:t>Three Months Ended</w:t>
            </w:r>
          </w:p>
        </w:tc>
      </w:tr>
      <w:tr>
        <w:trPr>
          <w:trHeight w:val="233"/>
        </w:trPr>
        <w:tc>
          <w:tcPr>
            <w:tcW w:w="39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left="634"/>
              <w:spacing w:after="0"/>
              <w:rPr>
                <w:sz w:val="20"/>
                <w:szCs w:val="20"/>
                <w:color w:val="auto"/>
              </w:rPr>
            </w:pPr>
            <w:r>
              <w:rPr>
                <w:rFonts w:ascii="Arial" w:cs="Arial" w:eastAsia="Arial" w:hAnsi="Arial"/>
                <w:sz w:val="17"/>
                <w:szCs w:val="17"/>
                <w:b w:val="1"/>
                <w:bCs w:val="1"/>
                <w:color w:val="auto"/>
                <w:w w:val="99"/>
              </w:rPr>
              <w:t>March 31,</w:t>
            </w:r>
          </w:p>
        </w:tc>
        <w:tc>
          <w:tcPr>
            <w:tcW w:w="10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13"/>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7"/>
                <w:szCs w:val="17"/>
                <w:i w:val="1"/>
                <w:iCs w:val="1"/>
                <w:color w:val="auto"/>
              </w:rPr>
              <w:t>(Average price for the period)</w:t>
            </w:r>
          </w:p>
        </w:tc>
        <w:tc>
          <w:tcPr>
            <w:tcW w:w="4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2024</w:t>
            </w:r>
          </w:p>
        </w:tc>
        <w:tc>
          <w:tcPr>
            <w:tcW w:w="40" w:type="dxa"/>
            <w:vAlign w:val="bottom"/>
          </w:tcPr>
          <w:p>
            <w:pPr>
              <w:spacing w:after="0"/>
              <w:rPr>
                <w:sz w:val="18"/>
                <w:szCs w:val="18"/>
                <w:color w:val="auto"/>
              </w:rPr>
            </w:pPr>
          </w:p>
        </w:tc>
      </w:tr>
      <w:tr>
        <w:trPr>
          <w:trHeight w:val="200"/>
        </w:trPr>
        <w:tc>
          <w:tcPr>
            <w:tcW w:w="3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Oil and NGLs</w:t>
            </w:r>
          </w:p>
        </w:tc>
        <w:tc>
          <w:tcPr>
            <w:tcW w:w="4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20"/>
        </w:trPr>
        <w:tc>
          <w:tcPr>
            <w:tcW w:w="3900" w:type="dxa"/>
            <w:vAlign w:val="bottom"/>
          </w:tcPr>
          <w:p>
            <w:pPr>
              <w:ind w:left="440"/>
              <w:spacing w:after="0"/>
              <w:rPr>
                <w:sz w:val="20"/>
                <w:szCs w:val="20"/>
                <w:color w:val="auto"/>
              </w:rPr>
            </w:pPr>
            <w:r>
              <w:rPr>
                <w:rFonts w:ascii="Arial" w:cs="Arial" w:eastAsia="Arial" w:hAnsi="Arial"/>
                <w:sz w:val="17"/>
                <w:szCs w:val="17"/>
                <w:color w:val="auto"/>
              </w:rPr>
              <w:t>WTI ($/BBL)</w:t>
            </w:r>
          </w:p>
        </w:tc>
        <w:tc>
          <w:tcPr>
            <w:tcW w:w="448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71.42</w:t>
            </w:r>
          </w:p>
        </w:tc>
        <w:tc>
          <w:tcPr>
            <w:tcW w:w="100" w:type="dxa"/>
            <w:vAlign w:val="bottom"/>
          </w:tcPr>
          <w:p>
            <w:pPr>
              <w:spacing w:after="0"/>
              <w:rPr>
                <w:sz w:val="19"/>
                <w:szCs w:val="19"/>
                <w:color w:val="auto"/>
              </w:rPr>
            </w:pP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76.96</w:t>
            </w:r>
          </w:p>
        </w:tc>
        <w:tc>
          <w:tcPr>
            <w:tcW w:w="40" w:type="dxa"/>
            <w:vAlign w:val="bottom"/>
          </w:tcPr>
          <w:p>
            <w:pPr>
              <w:spacing w:after="0"/>
              <w:rPr>
                <w:sz w:val="19"/>
                <w:szCs w:val="19"/>
                <w:color w:val="auto"/>
              </w:rPr>
            </w:pPr>
          </w:p>
        </w:tc>
      </w:tr>
      <w:tr>
        <w:trPr>
          <w:trHeight w:val="220"/>
        </w:trPr>
        <w:tc>
          <w:tcPr>
            <w:tcW w:w="3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Natural gas</w:t>
            </w:r>
          </w:p>
        </w:tc>
        <w:tc>
          <w:tcPr>
            <w:tcW w:w="4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3900" w:type="dxa"/>
            <w:vAlign w:val="bottom"/>
          </w:tcPr>
          <w:p>
            <w:pPr>
              <w:ind w:left="440"/>
              <w:spacing w:after="0"/>
              <w:rPr>
                <w:sz w:val="20"/>
                <w:szCs w:val="20"/>
                <w:color w:val="auto"/>
              </w:rPr>
            </w:pPr>
            <w:r>
              <w:rPr>
                <w:rFonts w:ascii="Arial" w:cs="Arial" w:eastAsia="Arial" w:hAnsi="Arial"/>
                <w:sz w:val="17"/>
                <w:szCs w:val="17"/>
                <w:color w:val="auto"/>
              </w:rPr>
              <w:t>NYMEX ($/MMBTU)</w:t>
            </w:r>
          </w:p>
        </w:tc>
        <w:tc>
          <w:tcPr>
            <w:tcW w:w="4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4.27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2.42</w:t>
            </w:r>
          </w:p>
        </w:tc>
        <w:tc>
          <w:tcPr>
            <w:tcW w:w="40" w:type="dxa"/>
            <w:vAlign w:val="bottom"/>
          </w:tcPr>
          <w:p>
            <w:pPr>
              <w:spacing w:after="0"/>
              <w:rPr>
                <w:sz w:val="19"/>
                <w:szCs w:val="19"/>
                <w:color w:val="auto"/>
              </w:rPr>
            </w:pPr>
          </w:p>
        </w:tc>
      </w:tr>
      <w:tr>
        <w:trPr>
          <w:trHeight w:val="220"/>
        </w:trPr>
        <w:tc>
          <w:tcPr>
            <w:tcW w:w="39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AECO (C$/MCF)</w:t>
            </w:r>
          </w:p>
        </w:tc>
        <w:tc>
          <w:tcPr>
            <w:tcW w:w="4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40" w:type="dxa"/>
            <w:vAlign w:val="bottom"/>
          </w:tcPr>
          <w:p>
            <w:pPr>
              <w:spacing w:after="0"/>
              <w:rPr>
                <w:sz w:val="19"/>
                <w:szCs w:val="19"/>
                <w:color w:val="auto"/>
              </w:rPr>
            </w:pPr>
          </w:p>
        </w:tc>
      </w:tr>
      <w:tr>
        <w:trPr>
          <w:trHeight w:val="868"/>
        </w:trPr>
        <w:tc>
          <w:tcPr>
            <w:tcW w:w="3900" w:type="dxa"/>
            <w:vAlign w:val="bottom"/>
          </w:tcPr>
          <w:p>
            <w:pPr>
              <w:spacing w:after="0"/>
              <w:rPr>
                <w:sz w:val="24"/>
                <w:szCs w:val="24"/>
                <w:color w:val="auto"/>
              </w:rPr>
            </w:pPr>
          </w:p>
        </w:tc>
        <w:tc>
          <w:tcPr>
            <w:tcW w:w="4120" w:type="dxa"/>
            <w:vAlign w:val="bottom"/>
          </w:tcPr>
          <w:p>
            <w:pPr>
              <w:jc w:val="right"/>
              <w:ind w:right="2214"/>
              <w:spacing w:after="0"/>
              <w:rPr>
                <w:sz w:val="20"/>
                <w:szCs w:val="20"/>
                <w:color w:val="auto"/>
              </w:rPr>
            </w:pPr>
            <w:r>
              <w:rPr>
                <w:rFonts w:ascii="Arial" w:cs="Arial" w:eastAsia="Arial" w:hAnsi="Arial"/>
                <w:sz w:val="17"/>
                <w:szCs w:val="17"/>
                <w:color w:val="auto"/>
              </w:rPr>
              <w:t>26</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3900" w:type="dxa"/>
            <w:vAlign w:val="bottom"/>
            <w:tcBorders>
              <w:bottom w:val="single" w:sz="8" w:color="9A9A9A"/>
            </w:tcBorders>
          </w:tcPr>
          <w:p>
            <w:pPr>
              <w:spacing w:after="0"/>
              <w:rPr>
                <w:sz w:val="18"/>
                <w:szCs w:val="18"/>
                <w:color w:val="auto"/>
              </w:rPr>
            </w:pPr>
          </w:p>
        </w:tc>
        <w:tc>
          <w:tcPr>
            <w:tcW w:w="412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(Continued)</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Production Volumes</w:t>
      </w:r>
    </w:p>
    <w:p>
      <w:pPr>
        <w:spacing w:after="0" w:line="115"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The following table contains hydrocarbons produced during the three-month periods ended March 31, 2025 and 2024. For further discussion on volumes, please see the “</w:t>
      </w:r>
      <w:r>
        <w:rPr>
          <w:rFonts w:ascii="Arial" w:cs="Arial" w:eastAsia="Arial" w:hAnsi="Arial"/>
          <w:sz w:val="17"/>
          <w:szCs w:val="17"/>
          <w:u w:val="single" w:color="auto"/>
          <w:color w:val="0000FF"/>
        </w:rPr>
        <w:t>Revenues from Production</w:t>
      </w:r>
      <w:r>
        <w:rPr>
          <w:rFonts w:ascii="Arial" w:cs="Arial" w:eastAsia="Arial" w:hAnsi="Arial"/>
          <w:sz w:val="17"/>
          <w:szCs w:val="17"/>
          <w:color w:val="auto"/>
        </w:rPr>
        <w:t xml:space="preserve">” section on page </w:t>
      </w:r>
      <w:r>
        <w:rPr>
          <w:rFonts w:ascii="Arial" w:cs="Arial" w:eastAsia="Arial" w:hAnsi="Arial"/>
          <w:sz w:val="17"/>
          <w:szCs w:val="17"/>
          <w:u w:val="single" w:color="auto"/>
          <w:color w:val="0000FF"/>
        </w:rPr>
        <w:t>29</w:t>
      </w:r>
      <w:r>
        <w:rPr>
          <w:rFonts w:ascii="Arial" w:cs="Arial" w:eastAsia="Arial" w:hAnsi="Arial"/>
          <w:sz w:val="17"/>
          <w:szCs w:val="17"/>
          <w:color w:val="auto"/>
        </w:rPr>
        <w:t>.</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3140" w:type="dxa"/>
            <w:vAlign w:val="bottom"/>
            <w:gridSpan w:val="4"/>
          </w:tcPr>
          <w:p>
            <w:pPr>
              <w:jc w:val="center"/>
              <w:spacing w:after="0"/>
              <w:rPr>
                <w:sz w:val="20"/>
                <w:szCs w:val="20"/>
                <w:color w:val="auto"/>
              </w:rPr>
            </w:pPr>
            <w:r>
              <w:rPr>
                <w:rFonts w:ascii="Arial" w:cs="Arial" w:eastAsia="Arial" w:hAnsi="Arial"/>
                <w:sz w:val="17"/>
                <w:szCs w:val="17"/>
                <w:b w:val="1"/>
                <w:bCs w:val="1"/>
                <w:color w:val="auto"/>
              </w:rPr>
              <w:t>Three Months Ended</w:t>
            </w:r>
          </w:p>
        </w:tc>
      </w:tr>
      <w:tr>
        <w:trPr>
          <w:trHeight w:val="233"/>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080" w:type="dxa"/>
            <w:vAlign w:val="bottom"/>
            <w:tcBorders>
              <w:bottom w:val="single" w:sz="8" w:color="auto"/>
            </w:tcBorders>
            <w:gridSpan w:val="3"/>
          </w:tcPr>
          <w:p>
            <w:pPr>
              <w:jc w:val="center"/>
              <w:ind w:left="994"/>
              <w:spacing w:after="0"/>
              <w:rPr>
                <w:sz w:val="20"/>
                <w:szCs w:val="20"/>
                <w:color w:val="auto"/>
              </w:rPr>
            </w:pPr>
            <w:r>
              <w:rPr>
                <w:rFonts w:ascii="Arial" w:cs="Arial" w:eastAsia="Arial" w:hAnsi="Arial"/>
                <w:sz w:val="17"/>
                <w:szCs w:val="17"/>
                <w:b w:val="1"/>
                <w:bCs w:val="1"/>
                <w:color w:val="auto"/>
              </w:rPr>
              <w:t>March 31,</w:t>
            </w:r>
          </w:p>
        </w:tc>
        <w:tc>
          <w:tcPr>
            <w:tcW w:w="1060" w:type="dxa"/>
            <w:vAlign w:val="bottom"/>
            <w:tcBorders>
              <w:bottom w:val="single" w:sz="8" w:color="auto"/>
            </w:tcBorders>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8000" w:type="dxa"/>
            <w:vAlign w:val="bottom"/>
            <w:gridSpan w:val="2"/>
          </w:tcPr>
          <w:p>
            <w:pPr>
              <w:spacing w:after="0" w:line="174" w:lineRule="exact"/>
              <w:rPr>
                <w:sz w:val="20"/>
                <w:szCs w:val="20"/>
                <w:color w:val="auto"/>
              </w:rPr>
            </w:pPr>
            <w:r>
              <w:rPr>
                <w:rFonts w:ascii="Arial" w:cs="Arial" w:eastAsia="Arial" w:hAnsi="Arial"/>
                <w:sz w:val="17"/>
                <w:szCs w:val="17"/>
                <w:i w:val="1"/>
                <w:iCs w:val="1"/>
                <w:color w:val="auto"/>
              </w:rPr>
              <w:t>(Barrels per day unless otherwise noted)</w:t>
            </w:r>
          </w:p>
        </w:tc>
        <w:tc>
          <w:tcPr>
            <w:tcW w:w="1540" w:type="dxa"/>
            <w:vAlign w:val="bottom"/>
          </w:tcPr>
          <w:p>
            <w:pPr>
              <w:jc w:val="right"/>
              <w:ind w:right="494"/>
              <w:spacing w:after="0" w:line="174" w:lineRule="exact"/>
              <w:rPr>
                <w:sz w:val="20"/>
                <w:szCs w:val="20"/>
                <w:color w:val="auto"/>
              </w:rPr>
            </w:pPr>
            <w:r>
              <w:rPr>
                <w:rFonts w:ascii="Arial" w:cs="Arial" w:eastAsia="Arial" w:hAnsi="Arial"/>
                <w:sz w:val="17"/>
                <w:szCs w:val="17"/>
                <w:b w:val="1"/>
                <w:bCs w:val="1"/>
                <w:color w:val="auto"/>
              </w:rPr>
              <w:t>2025</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ind w:right="474"/>
              <w:spacing w:after="0" w:line="174" w:lineRule="exact"/>
              <w:rPr>
                <w:sz w:val="20"/>
                <w:szCs w:val="20"/>
                <w:color w:val="auto"/>
              </w:rPr>
            </w:pPr>
            <w:r>
              <w:rPr>
                <w:rFonts w:ascii="Arial" w:cs="Arial" w:eastAsia="Arial" w:hAnsi="Arial"/>
                <w:sz w:val="17"/>
                <w:szCs w:val="17"/>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100" w:type="dxa"/>
            <w:vAlign w:val="bottom"/>
            <w:tcBorders>
              <w:top w:val="single" w:sz="8" w:color="auto"/>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crude oil and condensate</w:t>
            </w: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8000" w:type="dxa"/>
            <w:vAlign w:val="bottom"/>
            <w:gridSpan w:val="2"/>
          </w:tcPr>
          <w:p>
            <w:pPr>
              <w:ind w:left="420"/>
              <w:spacing w:after="0"/>
              <w:rPr>
                <w:sz w:val="20"/>
                <w:szCs w:val="20"/>
                <w:color w:val="auto"/>
              </w:rPr>
            </w:pPr>
            <w:r>
              <w:rPr>
                <w:rFonts w:ascii="Arial" w:cs="Arial" w:eastAsia="Arial" w:hAnsi="Arial"/>
                <w:sz w:val="17"/>
                <w:szCs w:val="17"/>
                <w:color w:val="auto"/>
              </w:rPr>
              <w:t>United States - Onshore</w:t>
            </w:r>
          </w:p>
        </w:tc>
        <w:tc>
          <w:tcPr>
            <w:tcW w:w="1540" w:type="dxa"/>
            <w:vAlign w:val="bottom"/>
          </w:tcPr>
          <w:p>
            <w:pPr>
              <w:jc w:val="right"/>
              <w:spacing w:after="0"/>
              <w:rPr>
                <w:sz w:val="20"/>
                <w:szCs w:val="20"/>
                <w:color w:val="auto"/>
              </w:rPr>
            </w:pPr>
            <w:r>
              <w:rPr>
                <w:rFonts w:ascii="Arial" w:cs="Arial" w:eastAsia="Arial" w:hAnsi="Arial"/>
                <w:sz w:val="17"/>
                <w:szCs w:val="17"/>
                <w:b w:val="1"/>
                <w:bCs w:val="1"/>
                <w:color w:val="auto"/>
              </w:rPr>
              <w:t>16,974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20,382</w:t>
            </w:r>
          </w:p>
        </w:tc>
      </w:tr>
      <w:tr>
        <w:trPr>
          <w:trHeight w:val="22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55,587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66,078</w:t>
            </w:r>
          </w:p>
        </w:tc>
      </w:tr>
      <w:tr>
        <w:trPr>
          <w:trHeight w:val="220"/>
        </w:trPr>
        <w:tc>
          <w:tcPr>
            <w:tcW w:w="20" w:type="dxa"/>
            <w:vAlign w:val="bottom"/>
          </w:tcPr>
          <w:p>
            <w:pPr>
              <w:spacing w:after="0"/>
              <w:rPr>
                <w:sz w:val="19"/>
                <w:szCs w:val="19"/>
                <w:color w:val="auto"/>
              </w:rPr>
            </w:pPr>
          </w:p>
        </w:tc>
        <w:tc>
          <w:tcPr>
            <w:tcW w:w="8000" w:type="dxa"/>
            <w:vAlign w:val="bottom"/>
            <w:gridSpan w:val="2"/>
          </w:tcPr>
          <w:p>
            <w:pPr>
              <w:ind w:left="420"/>
              <w:spacing w:after="0"/>
              <w:rPr>
                <w:sz w:val="20"/>
                <w:szCs w:val="20"/>
                <w:color w:val="auto"/>
              </w:rPr>
            </w:pPr>
            <w:r>
              <w:rPr>
                <w:rFonts w:ascii="Arial" w:cs="Arial" w:eastAsia="Arial" w:hAnsi="Arial"/>
                <w:sz w:val="17"/>
                <w:szCs w:val="17"/>
                <w:color w:val="auto"/>
              </w:rPr>
              <w:t>Canada - Onshore</w:t>
            </w:r>
          </w:p>
        </w:tc>
        <w:tc>
          <w:tcPr>
            <w:tcW w:w="1540" w:type="dxa"/>
            <w:vAlign w:val="bottom"/>
          </w:tcPr>
          <w:p>
            <w:pPr>
              <w:jc w:val="right"/>
              <w:spacing w:after="0"/>
              <w:rPr>
                <w:sz w:val="20"/>
                <w:szCs w:val="20"/>
                <w:color w:val="auto"/>
              </w:rPr>
            </w:pPr>
            <w:r>
              <w:rPr>
                <w:rFonts w:ascii="Arial" w:cs="Arial" w:eastAsia="Arial" w:hAnsi="Arial"/>
                <w:sz w:val="17"/>
                <w:szCs w:val="17"/>
                <w:b w:val="1"/>
                <w:bCs w:val="1"/>
                <w:color w:val="auto"/>
              </w:rPr>
              <w:t>2,584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2,255</w:t>
            </w:r>
          </w:p>
        </w:tc>
      </w:tr>
      <w:tr>
        <w:trPr>
          <w:trHeight w:val="22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Canada - Offshore</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8,855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6,264</w:t>
            </w:r>
          </w:p>
        </w:tc>
      </w:tr>
      <w:tr>
        <w:trPr>
          <w:trHeight w:val="220"/>
        </w:trPr>
        <w:tc>
          <w:tcPr>
            <w:tcW w:w="20" w:type="dxa"/>
            <w:vAlign w:val="bottom"/>
            <w:tcBorders>
              <w:bottom w:val="single" w:sz="8" w:color="CCEEFF"/>
            </w:tcBorders>
          </w:tcPr>
          <w:p>
            <w:pPr>
              <w:spacing w:after="0"/>
              <w:rPr>
                <w:sz w:val="19"/>
                <w:szCs w:val="19"/>
                <w:color w:val="auto"/>
              </w:rPr>
            </w:pPr>
          </w:p>
        </w:tc>
        <w:tc>
          <w:tcPr>
            <w:tcW w:w="8000" w:type="dxa"/>
            <w:vAlign w:val="bottom"/>
            <w:tcBorders>
              <w:bottom w:val="single" w:sz="8" w:color="CCEEFF"/>
            </w:tcBorders>
            <w:gridSpan w:val="2"/>
          </w:tcPr>
          <w:p>
            <w:pPr>
              <w:ind w:left="420"/>
              <w:spacing w:after="0"/>
              <w:rPr>
                <w:sz w:val="20"/>
                <w:szCs w:val="20"/>
                <w:color w:val="auto"/>
              </w:rPr>
            </w:pPr>
            <w:r>
              <w:rPr>
                <w:rFonts w:ascii="Arial" w:cs="Arial" w:eastAsia="Arial" w:hAnsi="Arial"/>
                <w:sz w:val="17"/>
                <w:szCs w:val="17"/>
                <w:color w:val="auto"/>
              </w:rPr>
              <w:t>Other</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255</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w:t>
            </w:r>
          </w:p>
        </w:tc>
      </w:tr>
      <w:tr>
        <w:trPr>
          <w:trHeight w:val="213"/>
        </w:trPr>
        <w:tc>
          <w:tcPr>
            <w:tcW w:w="20" w:type="dxa"/>
            <w:vAlign w:val="bottom"/>
            <w:shd w:val="clear" w:color="auto" w:fill="CCEEFF"/>
          </w:tcPr>
          <w:p>
            <w:pPr>
              <w:spacing w:after="0"/>
              <w:rPr>
                <w:sz w:val="18"/>
                <w:szCs w:val="18"/>
                <w:color w:val="auto"/>
              </w:rPr>
            </w:pPr>
          </w:p>
        </w:tc>
        <w:tc>
          <w:tcPr>
            <w:tcW w:w="80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Total net crude oil and condensate</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84,255</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95,224</w:t>
            </w:r>
          </w:p>
        </w:tc>
      </w:tr>
      <w:tr>
        <w:trPr>
          <w:trHeight w:val="200"/>
        </w:trPr>
        <w:tc>
          <w:tcPr>
            <w:tcW w:w="20" w:type="dxa"/>
            <w:vAlign w:val="bottom"/>
          </w:tcPr>
          <w:p>
            <w:pPr>
              <w:spacing w:after="0"/>
              <w:rPr>
                <w:sz w:val="17"/>
                <w:szCs w:val="17"/>
                <w:color w:val="auto"/>
              </w:rPr>
            </w:pPr>
          </w:p>
        </w:tc>
        <w:tc>
          <w:tcPr>
            <w:tcW w:w="8000" w:type="dxa"/>
            <w:vAlign w:val="bottom"/>
            <w:gridSpan w:val="2"/>
          </w:tcPr>
          <w:p>
            <w:pPr>
              <w:spacing w:after="0"/>
              <w:rPr>
                <w:sz w:val="20"/>
                <w:szCs w:val="20"/>
                <w:color w:val="auto"/>
              </w:rPr>
            </w:pPr>
            <w:r>
              <w:rPr>
                <w:rFonts w:ascii="Arial" w:cs="Arial" w:eastAsia="Arial" w:hAnsi="Arial"/>
                <w:sz w:val="17"/>
                <w:szCs w:val="17"/>
                <w:color w:val="auto"/>
              </w:rPr>
              <w:t>Net natural gas liquids</w:t>
            </w: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United States - Onshore</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4,072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4,166</w:t>
            </w:r>
          </w:p>
        </w:tc>
      </w:tr>
      <w:tr>
        <w:trPr>
          <w:trHeight w:val="220"/>
        </w:trPr>
        <w:tc>
          <w:tcPr>
            <w:tcW w:w="20" w:type="dxa"/>
            <w:vAlign w:val="bottom"/>
          </w:tcPr>
          <w:p>
            <w:pPr>
              <w:spacing w:after="0"/>
              <w:rPr>
                <w:sz w:val="19"/>
                <w:szCs w:val="19"/>
                <w:color w:val="auto"/>
              </w:rPr>
            </w:pPr>
          </w:p>
        </w:tc>
        <w:tc>
          <w:tcPr>
            <w:tcW w:w="8000" w:type="dxa"/>
            <w:vAlign w:val="bottom"/>
            <w:gridSpan w:val="2"/>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1540" w:type="dxa"/>
            <w:vAlign w:val="bottom"/>
          </w:tcPr>
          <w:p>
            <w:pPr>
              <w:jc w:val="right"/>
              <w:spacing w:after="0"/>
              <w:rPr>
                <w:sz w:val="20"/>
                <w:szCs w:val="20"/>
                <w:color w:val="auto"/>
              </w:rPr>
            </w:pPr>
            <w:r>
              <w:rPr>
                <w:rFonts w:ascii="Arial" w:cs="Arial" w:eastAsia="Arial" w:hAnsi="Arial"/>
                <w:sz w:val="17"/>
                <w:szCs w:val="17"/>
                <w:b w:val="1"/>
                <w:bCs w:val="1"/>
                <w:color w:val="auto"/>
              </w:rPr>
              <w:t>3,804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4,687</w:t>
            </w:r>
          </w:p>
        </w:tc>
      </w:tr>
      <w:tr>
        <w:trPr>
          <w:trHeight w:val="22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Canada - Onshore</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538</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453</w:t>
            </w:r>
          </w:p>
        </w:tc>
      </w:tr>
      <w:tr>
        <w:trPr>
          <w:trHeight w:val="213"/>
        </w:trPr>
        <w:tc>
          <w:tcPr>
            <w:tcW w:w="20" w:type="dxa"/>
            <w:vAlign w:val="bottom"/>
            <w:tcBorders>
              <w:bottom w:val="single" w:sz="8" w:color="CCEEFF"/>
            </w:tcBorders>
          </w:tcPr>
          <w:p>
            <w:pPr>
              <w:spacing w:after="0"/>
              <w:rPr>
                <w:sz w:val="18"/>
                <w:szCs w:val="18"/>
                <w:color w:val="auto"/>
              </w:rPr>
            </w:pPr>
          </w:p>
        </w:tc>
        <w:tc>
          <w:tcPr>
            <w:tcW w:w="800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Total net natural gas liquids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8,414</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9,306</w:t>
            </w:r>
          </w:p>
        </w:tc>
      </w:tr>
      <w:tr>
        <w:trPr>
          <w:trHeight w:val="200"/>
        </w:trPr>
        <w:tc>
          <w:tcPr>
            <w:tcW w:w="20" w:type="dxa"/>
            <w:vAlign w:val="bottom"/>
            <w:shd w:val="clear" w:color="auto" w:fill="CCEEFF"/>
          </w:tcPr>
          <w:p>
            <w:pPr>
              <w:spacing w:after="0"/>
              <w:rPr>
                <w:sz w:val="17"/>
                <w:szCs w:val="17"/>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natural gas – thousands of cubic feet per day</w:t>
            </w: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8000" w:type="dxa"/>
            <w:vAlign w:val="bottom"/>
            <w:gridSpan w:val="2"/>
          </w:tcPr>
          <w:p>
            <w:pPr>
              <w:ind w:left="420"/>
              <w:spacing w:after="0"/>
              <w:rPr>
                <w:sz w:val="20"/>
                <w:szCs w:val="20"/>
                <w:color w:val="auto"/>
              </w:rPr>
            </w:pPr>
            <w:r>
              <w:rPr>
                <w:rFonts w:ascii="Arial" w:cs="Arial" w:eastAsia="Arial" w:hAnsi="Arial"/>
                <w:sz w:val="17"/>
                <w:szCs w:val="17"/>
                <w:color w:val="auto"/>
              </w:rPr>
              <w:t>United States - Onshore</w:t>
            </w:r>
          </w:p>
        </w:tc>
        <w:tc>
          <w:tcPr>
            <w:tcW w:w="1540" w:type="dxa"/>
            <w:vAlign w:val="bottom"/>
          </w:tcPr>
          <w:p>
            <w:pPr>
              <w:jc w:val="right"/>
              <w:spacing w:after="0"/>
              <w:rPr>
                <w:sz w:val="20"/>
                <w:szCs w:val="20"/>
                <w:color w:val="auto"/>
              </w:rPr>
            </w:pPr>
            <w:r>
              <w:rPr>
                <w:rFonts w:ascii="Arial" w:cs="Arial" w:eastAsia="Arial" w:hAnsi="Arial"/>
                <w:sz w:val="17"/>
                <w:szCs w:val="17"/>
                <w:b w:val="1"/>
                <w:bCs w:val="1"/>
                <w:color w:val="auto"/>
              </w:rPr>
              <w:t>26,190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24,231</w:t>
            </w:r>
          </w:p>
        </w:tc>
      </w:tr>
      <w:tr>
        <w:trPr>
          <w:trHeight w:val="22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51,150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53,161</w:t>
            </w:r>
          </w:p>
        </w:tc>
      </w:tr>
      <w:tr>
        <w:trPr>
          <w:trHeight w:val="220"/>
        </w:trPr>
        <w:tc>
          <w:tcPr>
            <w:tcW w:w="20" w:type="dxa"/>
            <w:vAlign w:val="bottom"/>
            <w:tcBorders>
              <w:bottom w:val="single" w:sz="8" w:color="CCEEFF"/>
            </w:tcBorders>
          </w:tcPr>
          <w:p>
            <w:pPr>
              <w:spacing w:after="0"/>
              <w:rPr>
                <w:sz w:val="19"/>
                <w:szCs w:val="19"/>
                <w:color w:val="auto"/>
              </w:rPr>
            </w:pPr>
          </w:p>
        </w:tc>
        <w:tc>
          <w:tcPr>
            <w:tcW w:w="8000" w:type="dxa"/>
            <w:vAlign w:val="bottom"/>
            <w:tcBorders>
              <w:bottom w:val="single" w:sz="8" w:color="CCEEFF"/>
            </w:tcBorders>
            <w:gridSpan w:val="2"/>
          </w:tcPr>
          <w:p>
            <w:pPr>
              <w:ind w:left="420"/>
              <w:spacing w:after="0"/>
              <w:rPr>
                <w:sz w:val="20"/>
                <w:szCs w:val="20"/>
                <w:color w:val="auto"/>
              </w:rPr>
            </w:pPr>
            <w:r>
              <w:rPr>
                <w:rFonts w:ascii="Arial" w:cs="Arial" w:eastAsia="Arial" w:hAnsi="Arial"/>
                <w:sz w:val="17"/>
                <w:szCs w:val="17"/>
                <w:color w:val="auto"/>
              </w:rPr>
              <w:t>Canada - Onshore</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346,892</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355,455</w:t>
            </w:r>
          </w:p>
        </w:tc>
      </w:tr>
      <w:tr>
        <w:trPr>
          <w:trHeight w:val="213"/>
        </w:trPr>
        <w:tc>
          <w:tcPr>
            <w:tcW w:w="20" w:type="dxa"/>
            <w:vAlign w:val="bottom"/>
            <w:shd w:val="clear" w:color="auto" w:fill="CCEEFF"/>
          </w:tcPr>
          <w:p>
            <w:pPr>
              <w:spacing w:after="0"/>
              <w:rPr>
                <w:sz w:val="18"/>
                <w:szCs w:val="18"/>
                <w:color w:val="auto"/>
              </w:rPr>
            </w:pPr>
          </w:p>
        </w:tc>
        <w:tc>
          <w:tcPr>
            <w:tcW w:w="80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Total net natural gas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424,232</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432,847</w:t>
            </w:r>
          </w:p>
        </w:tc>
      </w:tr>
      <w:tr>
        <w:trPr>
          <w:trHeight w:val="238"/>
        </w:trPr>
        <w:tc>
          <w:tcPr>
            <w:tcW w:w="20" w:type="dxa"/>
            <w:vAlign w:val="bottom"/>
            <w:tcBorders>
              <w:bottom w:val="single" w:sz="8" w:color="CCEEFF"/>
            </w:tcBorders>
          </w:tcPr>
          <w:p>
            <w:pPr>
              <w:spacing w:after="0"/>
              <w:rPr>
                <w:sz w:val="20"/>
                <w:szCs w:val="20"/>
                <w:color w:val="auto"/>
              </w:rPr>
            </w:pPr>
          </w:p>
        </w:tc>
        <w:tc>
          <w:tcPr>
            <w:tcW w:w="8000" w:type="dxa"/>
            <w:vAlign w:val="bottom"/>
            <w:tcBorders>
              <w:bottom w:val="single" w:sz="8" w:color="CCEEFF"/>
            </w:tcBorders>
            <w:gridSpan w:val="2"/>
          </w:tcPr>
          <w:p>
            <w:pPr>
              <w:spacing w:after="0" w:line="239" w:lineRule="exact"/>
              <w:rPr>
                <w:sz w:val="20"/>
                <w:szCs w:val="20"/>
                <w:color w:val="auto"/>
              </w:rPr>
            </w:pPr>
            <w:r>
              <w:rPr>
                <w:rFonts w:ascii="Arial" w:cs="Arial" w:eastAsia="Arial" w:hAnsi="Arial"/>
                <w:sz w:val="17"/>
                <w:szCs w:val="17"/>
                <w:b w:val="1"/>
                <w:bCs w:val="1"/>
                <w:color w:val="auto"/>
              </w:rPr>
              <w:t xml:space="preserve">Total net hydrocarbons - including NCI </w:t>
            </w:r>
            <w:r>
              <w:rPr>
                <w:rFonts w:ascii="Arial" w:cs="Arial" w:eastAsia="Arial" w:hAnsi="Arial"/>
                <w:sz w:val="22"/>
                <w:szCs w:val="22"/>
                <w:b w:val="1"/>
                <w:bCs w:val="1"/>
                <w:color w:val="auto"/>
                <w:vertAlign w:val="superscript"/>
              </w:rPr>
              <w:t>2,3</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163,374</w:t>
            </w:r>
          </w:p>
        </w:tc>
        <w:tc>
          <w:tcPr>
            <w:tcW w:w="8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176,671</w:t>
            </w:r>
          </w:p>
        </w:tc>
      </w:tr>
      <w:tr>
        <w:trPr>
          <w:trHeight w:val="200"/>
        </w:trPr>
        <w:tc>
          <w:tcPr>
            <w:tcW w:w="20" w:type="dxa"/>
            <w:vAlign w:val="bottom"/>
            <w:shd w:val="clear" w:color="auto" w:fill="CCEEFF"/>
          </w:tcPr>
          <w:p>
            <w:pPr>
              <w:spacing w:after="0"/>
              <w:rPr>
                <w:sz w:val="17"/>
                <w:szCs w:val="17"/>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Noncontrolling interest</w:t>
            </w: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8000" w:type="dxa"/>
            <w:vAlign w:val="bottom"/>
            <w:gridSpan w:val="2"/>
          </w:tcPr>
          <w:p>
            <w:pPr>
              <w:ind w:left="420"/>
              <w:spacing w:after="0"/>
              <w:rPr>
                <w:sz w:val="20"/>
                <w:szCs w:val="20"/>
                <w:color w:val="auto"/>
              </w:rPr>
            </w:pPr>
            <w:r>
              <w:rPr>
                <w:rFonts w:ascii="Arial" w:cs="Arial" w:eastAsia="Arial" w:hAnsi="Arial"/>
                <w:sz w:val="17"/>
                <w:szCs w:val="17"/>
                <w:color w:val="auto"/>
              </w:rPr>
              <w:t>Net crude oil and condensate – barrels per day</w:t>
            </w:r>
          </w:p>
        </w:tc>
        <w:tc>
          <w:tcPr>
            <w:tcW w:w="1540" w:type="dxa"/>
            <w:vAlign w:val="bottom"/>
          </w:tcPr>
          <w:p>
            <w:pPr>
              <w:jc w:val="right"/>
              <w:spacing w:after="0"/>
              <w:rPr>
                <w:sz w:val="20"/>
                <w:szCs w:val="20"/>
                <w:color w:val="auto"/>
              </w:rPr>
            </w:pPr>
            <w:r>
              <w:rPr>
                <w:rFonts w:ascii="Arial" w:cs="Arial" w:eastAsia="Arial" w:hAnsi="Arial"/>
                <w:sz w:val="17"/>
                <w:szCs w:val="17"/>
                <w:b w:val="1"/>
                <w:bCs w:val="1"/>
                <w:color w:val="auto"/>
              </w:rPr>
              <w:t>(5,779)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(6,499)</w:t>
            </w:r>
          </w:p>
        </w:tc>
      </w:tr>
      <w:tr>
        <w:trPr>
          <w:trHeight w:val="22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Net natural gas liquids – barrels per day</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w:t>
            </w:r>
          </w:p>
        </w:tc>
      </w:tr>
      <w:tr>
        <w:trPr>
          <w:trHeight w:val="258"/>
        </w:trPr>
        <w:tc>
          <w:tcPr>
            <w:tcW w:w="20" w:type="dxa"/>
            <w:vAlign w:val="bottom"/>
            <w:tcBorders>
              <w:bottom w:val="single" w:sz="8" w:color="CCEEFF"/>
            </w:tcBorders>
          </w:tcPr>
          <w:p>
            <w:pPr>
              <w:spacing w:after="0"/>
              <w:rPr>
                <w:sz w:val="22"/>
                <w:szCs w:val="22"/>
                <w:color w:val="auto"/>
              </w:rPr>
            </w:pPr>
          </w:p>
        </w:tc>
        <w:tc>
          <w:tcPr>
            <w:tcW w:w="8000" w:type="dxa"/>
            <w:vAlign w:val="bottom"/>
            <w:tcBorders>
              <w:bottom w:val="single" w:sz="8" w:color="CCEEFF"/>
            </w:tcBorders>
            <w:gridSpan w:val="2"/>
          </w:tcPr>
          <w:p>
            <w:pPr>
              <w:ind w:left="460"/>
              <w:spacing w:after="0"/>
              <w:rPr>
                <w:sz w:val="20"/>
                <w:szCs w:val="20"/>
                <w:color w:val="auto"/>
              </w:rPr>
            </w:pPr>
            <w:r>
              <w:rPr>
                <w:rFonts w:ascii="Arial" w:cs="Arial" w:eastAsia="Arial" w:hAnsi="Arial"/>
                <w:sz w:val="17"/>
                <w:szCs w:val="17"/>
                <w:color w:val="auto"/>
              </w:rPr>
              <w:t>Net natural gas – thousands of cubic feet per day</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(1,234)</w:t>
            </w:r>
          </w:p>
        </w:tc>
        <w:tc>
          <w:tcPr>
            <w:tcW w:w="8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(2,074)</w:t>
            </w:r>
          </w:p>
        </w:tc>
      </w:tr>
      <w:tr>
        <w:trPr>
          <w:trHeight w:val="213"/>
        </w:trPr>
        <w:tc>
          <w:tcPr>
            <w:tcW w:w="20" w:type="dxa"/>
            <w:vAlign w:val="bottom"/>
            <w:shd w:val="clear" w:color="auto" w:fill="CCEEFF"/>
          </w:tcPr>
          <w:p>
            <w:pPr>
              <w:spacing w:after="0"/>
              <w:rPr>
                <w:sz w:val="18"/>
                <w:szCs w:val="18"/>
                <w:color w:val="auto"/>
              </w:rPr>
            </w:pPr>
          </w:p>
        </w:tc>
        <w:tc>
          <w:tcPr>
            <w:tcW w:w="8000" w:type="dxa"/>
            <w:vAlign w:val="bottom"/>
            <w:gridSpan w:val="2"/>
            <w:shd w:val="clear" w:color="auto" w:fill="CCEEFF"/>
          </w:tcPr>
          <w:p>
            <w:pPr>
              <w:ind w:left="200"/>
              <w:spacing w:after="0" w:line="212" w:lineRule="exact"/>
              <w:rPr>
                <w:sz w:val="20"/>
                <w:szCs w:val="20"/>
                <w:color w:val="auto"/>
              </w:rPr>
            </w:pPr>
            <w:r>
              <w:rPr>
                <w:rFonts w:ascii="Arial" w:cs="Arial" w:eastAsia="Arial" w:hAnsi="Arial"/>
                <w:sz w:val="17"/>
                <w:szCs w:val="17"/>
                <w:color w:val="auto"/>
              </w:rPr>
              <w:t xml:space="preserve">Total noncontrolling interest </w:t>
            </w:r>
            <w:r>
              <w:rPr>
                <w:rFonts w:ascii="Arial" w:cs="Arial" w:eastAsia="Arial" w:hAnsi="Arial"/>
                <w:sz w:val="22"/>
                <w:szCs w:val="22"/>
                <w:color w:val="auto"/>
                <w:vertAlign w:val="superscript"/>
              </w:rPr>
              <w:t>2,3</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(6,154)</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(7,056)</w:t>
            </w:r>
          </w:p>
        </w:tc>
      </w:tr>
      <w:tr>
        <w:trPr>
          <w:trHeight w:val="213"/>
        </w:trPr>
        <w:tc>
          <w:tcPr>
            <w:tcW w:w="20" w:type="dxa"/>
            <w:vAlign w:val="bottom"/>
          </w:tcPr>
          <w:p>
            <w:pPr>
              <w:spacing w:after="0"/>
              <w:rPr>
                <w:sz w:val="18"/>
                <w:szCs w:val="18"/>
                <w:color w:val="auto"/>
              </w:rPr>
            </w:pPr>
          </w:p>
        </w:tc>
        <w:tc>
          <w:tcPr>
            <w:tcW w:w="8000" w:type="dxa"/>
            <w:vAlign w:val="bottom"/>
            <w:gridSpan w:val="2"/>
          </w:tcPr>
          <w:p>
            <w:pPr>
              <w:spacing w:after="0" w:line="212" w:lineRule="exact"/>
              <w:rPr>
                <w:sz w:val="20"/>
                <w:szCs w:val="20"/>
                <w:color w:val="auto"/>
              </w:rPr>
            </w:pPr>
            <w:r>
              <w:rPr>
                <w:rFonts w:ascii="Arial" w:cs="Arial" w:eastAsia="Arial" w:hAnsi="Arial"/>
                <w:sz w:val="17"/>
                <w:szCs w:val="17"/>
                <w:b w:val="1"/>
                <w:bCs w:val="1"/>
                <w:color w:val="auto"/>
              </w:rPr>
              <w:t xml:space="preserve">Total net hydrocarbons - excluding NCI </w:t>
            </w:r>
            <w:r>
              <w:rPr>
                <w:rFonts w:ascii="Arial" w:cs="Arial" w:eastAsia="Arial" w:hAnsi="Arial"/>
                <w:sz w:val="22"/>
                <w:szCs w:val="22"/>
                <w:b w:val="1"/>
                <w:bCs w:val="1"/>
                <w:color w:val="auto"/>
                <w:vertAlign w:val="superscript"/>
              </w:rPr>
              <w:t>2,3</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157,220</w:t>
            </w: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169,615</w:t>
            </w: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100" w:hanging="97"/>
        <w:spacing w:after="0"/>
        <w:tabs>
          <w:tab w:leader="none" w:pos="100" w:val="left"/>
        </w:tabs>
        <w:numPr>
          <w:ilvl w:val="0"/>
          <w:numId w:val="17"/>
        </w:numPr>
        <w:rPr>
          <w:rFonts w:ascii="Arial" w:cs="Arial" w:eastAsia="Arial" w:hAnsi="Arial"/>
          <w:sz w:val="20"/>
          <w:szCs w:val="20"/>
          <w:color w:val="auto"/>
          <w:vertAlign w:val="superscript"/>
        </w:rPr>
      </w:pPr>
      <w:r>
        <w:rPr>
          <w:rFonts w:ascii="Arial" w:cs="Arial" w:eastAsia="Arial" w:hAnsi="Arial"/>
          <w:sz w:val="16"/>
          <w:szCs w:val="16"/>
          <w:color w:val="auto"/>
        </w:rPr>
        <w:t>Includes net volumes attributable to a noncontrolling interest in MP GOM.</w:t>
      </w:r>
    </w:p>
    <w:p>
      <w:pPr>
        <w:spacing w:after="0" w:line="29" w:lineRule="exact"/>
        <w:rPr>
          <w:rFonts w:ascii="Arial" w:cs="Arial" w:eastAsia="Arial" w:hAnsi="Arial"/>
          <w:sz w:val="20"/>
          <w:szCs w:val="20"/>
          <w:color w:val="auto"/>
          <w:vertAlign w:val="superscript"/>
        </w:rPr>
      </w:pPr>
    </w:p>
    <w:p>
      <w:pPr>
        <w:ind w:right="6960" w:hanging="6"/>
        <w:spacing w:after="0" w:line="257" w:lineRule="auto"/>
        <w:rPr>
          <w:rFonts w:ascii="Arial" w:cs="Arial" w:eastAsia="Arial" w:hAnsi="Arial"/>
          <w:sz w:val="20"/>
          <w:szCs w:val="20"/>
          <w:color w:val="auto"/>
          <w:vertAlign w:val="superscript"/>
        </w:rPr>
      </w:pPr>
      <w:r>
        <w:rPr>
          <w:rFonts w:ascii="Arial" w:cs="Arial" w:eastAsia="Arial" w:hAnsi="Arial"/>
          <w:sz w:val="20"/>
          <w:szCs w:val="20"/>
          <w:color w:val="auto"/>
          <w:vertAlign w:val="superscript"/>
        </w:rPr>
        <w:t>2</w:t>
      </w:r>
      <w:r>
        <w:rPr>
          <w:rFonts w:ascii="Arial" w:cs="Arial" w:eastAsia="Arial" w:hAnsi="Arial"/>
          <w:sz w:val="16"/>
          <w:szCs w:val="16"/>
          <w:color w:val="auto"/>
        </w:rPr>
        <w:t xml:space="preserve"> Natural gas converted on an energy equivalent basis of 6:1. </w:t>
      </w:r>
      <w:r>
        <w:rPr>
          <w:rFonts w:ascii="Arial" w:cs="Arial" w:eastAsia="Arial" w:hAnsi="Arial"/>
          <w:sz w:val="20"/>
          <w:szCs w:val="20"/>
          <w:color w:val="auto"/>
          <w:vertAlign w:val="superscript"/>
        </w:rPr>
        <w:t>3</w:t>
      </w:r>
      <w:r>
        <w:rPr>
          <w:rFonts w:ascii="Arial" w:cs="Arial" w:eastAsia="Arial" w:hAnsi="Arial"/>
          <w:sz w:val="16"/>
          <w:szCs w:val="16"/>
          <w:color w:val="auto"/>
        </w:rPr>
        <w:t xml:space="preserve"> NCI – noncontrolling interest in MP GOM.</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226" w:right="41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(Continued)</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Sales Volumes</w:t>
      </w:r>
    </w:p>
    <w:p>
      <w:pPr>
        <w:spacing w:after="0" w:line="115" w:lineRule="exact"/>
        <w:rPr>
          <w:sz w:val="20"/>
          <w:szCs w:val="20"/>
          <w:color w:val="auto"/>
        </w:rPr>
      </w:pPr>
    </w:p>
    <w:p>
      <w:pPr>
        <w:ind w:right="720"/>
        <w:spacing w:after="0" w:line="291" w:lineRule="auto"/>
        <w:rPr>
          <w:sz w:val="20"/>
          <w:szCs w:val="20"/>
          <w:color w:val="auto"/>
        </w:rPr>
      </w:pPr>
      <w:r>
        <w:rPr>
          <w:rFonts w:ascii="Arial" w:cs="Arial" w:eastAsia="Arial" w:hAnsi="Arial"/>
          <w:sz w:val="17"/>
          <w:szCs w:val="17"/>
          <w:color w:val="auto"/>
        </w:rPr>
        <w:t>The following table contains hydrocarbons sold during the three-month periods ended March 31, 2025 and 2024. For further discussion on volumes, please see the “</w:t>
      </w:r>
      <w:r>
        <w:rPr>
          <w:rFonts w:ascii="Arial" w:cs="Arial" w:eastAsia="Arial" w:hAnsi="Arial"/>
          <w:sz w:val="17"/>
          <w:szCs w:val="17"/>
          <w:u w:val="single" w:color="auto"/>
          <w:color w:val="0000FF"/>
        </w:rPr>
        <w:t>Revenues from Production</w:t>
      </w:r>
      <w:r>
        <w:rPr>
          <w:rFonts w:ascii="Arial" w:cs="Arial" w:eastAsia="Arial" w:hAnsi="Arial"/>
          <w:sz w:val="17"/>
          <w:szCs w:val="17"/>
          <w:color w:val="auto"/>
        </w:rPr>
        <w:t xml:space="preserve">” section on page </w:t>
      </w:r>
      <w:r>
        <w:rPr>
          <w:rFonts w:ascii="Arial" w:cs="Arial" w:eastAsia="Arial" w:hAnsi="Arial"/>
          <w:sz w:val="17"/>
          <w:szCs w:val="17"/>
          <w:u w:val="single" w:color="auto"/>
          <w:color w:val="0000FF"/>
        </w:rPr>
        <w:t>29</w:t>
      </w:r>
      <w:r>
        <w:rPr>
          <w:rFonts w:ascii="Arial" w:cs="Arial" w:eastAsia="Arial" w:hAnsi="Arial"/>
          <w:sz w:val="17"/>
          <w:szCs w:val="17"/>
          <w:color w:val="auto"/>
        </w:rPr>
        <w:t>.</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3200" w:type="dxa"/>
            <w:vAlign w:val="bottom"/>
            <w:gridSpan w:val="4"/>
          </w:tcPr>
          <w:p>
            <w:pPr>
              <w:jc w:val="center"/>
              <w:spacing w:after="0"/>
              <w:rPr>
                <w:sz w:val="20"/>
                <w:szCs w:val="20"/>
                <w:color w:val="auto"/>
              </w:rPr>
            </w:pPr>
            <w:r>
              <w:rPr>
                <w:rFonts w:ascii="Arial" w:cs="Arial" w:eastAsia="Arial" w:hAnsi="Arial"/>
                <w:sz w:val="17"/>
                <w:szCs w:val="17"/>
                <w:b w:val="1"/>
                <w:bCs w:val="1"/>
                <w:color w:val="auto"/>
              </w:rPr>
              <w:t>Three Months Ended</w:t>
            </w:r>
          </w:p>
        </w:tc>
      </w:tr>
      <w:tr>
        <w:trPr>
          <w:trHeight w:val="233"/>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120" w:type="dxa"/>
            <w:vAlign w:val="bottom"/>
            <w:tcBorders>
              <w:bottom w:val="single" w:sz="8" w:color="auto"/>
            </w:tcBorders>
            <w:gridSpan w:val="3"/>
          </w:tcPr>
          <w:p>
            <w:pPr>
              <w:jc w:val="center"/>
              <w:ind w:left="994"/>
              <w:spacing w:after="0"/>
              <w:rPr>
                <w:sz w:val="20"/>
                <w:szCs w:val="20"/>
                <w:color w:val="auto"/>
              </w:rPr>
            </w:pPr>
            <w:r>
              <w:rPr>
                <w:rFonts w:ascii="Arial" w:cs="Arial" w:eastAsia="Arial" w:hAnsi="Arial"/>
                <w:sz w:val="17"/>
                <w:szCs w:val="17"/>
                <w:b w:val="1"/>
                <w:bCs w:val="1"/>
                <w:color w:val="auto"/>
              </w:rPr>
              <w:t>March 31,</w:t>
            </w:r>
          </w:p>
        </w:tc>
        <w:tc>
          <w:tcPr>
            <w:tcW w:w="1080" w:type="dxa"/>
            <w:vAlign w:val="bottom"/>
            <w:tcBorders>
              <w:bottom w:val="single" w:sz="8" w:color="auto"/>
            </w:tcBorders>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8020" w:type="dxa"/>
            <w:vAlign w:val="bottom"/>
            <w:gridSpan w:val="2"/>
          </w:tcPr>
          <w:p>
            <w:pPr>
              <w:spacing w:after="0" w:line="174" w:lineRule="exact"/>
              <w:rPr>
                <w:sz w:val="20"/>
                <w:szCs w:val="20"/>
                <w:color w:val="auto"/>
              </w:rPr>
            </w:pPr>
            <w:r>
              <w:rPr>
                <w:rFonts w:ascii="Arial" w:cs="Arial" w:eastAsia="Arial" w:hAnsi="Arial"/>
                <w:sz w:val="17"/>
                <w:szCs w:val="17"/>
                <w:i w:val="1"/>
                <w:iCs w:val="1"/>
                <w:color w:val="auto"/>
              </w:rPr>
              <w:t>(Barrels per day unless otherwise noted)</w:t>
            </w:r>
          </w:p>
        </w:tc>
        <w:tc>
          <w:tcPr>
            <w:tcW w:w="1520" w:type="dxa"/>
            <w:vAlign w:val="bottom"/>
          </w:tcPr>
          <w:p>
            <w:pPr>
              <w:jc w:val="right"/>
              <w:ind w:right="474"/>
              <w:spacing w:after="0" w:line="174" w:lineRule="exact"/>
              <w:rPr>
                <w:sz w:val="20"/>
                <w:szCs w:val="20"/>
                <w:color w:val="auto"/>
              </w:rPr>
            </w:pPr>
            <w:r>
              <w:rPr>
                <w:rFonts w:ascii="Arial" w:cs="Arial" w:eastAsia="Arial" w:hAnsi="Arial"/>
                <w:sz w:val="17"/>
                <w:szCs w:val="17"/>
                <w:b w:val="1"/>
                <w:bCs w:val="1"/>
                <w:color w:val="auto"/>
              </w:rPr>
              <w:t>2025</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jc w:val="right"/>
              <w:ind w:right="474"/>
              <w:spacing w:after="0" w:line="174" w:lineRule="exact"/>
              <w:rPr>
                <w:sz w:val="20"/>
                <w:szCs w:val="20"/>
                <w:color w:val="auto"/>
              </w:rPr>
            </w:pPr>
            <w:r>
              <w:rPr>
                <w:rFonts w:ascii="Arial" w:cs="Arial" w:eastAsia="Arial" w:hAnsi="Arial"/>
                <w:sz w:val="17"/>
                <w:szCs w:val="17"/>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100" w:type="dxa"/>
            <w:vAlign w:val="bottom"/>
            <w:tcBorders>
              <w:top w:val="single" w:sz="8" w:color="auto"/>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crude oil and condensate</w:t>
            </w: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8020" w:type="dxa"/>
            <w:vAlign w:val="bottom"/>
            <w:gridSpan w:val="2"/>
          </w:tcPr>
          <w:p>
            <w:pPr>
              <w:ind w:left="420"/>
              <w:spacing w:after="0"/>
              <w:rPr>
                <w:sz w:val="20"/>
                <w:szCs w:val="20"/>
                <w:color w:val="auto"/>
              </w:rPr>
            </w:pPr>
            <w:r>
              <w:rPr>
                <w:rFonts w:ascii="Arial" w:cs="Arial" w:eastAsia="Arial" w:hAnsi="Arial"/>
                <w:sz w:val="17"/>
                <w:szCs w:val="17"/>
                <w:color w:val="auto"/>
              </w:rPr>
              <w:t>United States - Onshore</w:t>
            </w:r>
          </w:p>
        </w:tc>
        <w:tc>
          <w:tcPr>
            <w:tcW w:w="1520" w:type="dxa"/>
            <w:vAlign w:val="bottom"/>
          </w:tcPr>
          <w:p>
            <w:pPr>
              <w:jc w:val="right"/>
              <w:spacing w:after="0"/>
              <w:rPr>
                <w:sz w:val="20"/>
                <w:szCs w:val="20"/>
                <w:color w:val="auto"/>
              </w:rPr>
            </w:pPr>
            <w:r>
              <w:rPr>
                <w:rFonts w:ascii="Arial" w:cs="Arial" w:eastAsia="Arial" w:hAnsi="Arial"/>
                <w:sz w:val="17"/>
                <w:szCs w:val="17"/>
                <w:b w:val="1"/>
                <w:bCs w:val="1"/>
                <w:color w:val="auto"/>
              </w:rPr>
              <w:t>16,974</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20,382</w:t>
            </w:r>
          </w:p>
        </w:tc>
      </w:tr>
      <w:tr>
        <w:trPr>
          <w:trHeight w:val="220"/>
        </w:trPr>
        <w:tc>
          <w:tcPr>
            <w:tcW w:w="20" w:type="dxa"/>
            <w:vAlign w:val="bottom"/>
            <w:shd w:val="clear" w:color="auto" w:fill="CCEEFF"/>
          </w:tcPr>
          <w:p>
            <w:pPr>
              <w:spacing w:after="0"/>
              <w:rPr>
                <w:sz w:val="19"/>
                <w:szCs w:val="19"/>
                <w:color w:val="auto"/>
              </w:rPr>
            </w:pPr>
          </w:p>
        </w:tc>
        <w:tc>
          <w:tcPr>
            <w:tcW w:w="8020" w:type="dxa"/>
            <w:vAlign w:val="bottom"/>
            <w:gridSpan w:val="2"/>
            <w:shd w:val="clear" w:color="auto" w:fill="CCEEFF"/>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54,133</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68,056</w:t>
            </w:r>
          </w:p>
        </w:tc>
      </w:tr>
      <w:tr>
        <w:trPr>
          <w:trHeight w:val="220"/>
        </w:trPr>
        <w:tc>
          <w:tcPr>
            <w:tcW w:w="20" w:type="dxa"/>
            <w:vAlign w:val="bottom"/>
          </w:tcPr>
          <w:p>
            <w:pPr>
              <w:spacing w:after="0"/>
              <w:rPr>
                <w:sz w:val="19"/>
                <w:szCs w:val="19"/>
                <w:color w:val="auto"/>
              </w:rPr>
            </w:pPr>
          </w:p>
        </w:tc>
        <w:tc>
          <w:tcPr>
            <w:tcW w:w="8020" w:type="dxa"/>
            <w:vAlign w:val="bottom"/>
            <w:gridSpan w:val="2"/>
          </w:tcPr>
          <w:p>
            <w:pPr>
              <w:ind w:left="420"/>
              <w:spacing w:after="0"/>
              <w:rPr>
                <w:sz w:val="20"/>
                <w:szCs w:val="20"/>
                <w:color w:val="auto"/>
              </w:rPr>
            </w:pPr>
            <w:r>
              <w:rPr>
                <w:rFonts w:ascii="Arial" w:cs="Arial" w:eastAsia="Arial" w:hAnsi="Arial"/>
                <w:sz w:val="17"/>
                <w:szCs w:val="17"/>
                <w:color w:val="auto"/>
              </w:rPr>
              <w:t>Canada - Onshore</w:t>
            </w:r>
          </w:p>
        </w:tc>
        <w:tc>
          <w:tcPr>
            <w:tcW w:w="1520" w:type="dxa"/>
            <w:vAlign w:val="bottom"/>
          </w:tcPr>
          <w:p>
            <w:pPr>
              <w:jc w:val="right"/>
              <w:spacing w:after="0"/>
              <w:rPr>
                <w:sz w:val="20"/>
                <w:szCs w:val="20"/>
                <w:color w:val="auto"/>
              </w:rPr>
            </w:pPr>
            <w:r>
              <w:rPr>
                <w:rFonts w:ascii="Arial" w:cs="Arial" w:eastAsia="Arial" w:hAnsi="Arial"/>
                <w:sz w:val="17"/>
                <w:szCs w:val="17"/>
                <w:b w:val="1"/>
                <w:bCs w:val="1"/>
                <w:color w:val="auto"/>
              </w:rPr>
              <w:t>2,584</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2,255</w:t>
            </w:r>
          </w:p>
        </w:tc>
      </w:tr>
      <w:tr>
        <w:trPr>
          <w:trHeight w:val="220"/>
        </w:trPr>
        <w:tc>
          <w:tcPr>
            <w:tcW w:w="20" w:type="dxa"/>
            <w:vAlign w:val="bottom"/>
            <w:shd w:val="clear" w:color="auto" w:fill="CCEEFF"/>
          </w:tcPr>
          <w:p>
            <w:pPr>
              <w:spacing w:after="0"/>
              <w:rPr>
                <w:sz w:val="19"/>
                <w:szCs w:val="19"/>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Canada - Offshore</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11,128</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w:t>
            </w:r>
          </w:p>
        </w:tc>
      </w:tr>
      <w:tr>
        <w:trPr>
          <w:trHeight w:val="220"/>
        </w:trPr>
        <w:tc>
          <w:tcPr>
            <w:tcW w:w="20" w:type="dxa"/>
            <w:vAlign w:val="bottom"/>
          </w:tcPr>
          <w:p>
            <w:pPr>
              <w:spacing w:after="0"/>
              <w:rPr>
                <w:sz w:val="19"/>
                <w:szCs w:val="19"/>
                <w:color w:val="auto"/>
              </w:rPr>
            </w:pPr>
          </w:p>
        </w:tc>
        <w:tc>
          <w:tcPr>
            <w:tcW w:w="8020" w:type="dxa"/>
            <w:vAlign w:val="bottom"/>
            <w:gridSpan w:val="2"/>
          </w:tcPr>
          <w:p>
            <w:pPr>
              <w:ind w:left="420"/>
              <w:spacing w:after="0"/>
              <w:rPr>
                <w:sz w:val="20"/>
                <w:szCs w:val="20"/>
                <w:color w:val="auto"/>
              </w:rPr>
            </w:pPr>
            <w:r>
              <w:rPr>
                <w:rFonts w:ascii="Arial" w:cs="Arial" w:eastAsia="Arial" w:hAnsi="Arial"/>
                <w:sz w:val="17"/>
                <w:szCs w:val="17"/>
                <w:color w:val="auto"/>
              </w:rPr>
              <w:t>Other</w:t>
            </w:r>
          </w:p>
        </w:tc>
        <w:tc>
          <w:tcPr>
            <w:tcW w:w="2120" w:type="dxa"/>
            <w:vAlign w:val="bottom"/>
            <w:gridSpan w:val="3"/>
          </w:tcPr>
          <w:p>
            <w:pPr>
              <w:jc w:val="right"/>
              <w:ind w:right="660"/>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802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Total net crude oil and condensate</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84,819</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97,704</w:t>
            </w:r>
          </w:p>
        </w:tc>
      </w:tr>
      <w:tr>
        <w:trPr>
          <w:trHeight w:val="200"/>
        </w:trPr>
        <w:tc>
          <w:tcPr>
            <w:tcW w:w="20" w:type="dxa"/>
            <w:vAlign w:val="bottom"/>
          </w:tcPr>
          <w:p>
            <w:pPr>
              <w:spacing w:after="0"/>
              <w:rPr>
                <w:sz w:val="17"/>
                <w:szCs w:val="17"/>
                <w:color w:val="auto"/>
              </w:rPr>
            </w:pPr>
          </w:p>
        </w:tc>
        <w:tc>
          <w:tcPr>
            <w:tcW w:w="8020" w:type="dxa"/>
            <w:vAlign w:val="bottom"/>
            <w:gridSpan w:val="2"/>
          </w:tcPr>
          <w:p>
            <w:pPr>
              <w:spacing w:after="0"/>
              <w:rPr>
                <w:sz w:val="20"/>
                <w:szCs w:val="20"/>
                <w:color w:val="auto"/>
              </w:rPr>
            </w:pPr>
            <w:r>
              <w:rPr>
                <w:rFonts w:ascii="Arial" w:cs="Arial" w:eastAsia="Arial" w:hAnsi="Arial"/>
                <w:sz w:val="17"/>
                <w:szCs w:val="17"/>
                <w:color w:val="auto"/>
              </w:rPr>
              <w:t>Net natural gas liquids</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0"/>
        </w:trPr>
        <w:tc>
          <w:tcPr>
            <w:tcW w:w="20" w:type="dxa"/>
            <w:vAlign w:val="bottom"/>
            <w:shd w:val="clear" w:color="auto" w:fill="CCEEFF"/>
          </w:tcPr>
          <w:p>
            <w:pPr>
              <w:spacing w:after="0"/>
              <w:rPr>
                <w:sz w:val="19"/>
                <w:szCs w:val="19"/>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United States - Onshore</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4,072</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4,166</w:t>
            </w:r>
          </w:p>
        </w:tc>
      </w:tr>
      <w:tr>
        <w:trPr>
          <w:trHeight w:val="220"/>
        </w:trPr>
        <w:tc>
          <w:tcPr>
            <w:tcW w:w="20" w:type="dxa"/>
            <w:vAlign w:val="bottom"/>
          </w:tcPr>
          <w:p>
            <w:pPr>
              <w:spacing w:after="0"/>
              <w:rPr>
                <w:sz w:val="19"/>
                <w:szCs w:val="19"/>
                <w:color w:val="auto"/>
              </w:rPr>
            </w:pPr>
          </w:p>
        </w:tc>
        <w:tc>
          <w:tcPr>
            <w:tcW w:w="8020" w:type="dxa"/>
            <w:vAlign w:val="bottom"/>
            <w:gridSpan w:val="2"/>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1520" w:type="dxa"/>
            <w:vAlign w:val="bottom"/>
          </w:tcPr>
          <w:p>
            <w:pPr>
              <w:jc w:val="right"/>
              <w:spacing w:after="0"/>
              <w:rPr>
                <w:sz w:val="20"/>
                <w:szCs w:val="20"/>
                <w:color w:val="auto"/>
              </w:rPr>
            </w:pPr>
            <w:r>
              <w:rPr>
                <w:rFonts w:ascii="Arial" w:cs="Arial" w:eastAsia="Arial" w:hAnsi="Arial"/>
                <w:sz w:val="17"/>
                <w:szCs w:val="17"/>
                <w:b w:val="1"/>
                <w:bCs w:val="1"/>
                <w:color w:val="auto"/>
              </w:rPr>
              <w:t>3,804</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4,687</w:t>
            </w:r>
          </w:p>
        </w:tc>
      </w:tr>
      <w:tr>
        <w:trPr>
          <w:trHeight w:val="220"/>
        </w:trPr>
        <w:tc>
          <w:tcPr>
            <w:tcW w:w="20" w:type="dxa"/>
            <w:vAlign w:val="bottom"/>
            <w:shd w:val="clear" w:color="auto" w:fill="CCEEFF"/>
          </w:tcPr>
          <w:p>
            <w:pPr>
              <w:spacing w:after="0"/>
              <w:rPr>
                <w:sz w:val="19"/>
                <w:szCs w:val="19"/>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Canada - Onshore</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538</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453</w:t>
            </w:r>
          </w:p>
        </w:tc>
      </w:tr>
      <w:tr>
        <w:trPr>
          <w:trHeight w:val="213"/>
        </w:trPr>
        <w:tc>
          <w:tcPr>
            <w:tcW w:w="20" w:type="dxa"/>
            <w:vAlign w:val="bottom"/>
            <w:tcBorders>
              <w:bottom w:val="single" w:sz="8" w:color="CCEEFF"/>
            </w:tcBorders>
          </w:tcPr>
          <w:p>
            <w:pPr>
              <w:spacing w:after="0"/>
              <w:rPr>
                <w:sz w:val="18"/>
                <w:szCs w:val="18"/>
                <w:color w:val="auto"/>
              </w:rPr>
            </w:pPr>
          </w:p>
        </w:tc>
        <w:tc>
          <w:tcPr>
            <w:tcW w:w="802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Total net natural gas liquids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8,414</w:t>
            </w:r>
          </w:p>
        </w:tc>
        <w:tc>
          <w:tcPr>
            <w:tcW w:w="1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9,306</w:t>
            </w:r>
          </w:p>
        </w:tc>
      </w:tr>
      <w:tr>
        <w:trPr>
          <w:trHeight w:val="200"/>
        </w:trPr>
        <w:tc>
          <w:tcPr>
            <w:tcW w:w="20" w:type="dxa"/>
            <w:vAlign w:val="bottom"/>
            <w:shd w:val="clear" w:color="auto" w:fill="CCEEFF"/>
          </w:tcPr>
          <w:p>
            <w:pPr>
              <w:spacing w:after="0"/>
              <w:rPr>
                <w:sz w:val="17"/>
                <w:szCs w:val="17"/>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natural gas – thousands of cubic feet per day</w:t>
            </w: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8020" w:type="dxa"/>
            <w:vAlign w:val="bottom"/>
            <w:gridSpan w:val="2"/>
          </w:tcPr>
          <w:p>
            <w:pPr>
              <w:ind w:left="420"/>
              <w:spacing w:after="0"/>
              <w:rPr>
                <w:sz w:val="20"/>
                <w:szCs w:val="20"/>
                <w:color w:val="auto"/>
              </w:rPr>
            </w:pPr>
            <w:r>
              <w:rPr>
                <w:rFonts w:ascii="Arial" w:cs="Arial" w:eastAsia="Arial" w:hAnsi="Arial"/>
                <w:sz w:val="17"/>
                <w:szCs w:val="17"/>
                <w:color w:val="auto"/>
              </w:rPr>
              <w:t>United States - Onshore</w:t>
            </w:r>
          </w:p>
        </w:tc>
        <w:tc>
          <w:tcPr>
            <w:tcW w:w="1520" w:type="dxa"/>
            <w:vAlign w:val="bottom"/>
          </w:tcPr>
          <w:p>
            <w:pPr>
              <w:jc w:val="right"/>
              <w:spacing w:after="0"/>
              <w:rPr>
                <w:sz w:val="20"/>
                <w:szCs w:val="20"/>
                <w:color w:val="auto"/>
              </w:rPr>
            </w:pPr>
            <w:r>
              <w:rPr>
                <w:rFonts w:ascii="Arial" w:cs="Arial" w:eastAsia="Arial" w:hAnsi="Arial"/>
                <w:sz w:val="17"/>
                <w:szCs w:val="17"/>
                <w:b w:val="1"/>
                <w:bCs w:val="1"/>
                <w:color w:val="auto"/>
              </w:rPr>
              <w:t>26,190</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24,231</w:t>
            </w:r>
          </w:p>
        </w:tc>
      </w:tr>
      <w:tr>
        <w:trPr>
          <w:trHeight w:val="220"/>
        </w:trPr>
        <w:tc>
          <w:tcPr>
            <w:tcW w:w="20" w:type="dxa"/>
            <w:vAlign w:val="bottom"/>
            <w:shd w:val="clear" w:color="auto" w:fill="CCEEFF"/>
          </w:tcPr>
          <w:p>
            <w:pPr>
              <w:spacing w:after="0"/>
              <w:rPr>
                <w:sz w:val="19"/>
                <w:szCs w:val="19"/>
                <w:color w:val="auto"/>
              </w:rPr>
            </w:pPr>
          </w:p>
        </w:tc>
        <w:tc>
          <w:tcPr>
            <w:tcW w:w="8020" w:type="dxa"/>
            <w:vAlign w:val="bottom"/>
            <w:gridSpan w:val="2"/>
            <w:shd w:val="clear" w:color="auto" w:fill="CCEEFF"/>
          </w:tcPr>
          <w:p>
            <w:pPr>
              <w:ind w:left="420"/>
              <w:spacing w:after="0" w:line="220" w:lineRule="exact"/>
              <w:rPr>
                <w:sz w:val="20"/>
                <w:szCs w:val="20"/>
                <w:color w:val="auto"/>
              </w:rPr>
            </w:pPr>
            <w:r>
              <w:rPr>
                <w:rFonts w:ascii="Arial" w:cs="Arial" w:eastAsia="Arial" w:hAnsi="Arial"/>
                <w:sz w:val="17"/>
                <w:szCs w:val="17"/>
                <w:color w:val="auto"/>
              </w:rPr>
              <w:t xml:space="preserve">United States - Offshore </w:t>
            </w:r>
            <w:r>
              <w:rPr>
                <w:rFonts w:ascii="Arial" w:cs="Arial" w:eastAsia="Arial" w:hAnsi="Arial"/>
                <w:sz w:val="22"/>
                <w:szCs w:val="22"/>
                <w:color w:val="auto"/>
                <w:vertAlign w:val="superscript"/>
              </w:rPr>
              <w:t>1</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51,150</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53,161</w:t>
            </w:r>
          </w:p>
        </w:tc>
      </w:tr>
      <w:tr>
        <w:trPr>
          <w:trHeight w:val="220"/>
        </w:trPr>
        <w:tc>
          <w:tcPr>
            <w:tcW w:w="20" w:type="dxa"/>
            <w:vAlign w:val="bottom"/>
            <w:tcBorders>
              <w:bottom w:val="single" w:sz="8" w:color="CCEEFF"/>
            </w:tcBorders>
          </w:tcPr>
          <w:p>
            <w:pPr>
              <w:spacing w:after="0"/>
              <w:rPr>
                <w:sz w:val="19"/>
                <w:szCs w:val="19"/>
                <w:color w:val="auto"/>
              </w:rPr>
            </w:pPr>
          </w:p>
        </w:tc>
        <w:tc>
          <w:tcPr>
            <w:tcW w:w="8020" w:type="dxa"/>
            <w:vAlign w:val="bottom"/>
            <w:tcBorders>
              <w:bottom w:val="single" w:sz="8" w:color="CCEEFF"/>
            </w:tcBorders>
            <w:gridSpan w:val="2"/>
          </w:tcPr>
          <w:p>
            <w:pPr>
              <w:ind w:left="420"/>
              <w:spacing w:after="0"/>
              <w:rPr>
                <w:sz w:val="20"/>
                <w:szCs w:val="20"/>
                <w:color w:val="auto"/>
              </w:rPr>
            </w:pPr>
            <w:r>
              <w:rPr>
                <w:rFonts w:ascii="Arial" w:cs="Arial" w:eastAsia="Arial" w:hAnsi="Arial"/>
                <w:sz w:val="17"/>
                <w:szCs w:val="17"/>
                <w:color w:val="auto"/>
              </w:rPr>
              <w:t>Canada - Onshore</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346,892</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355,455</w:t>
            </w:r>
          </w:p>
        </w:tc>
      </w:tr>
      <w:tr>
        <w:trPr>
          <w:trHeight w:val="213"/>
        </w:trPr>
        <w:tc>
          <w:tcPr>
            <w:tcW w:w="20" w:type="dxa"/>
            <w:vAlign w:val="bottom"/>
            <w:shd w:val="clear" w:color="auto" w:fill="CCEEFF"/>
          </w:tcPr>
          <w:p>
            <w:pPr>
              <w:spacing w:after="0"/>
              <w:rPr>
                <w:sz w:val="18"/>
                <w:szCs w:val="18"/>
                <w:color w:val="auto"/>
              </w:rPr>
            </w:pPr>
          </w:p>
        </w:tc>
        <w:tc>
          <w:tcPr>
            <w:tcW w:w="80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Total net natural gas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424,232</w:t>
            </w:r>
          </w:p>
        </w:tc>
        <w:tc>
          <w:tcPr>
            <w:tcW w:w="1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432,847</w:t>
            </w:r>
          </w:p>
        </w:tc>
      </w:tr>
      <w:tr>
        <w:trPr>
          <w:trHeight w:val="238"/>
        </w:trPr>
        <w:tc>
          <w:tcPr>
            <w:tcW w:w="20" w:type="dxa"/>
            <w:vAlign w:val="bottom"/>
            <w:tcBorders>
              <w:bottom w:val="single" w:sz="8" w:color="CCEEFF"/>
            </w:tcBorders>
          </w:tcPr>
          <w:p>
            <w:pPr>
              <w:spacing w:after="0"/>
              <w:rPr>
                <w:sz w:val="20"/>
                <w:szCs w:val="20"/>
                <w:color w:val="auto"/>
              </w:rPr>
            </w:pPr>
          </w:p>
        </w:tc>
        <w:tc>
          <w:tcPr>
            <w:tcW w:w="8020" w:type="dxa"/>
            <w:vAlign w:val="bottom"/>
            <w:tcBorders>
              <w:bottom w:val="single" w:sz="8" w:color="CCEEFF"/>
            </w:tcBorders>
            <w:gridSpan w:val="2"/>
          </w:tcPr>
          <w:p>
            <w:pPr>
              <w:spacing w:after="0" w:line="239" w:lineRule="exact"/>
              <w:rPr>
                <w:sz w:val="20"/>
                <w:szCs w:val="20"/>
                <w:color w:val="auto"/>
              </w:rPr>
            </w:pPr>
            <w:r>
              <w:rPr>
                <w:rFonts w:ascii="Arial" w:cs="Arial" w:eastAsia="Arial" w:hAnsi="Arial"/>
                <w:sz w:val="17"/>
                <w:szCs w:val="17"/>
                <w:b w:val="1"/>
                <w:bCs w:val="1"/>
                <w:color w:val="auto"/>
              </w:rPr>
              <w:t xml:space="preserve">Total net hydrocarbons - including NCI </w:t>
            </w:r>
            <w:r>
              <w:rPr>
                <w:rFonts w:ascii="Arial" w:cs="Arial" w:eastAsia="Arial" w:hAnsi="Arial"/>
                <w:sz w:val="22"/>
                <w:szCs w:val="22"/>
                <w:b w:val="1"/>
                <w:bCs w:val="1"/>
                <w:color w:val="auto"/>
                <w:vertAlign w:val="superscript"/>
              </w:rPr>
              <w:t>2,3</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163,938</w:t>
            </w:r>
          </w:p>
        </w:tc>
        <w:tc>
          <w:tcPr>
            <w:tcW w:w="1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179,151</w:t>
            </w:r>
          </w:p>
        </w:tc>
      </w:tr>
      <w:tr>
        <w:trPr>
          <w:trHeight w:val="200"/>
        </w:trPr>
        <w:tc>
          <w:tcPr>
            <w:tcW w:w="20" w:type="dxa"/>
            <w:vAlign w:val="bottom"/>
            <w:shd w:val="clear" w:color="auto" w:fill="CCEEFF"/>
          </w:tcPr>
          <w:p>
            <w:pPr>
              <w:spacing w:after="0"/>
              <w:rPr>
                <w:sz w:val="17"/>
                <w:szCs w:val="17"/>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Noncontrolling interest</w:t>
            </w: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8020" w:type="dxa"/>
            <w:vAlign w:val="bottom"/>
            <w:gridSpan w:val="2"/>
          </w:tcPr>
          <w:p>
            <w:pPr>
              <w:ind w:left="420"/>
              <w:spacing w:after="0"/>
              <w:rPr>
                <w:sz w:val="20"/>
                <w:szCs w:val="20"/>
                <w:color w:val="auto"/>
              </w:rPr>
            </w:pPr>
            <w:r>
              <w:rPr>
                <w:rFonts w:ascii="Arial" w:cs="Arial" w:eastAsia="Arial" w:hAnsi="Arial"/>
                <w:sz w:val="17"/>
                <w:szCs w:val="17"/>
                <w:color w:val="auto"/>
              </w:rPr>
              <w:t>Net crude oil and condensate – barrels per day</w:t>
            </w:r>
          </w:p>
        </w:tc>
        <w:tc>
          <w:tcPr>
            <w:tcW w:w="1520" w:type="dxa"/>
            <w:vAlign w:val="bottom"/>
          </w:tcPr>
          <w:p>
            <w:pPr>
              <w:jc w:val="right"/>
              <w:spacing w:after="0"/>
              <w:rPr>
                <w:sz w:val="20"/>
                <w:szCs w:val="20"/>
                <w:color w:val="auto"/>
              </w:rPr>
            </w:pPr>
            <w:r>
              <w:rPr>
                <w:rFonts w:ascii="Arial" w:cs="Arial" w:eastAsia="Arial" w:hAnsi="Arial"/>
                <w:sz w:val="17"/>
                <w:szCs w:val="17"/>
                <w:b w:val="1"/>
                <w:bCs w:val="1"/>
                <w:color w:val="auto"/>
              </w:rPr>
              <w:t>(5,567)</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(6,805)</w:t>
            </w:r>
          </w:p>
        </w:tc>
      </w:tr>
      <w:tr>
        <w:trPr>
          <w:trHeight w:val="220"/>
        </w:trPr>
        <w:tc>
          <w:tcPr>
            <w:tcW w:w="20" w:type="dxa"/>
            <w:vAlign w:val="bottom"/>
            <w:shd w:val="clear" w:color="auto" w:fill="CCEEFF"/>
          </w:tcPr>
          <w:p>
            <w:pPr>
              <w:spacing w:after="0"/>
              <w:rPr>
                <w:sz w:val="19"/>
                <w:szCs w:val="19"/>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Net natural gas liquids – barrels per day</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(170)</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w:t>
            </w:r>
          </w:p>
        </w:tc>
      </w:tr>
      <w:tr>
        <w:trPr>
          <w:trHeight w:val="258"/>
        </w:trPr>
        <w:tc>
          <w:tcPr>
            <w:tcW w:w="20" w:type="dxa"/>
            <w:vAlign w:val="bottom"/>
            <w:tcBorders>
              <w:bottom w:val="single" w:sz="8" w:color="CCEEFF"/>
            </w:tcBorders>
          </w:tcPr>
          <w:p>
            <w:pPr>
              <w:spacing w:after="0"/>
              <w:rPr>
                <w:sz w:val="22"/>
                <w:szCs w:val="22"/>
                <w:color w:val="auto"/>
              </w:rPr>
            </w:pPr>
          </w:p>
        </w:tc>
        <w:tc>
          <w:tcPr>
            <w:tcW w:w="8020" w:type="dxa"/>
            <w:vAlign w:val="bottom"/>
            <w:tcBorders>
              <w:bottom w:val="single" w:sz="8" w:color="CCEEFF"/>
            </w:tcBorders>
            <w:gridSpan w:val="2"/>
          </w:tcPr>
          <w:p>
            <w:pPr>
              <w:ind w:left="420"/>
              <w:spacing w:after="0"/>
              <w:rPr>
                <w:sz w:val="20"/>
                <w:szCs w:val="20"/>
                <w:color w:val="auto"/>
              </w:rPr>
            </w:pPr>
            <w:r>
              <w:rPr>
                <w:rFonts w:ascii="Arial" w:cs="Arial" w:eastAsia="Arial" w:hAnsi="Arial"/>
                <w:sz w:val="17"/>
                <w:szCs w:val="17"/>
                <w:color w:val="auto"/>
              </w:rPr>
              <w:t>Net natural gas – thousands of cubic feet per day</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(1,234)</w:t>
            </w:r>
          </w:p>
        </w:tc>
        <w:tc>
          <w:tcPr>
            <w:tcW w:w="16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(2,074)</w:t>
            </w:r>
          </w:p>
        </w:tc>
      </w:tr>
      <w:tr>
        <w:trPr>
          <w:trHeight w:val="213"/>
        </w:trPr>
        <w:tc>
          <w:tcPr>
            <w:tcW w:w="20" w:type="dxa"/>
            <w:vAlign w:val="bottom"/>
            <w:shd w:val="clear" w:color="auto" w:fill="CCEEFF"/>
          </w:tcPr>
          <w:p>
            <w:pPr>
              <w:spacing w:after="0"/>
              <w:rPr>
                <w:sz w:val="18"/>
                <w:szCs w:val="18"/>
                <w:color w:val="auto"/>
              </w:rPr>
            </w:pPr>
          </w:p>
        </w:tc>
        <w:tc>
          <w:tcPr>
            <w:tcW w:w="8020" w:type="dxa"/>
            <w:vAlign w:val="bottom"/>
            <w:gridSpan w:val="2"/>
            <w:shd w:val="clear" w:color="auto" w:fill="CCEEFF"/>
          </w:tcPr>
          <w:p>
            <w:pPr>
              <w:ind w:left="200"/>
              <w:spacing w:after="0" w:line="212" w:lineRule="exact"/>
              <w:rPr>
                <w:sz w:val="20"/>
                <w:szCs w:val="20"/>
                <w:color w:val="auto"/>
              </w:rPr>
            </w:pPr>
            <w:r>
              <w:rPr>
                <w:rFonts w:ascii="Arial" w:cs="Arial" w:eastAsia="Arial" w:hAnsi="Arial"/>
                <w:sz w:val="17"/>
                <w:szCs w:val="17"/>
                <w:color w:val="auto"/>
              </w:rPr>
              <w:t xml:space="preserve">Total noncontrolling interest </w:t>
            </w:r>
            <w:r>
              <w:rPr>
                <w:rFonts w:ascii="Arial" w:cs="Arial" w:eastAsia="Arial" w:hAnsi="Arial"/>
                <w:sz w:val="22"/>
                <w:szCs w:val="22"/>
                <w:color w:val="auto"/>
                <w:vertAlign w:val="superscript"/>
              </w:rPr>
              <w:t>2,3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(5,942)</w:t>
            </w:r>
          </w:p>
        </w:tc>
        <w:tc>
          <w:tcPr>
            <w:tcW w:w="1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(7,362)</w:t>
            </w:r>
          </w:p>
        </w:tc>
      </w:tr>
      <w:tr>
        <w:trPr>
          <w:trHeight w:val="238"/>
        </w:trPr>
        <w:tc>
          <w:tcPr>
            <w:tcW w:w="20" w:type="dxa"/>
            <w:vAlign w:val="bottom"/>
          </w:tcPr>
          <w:p>
            <w:pPr>
              <w:spacing w:after="0"/>
              <w:rPr>
                <w:sz w:val="20"/>
                <w:szCs w:val="20"/>
                <w:color w:val="auto"/>
              </w:rPr>
            </w:pPr>
          </w:p>
        </w:tc>
        <w:tc>
          <w:tcPr>
            <w:tcW w:w="8020" w:type="dxa"/>
            <w:vAlign w:val="bottom"/>
            <w:gridSpan w:val="2"/>
          </w:tcPr>
          <w:p>
            <w:pPr>
              <w:spacing w:after="0" w:line="239" w:lineRule="exact"/>
              <w:rPr>
                <w:sz w:val="20"/>
                <w:szCs w:val="20"/>
                <w:color w:val="auto"/>
              </w:rPr>
            </w:pPr>
            <w:r>
              <w:rPr>
                <w:rFonts w:ascii="Arial" w:cs="Arial" w:eastAsia="Arial" w:hAnsi="Arial"/>
                <w:sz w:val="17"/>
                <w:szCs w:val="17"/>
                <w:b w:val="1"/>
                <w:bCs w:val="1"/>
                <w:color w:val="auto"/>
              </w:rPr>
              <w:t xml:space="preserve">Total net hydrocarbons - excluding NCI </w:t>
            </w:r>
            <w:r>
              <w:rPr>
                <w:rFonts w:ascii="Arial" w:cs="Arial" w:eastAsia="Arial" w:hAnsi="Arial"/>
                <w:sz w:val="22"/>
                <w:szCs w:val="22"/>
                <w:b w:val="1"/>
                <w:bCs w:val="1"/>
                <w:color w:val="auto"/>
                <w:vertAlign w:val="superscript"/>
              </w:rPr>
              <w:t>2,3</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157,996</w:t>
            </w:r>
          </w:p>
        </w:tc>
        <w:tc>
          <w:tcPr>
            <w:tcW w:w="1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171,789</w:t>
            </w:r>
          </w:p>
        </w:tc>
      </w:tr>
    </w:tbl>
    <w:p>
      <w:pPr>
        <w:spacing w:after="0" w:line="143" w:lineRule="exact"/>
        <w:rPr>
          <w:sz w:val="20"/>
          <w:szCs w:val="20"/>
          <w:color w:val="auto"/>
        </w:rPr>
      </w:pPr>
    </w:p>
    <w:p>
      <w:pPr>
        <w:ind w:left="100" w:hanging="97"/>
        <w:spacing w:after="0"/>
        <w:tabs>
          <w:tab w:leader="none" w:pos="100" w:val="left"/>
        </w:tabs>
        <w:numPr>
          <w:ilvl w:val="0"/>
          <w:numId w:val="18"/>
        </w:numPr>
        <w:rPr>
          <w:rFonts w:ascii="Arial" w:cs="Arial" w:eastAsia="Arial" w:hAnsi="Arial"/>
          <w:sz w:val="20"/>
          <w:szCs w:val="20"/>
          <w:color w:val="auto"/>
          <w:vertAlign w:val="superscript"/>
        </w:rPr>
      </w:pPr>
      <w:r>
        <w:rPr>
          <w:rFonts w:ascii="Arial" w:cs="Arial" w:eastAsia="Arial" w:hAnsi="Arial"/>
          <w:sz w:val="16"/>
          <w:szCs w:val="16"/>
          <w:color w:val="auto"/>
        </w:rPr>
        <w:t>Includes net volumes attributable to a noncontrolling interest in MP GOM.</w:t>
      </w:r>
    </w:p>
    <w:p>
      <w:pPr>
        <w:spacing w:after="0" w:line="29" w:lineRule="exact"/>
        <w:rPr>
          <w:rFonts w:ascii="Arial" w:cs="Arial" w:eastAsia="Arial" w:hAnsi="Arial"/>
          <w:sz w:val="20"/>
          <w:szCs w:val="20"/>
          <w:color w:val="auto"/>
          <w:vertAlign w:val="superscript"/>
        </w:rPr>
      </w:pPr>
    </w:p>
    <w:p>
      <w:pPr>
        <w:ind w:right="7040" w:hanging="6"/>
        <w:spacing w:after="0" w:line="257" w:lineRule="auto"/>
        <w:rPr>
          <w:rFonts w:ascii="Arial" w:cs="Arial" w:eastAsia="Arial" w:hAnsi="Arial"/>
          <w:sz w:val="20"/>
          <w:szCs w:val="20"/>
          <w:color w:val="auto"/>
          <w:vertAlign w:val="superscript"/>
        </w:rPr>
      </w:pPr>
      <w:r>
        <w:rPr>
          <w:rFonts w:ascii="Arial" w:cs="Arial" w:eastAsia="Arial" w:hAnsi="Arial"/>
          <w:sz w:val="20"/>
          <w:szCs w:val="20"/>
          <w:color w:val="auto"/>
          <w:vertAlign w:val="superscript"/>
        </w:rPr>
        <w:t>2</w:t>
      </w:r>
      <w:r>
        <w:rPr>
          <w:rFonts w:ascii="Arial" w:cs="Arial" w:eastAsia="Arial" w:hAnsi="Arial"/>
          <w:sz w:val="16"/>
          <w:szCs w:val="16"/>
          <w:color w:val="auto"/>
        </w:rPr>
        <w:t xml:space="preserve"> Natural gas converted on an energy equivalent basis of 6:1. </w:t>
      </w:r>
      <w:r>
        <w:rPr>
          <w:rFonts w:ascii="Arial" w:cs="Arial" w:eastAsia="Arial" w:hAnsi="Arial"/>
          <w:sz w:val="20"/>
          <w:szCs w:val="20"/>
          <w:color w:val="auto"/>
          <w:vertAlign w:val="superscript"/>
        </w:rPr>
        <w:t>3</w:t>
      </w:r>
      <w:r>
        <w:rPr>
          <w:rFonts w:ascii="Arial" w:cs="Arial" w:eastAsia="Arial" w:hAnsi="Arial"/>
          <w:sz w:val="16"/>
          <w:szCs w:val="16"/>
          <w:color w:val="auto"/>
        </w:rPr>
        <w:t xml:space="preserve"> NCI – noncontrolling interest in MP GOM.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(Continued)</w:t>
      </w:r>
    </w:p>
    <w:p>
      <w:pPr>
        <w:spacing w:after="0" w:line="200" w:lineRule="exact"/>
        <w:rPr>
          <w:sz w:val="20"/>
          <w:szCs w:val="20"/>
          <w:color w:val="auto"/>
        </w:rPr>
      </w:pPr>
    </w:p>
    <w:p>
      <w:pPr>
        <w:spacing w:after="0" w:line="382" w:lineRule="exact"/>
        <w:rPr>
          <w:sz w:val="20"/>
          <w:szCs w:val="20"/>
          <w:color w:val="auto"/>
        </w:rPr>
      </w:pPr>
    </w:p>
    <w:p>
      <w:pPr>
        <w:ind w:right="400"/>
        <w:spacing w:after="0" w:line="291" w:lineRule="auto"/>
        <w:rPr>
          <w:sz w:val="20"/>
          <w:szCs w:val="20"/>
          <w:color w:val="auto"/>
        </w:rPr>
      </w:pPr>
      <w:r>
        <w:rPr>
          <w:rFonts w:ascii="Arial" w:cs="Arial" w:eastAsia="Arial" w:hAnsi="Arial"/>
          <w:sz w:val="17"/>
          <w:szCs w:val="17"/>
          <w:color w:val="auto"/>
        </w:rPr>
        <w:t>The following discussion of E&amp;P continuing operations includes amounts attributable to a noncontrolling interest in MP GOM and excludes the Corporate segment unless otherwise noted.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20" w:type="dxa"/>
            <w:vAlign w:val="bottom"/>
            <w:gridSpan w:val="4"/>
          </w:tcPr>
          <w:p>
            <w:pPr>
              <w:spacing w:after="0"/>
              <w:rPr>
                <w:sz w:val="20"/>
                <w:szCs w:val="20"/>
                <w:color w:val="auto"/>
              </w:rPr>
            </w:pPr>
            <w:r>
              <w:rPr>
                <w:rFonts w:ascii="Arial" w:cs="Arial" w:eastAsia="Arial" w:hAnsi="Arial"/>
                <w:sz w:val="17"/>
                <w:szCs w:val="17"/>
                <w:color w:val="auto"/>
              </w:rPr>
              <w:t>Revenues from Production</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31"/>
        </w:trPr>
        <w:tc>
          <w:tcPr>
            <w:tcW w:w="8020" w:type="dxa"/>
            <w:vAlign w:val="bottom"/>
            <w:gridSpan w:val="4"/>
          </w:tcPr>
          <w:p>
            <w:pPr>
              <w:spacing w:after="0"/>
              <w:rPr>
                <w:sz w:val="20"/>
                <w:szCs w:val="20"/>
                <w:color w:val="auto"/>
              </w:rPr>
            </w:pPr>
            <w:r>
              <w:rPr>
                <w:rFonts w:ascii="Arial" w:cs="Arial" w:eastAsia="Arial" w:hAnsi="Arial"/>
                <w:sz w:val="17"/>
                <w:szCs w:val="17"/>
                <w:color w:val="auto"/>
              </w:rPr>
              <w:t>The Company’s production revenues by country and product were as follows: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95"/>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20" w:type="dxa"/>
            <w:vAlign w:val="bottom"/>
            <w:gridSpan w:val="4"/>
          </w:tcPr>
          <w:p>
            <w:pPr>
              <w:jc w:val="right"/>
              <w:ind w:right="654"/>
              <w:spacing w:after="0"/>
              <w:rPr>
                <w:sz w:val="20"/>
                <w:szCs w:val="20"/>
                <w:color w:val="auto"/>
              </w:rPr>
            </w:pPr>
            <w:r>
              <w:rPr>
                <w:rFonts w:ascii="Arial" w:cs="Arial" w:eastAsia="Arial" w:hAnsi="Arial"/>
                <w:sz w:val="17"/>
                <w:szCs w:val="17"/>
                <w:b w:val="1"/>
                <w:bCs w:val="1"/>
                <w:color w:val="auto"/>
              </w:rPr>
              <w:t>Three Months Ended</w:t>
            </w:r>
          </w:p>
        </w:tc>
      </w:tr>
      <w:tr>
        <w:trPr>
          <w:trHeight w:val="233"/>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7"/>
                <w:szCs w:val="17"/>
                <w:b w:val="1"/>
                <w:bCs w:val="1"/>
                <w:color w:val="auto"/>
              </w:rPr>
              <w:t>March 31,</w:t>
            </w:r>
          </w:p>
        </w:tc>
        <w:tc>
          <w:tcPr>
            <w:tcW w:w="1080" w:type="dxa"/>
            <w:vAlign w:val="bottom"/>
            <w:tcBorders>
              <w:bottom w:val="single" w:sz="8" w:color="auto"/>
            </w:tcBorders>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8000" w:type="dxa"/>
            <w:vAlign w:val="bottom"/>
            <w:gridSpan w:val="3"/>
          </w:tcPr>
          <w:p>
            <w:pPr>
              <w:spacing w:after="0" w:line="174" w:lineRule="exact"/>
              <w:rPr>
                <w:sz w:val="20"/>
                <w:szCs w:val="20"/>
                <w:color w:val="auto"/>
              </w:rPr>
            </w:pPr>
            <w:r>
              <w:rPr>
                <w:rFonts w:ascii="Arial" w:cs="Arial" w:eastAsia="Arial" w:hAnsi="Arial"/>
                <w:sz w:val="17"/>
                <w:szCs w:val="17"/>
                <w:i w:val="1"/>
                <w:iCs w:val="1"/>
                <w:color w:val="auto"/>
              </w:rPr>
              <w:t>(Millions of dollars)</w:t>
            </w:r>
          </w:p>
        </w:tc>
        <w:tc>
          <w:tcPr>
            <w:tcW w:w="360" w:type="dxa"/>
            <w:vAlign w:val="bottom"/>
          </w:tcPr>
          <w:p>
            <w:pPr>
              <w:spacing w:after="0"/>
              <w:rPr>
                <w:sz w:val="15"/>
                <w:szCs w:val="15"/>
                <w:color w:val="auto"/>
              </w:rPr>
            </w:pPr>
          </w:p>
        </w:tc>
        <w:tc>
          <w:tcPr>
            <w:tcW w:w="1180" w:type="dxa"/>
            <w:vAlign w:val="bottom"/>
          </w:tcPr>
          <w:p>
            <w:pPr>
              <w:jc w:val="right"/>
              <w:ind w:right="494"/>
              <w:spacing w:after="0" w:line="174" w:lineRule="exact"/>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jc w:val="right"/>
              <w:ind w:right="494"/>
              <w:spacing w:after="0" w:line="174" w:lineRule="exact"/>
              <w:rPr>
                <w:sz w:val="20"/>
                <w:szCs w:val="20"/>
                <w:color w:val="auto"/>
              </w:rPr>
            </w:pPr>
            <w:r>
              <w:rPr>
                <w:rFonts w:ascii="Arial" w:cs="Arial" w:eastAsia="Arial" w:hAnsi="Arial"/>
                <w:sz w:val="17"/>
                <w:szCs w:val="17"/>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80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Revenues from production</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8000" w:type="dxa"/>
            <w:vAlign w:val="bottom"/>
            <w:gridSpan w:val="3"/>
          </w:tcPr>
          <w:p>
            <w:pPr>
              <w:ind w:left="100"/>
              <w:spacing w:after="0"/>
              <w:rPr>
                <w:sz w:val="20"/>
                <w:szCs w:val="20"/>
                <w:color w:val="auto"/>
              </w:rPr>
            </w:pPr>
            <w:r>
              <w:rPr>
                <w:rFonts w:ascii="Arial" w:cs="Arial" w:eastAsia="Arial" w:hAnsi="Arial"/>
                <w:sz w:val="17"/>
                <w:szCs w:val="17"/>
                <w:color w:val="auto"/>
              </w:rPr>
              <w:t>United States - Oil</w:t>
            </w:r>
          </w:p>
        </w:tc>
        <w:tc>
          <w:tcPr>
            <w:tcW w:w="36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461.8</w:t>
            </w:r>
          </w:p>
        </w:tc>
        <w:tc>
          <w:tcPr>
            <w:tcW w:w="100" w:type="dxa"/>
            <w:vAlign w:val="bottom"/>
          </w:tcPr>
          <w:p>
            <w:pPr>
              <w:spacing w:after="0"/>
              <w:rPr>
                <w:sz w:val="19"/>
                <w:szCs w:val="19"/>
                <w:color w:val="auto"/>
              </w:rPr>
            </w:pP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623.0</w:t>
            </w:r>
          </w:p>
        </w:tc>
      </w:tr>
      <w:tr>
        <w:trPr>
          <w:trHeight w:val="220"/>
        </w:trPr>
        <w:tc>
          <w:tcPr>
            <w:tcW w:w="20" w:type="dxa"/>
            <w:vAlign w:val="bottom"/>
            <w:shd w:val="clear" w:color="auto" w:fill="CCEEFF"/>
          </w:tcPr>
          <w:p>
            <w:pPr>
              <w:spacing w:after="0"/>
              <w:rPr>
                <w:sz w:val="19"/>
                <w:szCs w:val="19"/>
                <w:color w:val="auto"/>
              </w:rPr>
            </w:pPr>
          </w:p>
        </w:tc>
        <w:tc>
          <w:tcPr>
            <w:tcW w:w="800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United States - Natural gas liquids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r>
      <w:tr>
        <w:trPr>
          <w:trHeight w:val="220"/>
        </w:trPr>
        <w:tc>
          <w:tcPr>
            <w:tcW w:w="20" w:type="dxa"/>
            <w:vAlign w:val="bottom"/>
          </w:tcPr>
          <w:p>
            <w:pPr>
              <w:spacing w:after="0"/>
              <w:rPr>
                <w:sz w:val="19"/>
                <w:szCs w:val="19"/>
                <w:color w:val="auto"/>
              </w:rPr>
            </w:pPr>
          </w:p>
        </w:tc>
        <w:tc>
          <w:tcPr>
            <w:tcW w:w="8000" w:type="dxa"/>
            <w:vAlign w:val="bottom"/>
            <w:gridSpan w:val="3"/>
          </w:tcPr>
          <w:p>
            <w:pPr>
              <w:ind w:left="100"/>
              <w:spacing w:after="0"/>
              <w:rPr>
                <w:sz w:val="20"/>
                <w:szCs w:val="20"/>
                <w:color w:val="auto"/>
              </w:rPr>
            </w:pPr>
            <w:r>
              <w:rPr>
                <w:rFonts w:ascii="Arial" w:cs="Arial" w:eastAsia="Arial" w:hAnsi="Arial"/>
                <w:sz w:val="17"/>
                <w:szCs w:val="17"/>
                <w:color w:val="auto"/>
              </w:rPr>
              <w:t>United States - Natural gas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27.9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17.2</w:t>
            </w:r>
          </w:p>
        </w:tc>
      </w:tr>
      <w:tr>
        <w:trPr>
          <w:trHeight w:val="220"/>
        </w:trPr>
        <w:tc>
          <w:tcPr>
            <w:tcW w:w="20" w:type="dxa"/>
            <w:vAlign w:val="bottom"/>
            <w:shd w:val="clear" w:color="auto" w:fill="CCEEFF"/>
          </w:tcPr>
          <w:p>
            <w:pPr>
              <w:spacing w:after="0"/>
              <w:rPr>
                <w:sz w:val="19"/>
                <w:szCs w:val="19"/>
                <w:color w:val="auto"/>
              </w:rPr>
            </w:pPr>
          </w:p>
        </w:tc>
        <w:tc>
          <w:tcPr>
            <w:tcW w:w="800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Canada - Oil</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89.2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68.6</w:t>
            </w:r>
          </w:p>
        </w:tc>
      </w:tr>
      <w:tr>
        <w:trPr>
          <w:trHeight w:val="220"/>
        </w:trPr>
        <w:tc>
          <w:tcPr>
            <w:tcW w:w="20" w:type="dxa"/>
            <w:vAlign w:val="bottom"/>
          </w:tcPr>
          <w:p>
            <w:pPr>
              <w:spacing w:after="0"/>
              <w:rPr>
                <w:sz w:val="19"/>
                <w:szCs w:val="19"/>
                <w:color w:val="auto"/>
              </w:rPr>
            </w:pPr>
          </w:p>
        </w:tc>
        <w:tc>
          <w:tcPr>
            <w:tcW w:w="8000" w:type="dxa"/>
            <w:vAlign w:val="bottom"/>
            <w:gridSpan w:val="3"/>
          </w:tcPr>
          <w:p>
            <w:pPr>
              <w:ind w:left="100"/>
              <w:spacing w:after="0"/>
              <w:rPr>
                <w:sz w:val="20"/>
                <w:szCs w:val="20"/>
                <w:color w:val="auto"/>
              </w:rPr>
            </w:pPr>
            <w:r>
              <w:rPr>
                <w:rFonts w:ascii="Arial" w:cs="Arial" w:eastAsia="Arial" w:hAnsi="Arial"/>
                <w:sz w:val="17"/>
                <w:szCs w:val="17"/>
                <w:color w:val="auto"/>
              </w:rPr>
              <w:t>Canada - Natural gas liquids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20"/>
        </w:trPr>
        <w:tc>
          <w:tcPr>
            <w:tcW w:w="20" w:type="dxa"/>
            <w:vAlign w:val="bottom"/>
            <w:shd w:val="clear" w:color="auto" w:fill="CCEEFF"/>
          </w:tcPr>
          <w:p>
            <w:pPr>
              <w:spacing w:after="0"/>
              <w:rPr>
                <w:sz w:val="19"/>
                <w:szCs w:val="19"/>
                <w:color w:val="auto"/>
              </w:rPr>
            </w:pPr>
          </w:p>
        </w:tc>
        <w:tc>
          <w:tcPr>
            <w:tcW w:w="800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Canada - Natural gas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74.3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66.3</w:t>
            </w:r>
          </w:p>
        </w:tc>
      </w:tr>
      <w:tr>
        <w:trPr>
          <w:trHeight w:val="220"/>
        </w:trPr>
        <w:tc>
          <w:tcPr>
            <w:tcW w:w="20" w:type="dxa"/>
            <w:vAlign w:val="bottom"/>
          </w:tcPr>
          <w:p>
            <w:pPr>
              <w:spacing w:after="0"/>
              <w:rPr>
                <w:sz w:val="19"/>
                <w:szCs w:val="19"/>
                <w:color w:val="auto"/>
              </w:rPr>
            </w:pPr>
          </w:p>
        </w:tc>
        <w:tc>
          <w:tcPr>
            <w:tcW w:w="8000" w:type="dxa"/>
            <w:vAlign w:val="bottom"/>
            <w:gridSpan w:val="3"/>
          </w:tcPr>
          <w:p>
            <w:pPr>
              <w:ind w:left="100"/>
              <w:spacing w:after="0"/>
              <w:rPr>
                <w:sz w:val="20"/>
                <w:szCs w:val="20"/>
                <w:color w:val="auto"/>
              </w:rPr>
            </w:pPr>
            <w:r>
              <w:rPr>
                <w:rFonts w:ascii="Arial" w:cs="Arial" w:eastAsia="Arial" w:hAnsi="Arial"/>
                <w:sz w:val="17"/>
                <w:szCs w:val="17"/>
                <w:color w:val="auto"/>
              </w:rPr>
              <w:t>Other - Oil</w:t>
            </w:r>
          </w:p>
        </w:tc>
        <w:tc>
          <w:tcPr>
            <w:tcW w:w="3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(0.1)</w:t>
            </w: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0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7"/>
                <w:szCs w:val="17"/>
                <w:color w:val="auto"/>
              </w:rPr>
              <w:t>Total revenue from production</w:t>
            </w:r>
          </w:p>
        </w:tc>
        <w:tc>
          <w:tcPr>
            <w:tcW w:w="36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672.7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794.6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Revenues from production for the three months ended March 31, 2025 decreased by $121.9 million compared to the same period in 2024. Revenue was lower in the Gulf of America, mostly driven by workover and turnaround-related downtime, well performance, and lower sales volumes at Cascade and Chinook fields as a result of the timing of sales cargos, partially offset by new well production at the Mormont field. Lower crude oil pricing was partially offset by higher natural gas pricing in the Gulf of America. Eagle Ford Shale revenues decreased due to natural decline, as well as lower crude oil prices. Revenues in Canada Offshore increased due to higher sales volumes at non-operated Terra Nova as a result of lower production in the first quarter of 2024 with production build-up after the completion of the asset life extension project, lower crude oil pricing, and the timing of sales cargos in 2025. Canada Onshore revenues increased due to higher pricing on natural gas at Tupper Montney and additional new well production volumes, partially offset by higher royalty rates.</w:t>
      </w:r>
    </w:p>
    <w:p>
      <w:pPr>
        <w:spacing w:after="0" w:line="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Natural gas is purchased and subsequently sold to third parties in order to provide operational flexibility and cost mitigation for transportation commitments. “Sales of purchased natural gas” is included in “Total revenues and other income” and “Cost of purchased natural gas” is included in “Costs and Expenses” in the summarized statement of operations for E&amp;P continuing operations on page </w:t>
      </w:r>
      <w:r>
        <w:rPr>
          <w:rFonts w:ascii="Arial" w:cs="Arial" w:eastAsia="Arial" w:hAnsi="Arial"/>
          <w:sz w:val="17"/>
          <w:szCs w:val="17"/>
          <w:u w:val="single" w:color="auto"/>
          <w:color w:val="0000FF"/>
        </w:rPr>
        <w:t>25</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226" w:right="37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(Continued)</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Lease Operating and Transportation, Gathering and Processing Expenses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Company’s total lease operating expenses and transportation, gathering and processing expenses by geographic area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40" w:type="dxa"/>
            <w:vAlign w:val="bottom"/>
            <w:gridSpan w:val="6"/>
          </w:tcPr>
          <w:p>
            <w:pPr>
              <w:ind w:left="720"/>
              <w:spacing w:after="0"/>
              <w:rPr>
                <w:sz w:val="20"/>
                <w:szCs w:val="20"/>
                <w:color w:val="auto"/>
              </w:rPr>
            </w:pPr>
            <w:r>
              <w:rPr>
                <w:rFonts w:ascii="Arial" w:cs="Arial" w:eastAsia="Arial" w:hAnsi="Arial"/>
                <w:sz w:val="17"/>
                <w:szCs w:val="17"/>
                <w:b w:val="1"/>
                <w:bCs w:val="1"/>
                <w:color w:val="auto"/>
              </w:rPr>
              <w:t>Three Months Ended</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8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March 31,</w:t>
            </w: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880" w:type="dxa"/>
            <w:vAlign w:val="bottom"/>
          </w:tcPr>
          <w:p>
            <w:pPr>
              <w:spacing w:after="0"/>
              <w:rPr>
                <w:sz w:val="17"/>
                <w:szCs w:val="17"/>
                <w:color w:val="auto"/>
              </w:rPr>
            </w:pPr>
          </w:p>
        </w:tc>
        <w:tc>
          <w:tcPr>
            <w:tcW w:w="2600" w:type="dxa"/>
            <w:vAlign w:val="bottom"/>
            <w:gridSpan w:val="4"/>
          </w:tcPr>
          <w:p>
            <w:pPr>
              <w:jc w:val="right"/>
              <w:ind w:right="234"/>
              <w:spacing w:after="0"/>
              <w:rPr>
                <w:sz w:val="20"/>
                <w:szCs w:val="20"/>
                <w:color w:val="auto"/>
              </w:rPr>
            </w:pPr>
            <w:r>
              <w:rPr>
                <w:rFonts w:ascii="Arial" w:cs="Arial" w:eastAsia="Arial" w:hAnsi="Arial"/>
                <w:sz w:val="17"/>
                <w:szCs w:val="17"/>
                <w:i w:val="1"/>
                <w:iCs w:val="1"/>
                <w:color w:val="auto"/>
              </w:rPr>
              <w:t>(Millions of dollars)</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740" w:type="dxa"/>
            <w:vAlign w:val="bottom"/>
            <w:gridSpan w:val="4"/>
          </w:tcPr>
          <w:p>
            <w:pPr>
              <w:jc w:val="right"/>
              <w:ind w:right="354"/>
              <w:spacing w:after="0"/>
              <w:rPr>
                <w:sz w:val="20"/>
                <w:szCs w:val="20"/>
                <w:color w:val="auto"/>
              </w:rPr>
            </w:pPr>
            <w:r>
              <w:rPr>
                <w:rFonts w:ascii="Arial" w:cs="Arial" w:eastAsia="Arial" w:hAnsi="Arial"/>
                <w:sz w:val="17"/>
                <w:szCs w:val="17"/>
                <w:i w:val="1"/>
                <w:iCs w:val="1"/>
                <w:color w:val="auto"/>
              </w:rPr>
              <w:t>(Dollars per equivalent barrel)</w:t>
            </w:r>
          </w:p>
        </w:tc>
        <w:tc>
          <w:tcPr>
            <w:tcW w:w="0" w:type="dxa"/>
            <w:vAlign w:val="bottom"/>
          </w:tcPr>
          <w:p>
            <w:pPr>
              <w:spacing w:after="0"/>
              <w:rPr>
                <w:sz w:val="1"/>
                <w:szCs w:val="1"/>
                <w:color w:val="auto"/>
              </w:rPr>
            </w:pPr>
          </w:p>
        </w:tc>
      </w:tr>
      <w:tr>
        <w:trPr>
          <w:trHeight w:val="226"/>
        </w:trPr>
        <w:tc>
          <w:tcPr>
            <w:tcW w:w="48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2025</w:t>
            </w: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2024</w:t>
            </w: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rPr>
              <w:t>2024</w:t>
            </w:r>
          </w:p>
        </w:tc>
        <w:tc>
          <w:tcPr>
            <w:tcW w:w="0" w:type="dxa"/>
            <w:vAlign w:val="bottom"/>
          </w:tcPr>
          <w:p>
            <w:pPr>
              <w:spacing w:after="0"/>
              <w:rPr>
                <w:sz w:val="1"/>
                <w:szCs w:val="1"/>
                <w:color w:val="auto"/>
              </w:rPr>
            </w:pPr>
          </w:p>
        </w:tc>
      </w:tr>
      <w:tr>
        <w:trPr>
          <w:trHeight w:val="200"/>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 operating expenses</w:t>
            </w: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Arial" w:cs="Arial" w:eastAsia="Arial" w:hAnsi="Arial"/>
                <w:sz w:val="17"/>
                <w:szCs w:val="17"/>
                <w:color w:val="auto"/>
              </w:rPr>
              <w:t>United States - Onshore</w:t>
            </w:r>
          </w:p>
        </w:tc>
        <w:tc>
          <w:tcPr>
            <w:tcW w:w="980" w:type="dxa"/>
            <w:vAlign w:val="bottom"/>
          </w:tcPr>
          <w:p>
            <w:pPr>
              <w:jc w:val="right"/>
              <w:ind w:right="794"/>
              <w:spacing w:after="0"/>
              <w:rPr>
                <w:sz w:val="20"/>
                <w:szCs w:val="20"/>
                <w:color w:val="auto"/>
              </w:rPr>
            </w:pPr>
            <w:r>
              <w:rPr>
                <w:rFonts w:ascii="Arial" w:cs="Arial" w:eastAsia="Arial" w:hAnsi="Arial"/>
                <w:sz w:val="17"/>
                <w:szCs w:val="17"/>
                <w:b w:val="1"/>
                <w:bCs w:val="1"/>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29.8</w:t>
            </w:r>
          </w:p>
        </w:tc>
        <w:tc>
          <w:tcPr>
            <w:tcW w:w="80" w:type="dxa"/>
            <w:vAlign w:val="bottom"/>
          </w:tcPr>
          <w:p>
            <w:pPr>
              <w:spacing w:after="0"/>
              <w:rPr>
                <w:sz w:val="19"/>
                <w:szCs w:val="19"/>
                <w:color w:val="auto"/>
              </w:rPr>
            </w:pPr>
          </w:p>
        </w:tc>
        <w:tc>
          <w:tcPr>
            <w:tcW w:w="1000" w:type="dxa"/>
            <w:vAlign w:val="bottom"/>
          </w:tcPr>
          <w:p>
            <w:pPr>
              <w:jc w:val="right"/>
              <w:ind w:right="794"/>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35.6</w:t>
            </w:r>
          </w:p>
        </w:tc>
        <w:tc>
          <w:tcPr>
            <w:tcW w:w="8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Arial" w:cs="Arial" w:eastAsia="Arial" w:hAnsi="Arial"/>
                <w:sz w:val="17"/>
                <w:szCs w:val="17"/>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13.02</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13.68</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United States - Offshore</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127.8</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20.34</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Arial" w:cs="Arial" w:eastAsia="Arial" w:hAnsi="Arial"/>
                <w:sz w:val="17"/>
                <w:szCs w:val="17"/>
                <w:color w:val="auto"/>
              </w:rPr>
              <w:t>Canada - Onshore</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30.2</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31.0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5.51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5.49</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Canada - Offshore</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16.9</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25.91</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Arial" w:cs="Arial" w:eastAsia="Arial" w:hAnsi="Arial"/>
                <w:sz w:val="17"/>
                <w:szCs w:val="17"/>
                <w:color w:val="auto"/>
              </w:rPr>
              <w:t>Other</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0.4</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0.2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48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lease operating expenses</w:t>
            </w:r>
          </w:p>
        </w:tc>
        <w:tc>
          <w:tcPr>
            <w:tcW w:w="980" w:type="dxa"/>
            <w:vAlign w:val="bottom"/>
            <w:tcBorders>
              <w:top w:val="single" w:sz="8" w:color="auto"/>
              <w:bottom w:val="single" w:sz="8" w:color="auto"/>
            </w:tcBorders>
            <w:shd w:val="clear" w:color="auto" w:fill="CCEEFF"/>
          </w:tcPr>
          <w:p>
            <w:pPr>
              <w:jc w:val="right"/>
              <w:ind w:right="794"/>
              <w:spacing w:after="0"/>
              <w:rPr>
                <w:sz w:val="20"/>
                <w:szCs w:val="20"/>
                <w:color w:val="auto"/>
              </w:rPr>
            </w:pPr>
            <w:r>
              <w:rPr>
                <w:rFonts w:ascii="Arial" w:cs="Arial" w:eastAsia="Arial" w:hAnsi="Arial"/>
                <w:sz w:val="17"/>
                <w:szCs w:val="17"/>
                <w:b w:val="1"/>
                <w:bCs w:val="1"/>
                <w:color w:val="auto"/>
                <w:w w:val="84"/>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205.1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794"/>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14.37</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Transportation, gathering and processing</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88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United States - Onshore</w:t>
            </w:r>
          </w:p>
        </w:tc>
        <w:tc>
          <w:tcPr>
            <w:tcW w:w="980" w:type="dxa"/>
            <w:vAlign w:val="bottom"/>
            <w:shd w:val="clear" w:color="auto" w:fill="CCEEFF"/>
          </w:tcPr>
          <w:p>
            <w:pPr>
              <w:jc w:val="right"/>
              <w:ind w:right="794"/>
              <w:spacing w:after="0"/>
              <w:rPr>
                <w:sz w:val="20"/>
                <w:szCs w:val="20"/>
                <w:color w:val="auto"/>
              </w:rPr>
            </w:pPr>
            <w:r>
              <w:rPr>
                <w:rFonts w:ascii="Arial" w:cs="Arial" w:eastAsia="Arial" w:hAnsi="Arial"/>
                <w:sz w:val="17"/>
                <w:szCs w:val="17"/>
                <w:b w:val="1"/>
                <w:bCs w:val="1"/>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2.4</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4"/>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Arial" w:cs="Arial" w:eastAsia="Arial" w:hAnsi="Arial"/>
                <w:sz w:val="17"/>
                <w:szCs w:val="17"/>
                <w:color w:val="auto"/>
              </w:rPr>
              <w:t>United States - Offshore</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26.4</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33.9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4.42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4.57</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Canada - Onshore</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18.3</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w:t>
            </w:r>
          </w:p>
        </w:tc>
        <w:tc>
          <w:tcPr>
            <w:tcW w:w="0" w:type="dxa"/>
            <w:vAlign w:val="bottom"/>
          </w:tcPr>
          <w:p>
            <w:pPr>
              <w:spacing w:after="0"/>
              <w:rPr>
                <w:sz w:val="1"/>
                <w:szCs w:val="1"/>
                <w:color w:val="auto"/>
              </w:rPr>
            </w:pPr>
          </w:p>
        </w:tc>
      </w:tr>
      <w:tr>
        <w:trPr>
          <w:trHeight w:val="220"/>
        </w:trPr>
        <w:tc>
          <w:tcPr>
            <w:tcW w:w="48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Canada - Offshore</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3.03</w:t>
            </w:r>
          </w:p>
        </w:tc>
        <w:tc>
          <w:tcPr>
            <w:tcW w:w="0" w:type="dxa"/>
            <w:vAlign w:val="bottom"/>
          </w:tcPr>
          <w:p>
            <w:pPr>
              <w:spacing w:after="0"/>
              <w:rPr>
                <w:sz w:val="1"/>
                <w:szCs w:val="1"/>
                <w:color w:val="auto"/>
              </w:rPr>
            </w:pPr>
          </w:p>
        </w:tc>
      </w:tr>
      <w:tr>
        <w:trPr>
          <w:trHeight w:val="238"/>
        </w:trPr>
        <w:tc>
          <w:tcPr>
            <w:tcW w:w="4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transportation, gathering and processing</w:t>
            </w:r>
          </w:p>
        </w:tc>
        <w:tc>
          <w:tcPr>
            <w:tcW w:w="980" w:type="dxa"/>
            <w:vAlign w:val="bottom"/>
            <w:tcBorders>
              <w:bottom w:val="single" w:sz="8" w:color="auto"/>
            </w:tcBorders>
            <w:shd w:val="clear" w:color="auto" w:fill="CCEEFF"/>
          </w:tcPr>
          <w:p>
            <w:pPr>
              <w:jc w:val="right"/>
              <w:ind w:right="794"/>
              <w:spacing w:after="0"/>
              <w:rPr>
                <w:sz w:val="20"/>
                <w:szCs w:val="20"/>
                <w:color w:val="auto"/>
              </w:rPr>
            </w:pPr>
            <w:r>
              <w:rPr>
                <w:rFonts w:ascii="Arial" w:cs="Arial" w:eastAsia="Arial" w:hAnsi="Arial"/>
                <w:sz w:val="17"/>
                <w:szCs w:val="17"/>
                <w:b w:val="1"/>
                <w:bCs w:val="1"/>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48.9</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794"/>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56.5</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3.31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3.47</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For the three months ended March 31, 2025, lease operating expenses decreased by $29.2 million and transportation, gathering and processing expenses decreased by $7.6 million compared to the same period in 2024. Lower lease operating expenses in the Gulf of America were largely driven by lower sales volumes. Operating expenses at Canada Offshore decreased by $9.02 per barrel due to lower production and higher restart costs in the first quarter of 2024 associated the non-operated Terra Nova field. Lower transportation, gathering and processing expenses during the quarter were a result of overall lower production volumes in the Gulf of America.</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Depreciation, Depletion and Amortization Expense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Company’s depreciation, depletion and amortization (DD&amp;A) expense by geographic area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40" w:type="dxa"/>
            <w:vAlign w:val="bottom"/>
            <w:gridSpan w:val="6"/>
          </w:tcPr>
          <w:p>
            <w:pPr>
              <w:ind w:left="720"/>
              <w:spacing w:after="0"/>
              <w:rPr>
                <w:sz w:val="20"/>
                <w:szCs w:val="20"/>
                <w:color w:val="auto"/>
              </w:rPr>
            </w:pPr>
            <w:r>
              <w:rPr>
                <w:rFonts w:ascii="Arial" w:cs="Arial" w:eastAsia="Arial" w:hAnsi="Arial"/>
                <w:sz w:val="17"/>
                <w:szCs w:val="17"/>
                <w:b w:val="1"/>
                <w:bCs w:val="1"/>
                <w:color w:val="auto"/>
              </w:rPr>
              <w:t>Three Months Ended</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3"/>
        </w:trPr>
        <w:tc>
          <w:tcPr>
            <w:tcW w:w="48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March 31,</w:t>
            </w: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207"/>
        </w:trPr>
        <w:tc>
          <w:tcPr>
            <w:tcW w:w="4880" w:type="dxa"/>
            <w:vAlign w:val="bottom"/>
          </w:tcPr>
          <w:p>
            <w:pPr>
              <w:spacing w:after="0"/>
              <w:rPr>
                <w:sz w:val="17"/>
                <w:szCs w:val="17"/>
                <w:color w:val="auto"/>
              </w:rPr>
            </w:pPr>
          </w:p>
        </w:tc>
        <w:tc>
          <w:tcPr>
            <w:tcW w:w="2600" w:type="dxa"/>
            <w:vAlign w:val="bottom"/>
            <w:gridSpan w:val="4"/>
          </w:tcPr>
          <w:p>
            <w:pPr>
              <w:jc w:val="right"/>
              <w:ind w:right="234"/>
              <w:spacing w:after="0"/>
              <w:rPr>
                <w:sz w:val="20"/>
                <w:szCs w:val="20"/>
                <w:color w:val="auto"/>
              </w:rPr>
            </w:pPr>
            <w:r>
              <w:rPr>
                <w:rFonts w:ascii="Arial" w:cs="Arial" w:eastAsia="Arial" w:hAnsi="Arial"/>
                <w:sz w:val="17"/>
                <w:szCs w:val="17"/>
                <w:i w:val="1"/>
                <w:iCs w:val="1"/>
                <w:color w:val="auto"/>
              </w:rPr>
              <w:t>(Millions of dollars)</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740" w:type="dxa"/>
            <w:vAlign w:val="bottom"/>
            <w:gridSpan w:val="4"/>
          </w:tcPr>
          <w:p>
            <w:pPr>
              <w:jc w:val="right"/>
              <w:ind w:right="354"/>
              <w:spacing w:after="0"/>
              <w:rPr>
                <w:sz w:val="20"/>
                <w:szCs w:val="20"/>
                <w:color w:val="auto"/>
              </w:rPr>
            </w:pPr>
            <w:r>
              <w:rPr>
                <w:rFonts w:ascii="Arial" w:cs="Arial" w:eastAsia="Arial" w:hAnsi="Arial"/>
                <w:sz w:val="17"/>
                <w:szCs w:val="17"/>
                <w:i w:val="1"/>
                <w:iCs w:val="1"/>
                <w:color w:val="auto"/>
              </w:rPr>
              <w:t>(Dollars per equivalent barrel)</w:t>
            </w:r>
          </w:p>
        </w:tc>
      </w:tr>
      <w:tr>
        <w:trPr>
          <w:trHeight w:val="226"/>
        </w:trPr>
        <w:tc>
          <w:tcPr>
            <w:tcW w:w="48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2025</w:t>
            </w: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2024</w:t>
            </w: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rPr>
              <w:t>2024</w:t>
            </w:r>
          </w:p>
        </w:tc>
      </w:tr>
      <w:tr>
        <w:trPr>
          <w:trHeight w:val="200"/>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DD&amp;A expense</w:t>
            </w: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0"/>
        </w:trPr>
        <w:tc>
          <w:tcPr>
            <w:tcW w:w="4880" w:type="dxa"/>
            <w:vAlign w:val="bottom"/>
          </w:tcPr>
          <w:p>
            <w:pPr>
              <w:ind w:left="120"/>
              <w:spacing w:after="0"/>
              <w:rPr>
                <w:sz w:val="20"/>
                <w:szCs w:val="20"/>
                <w:color w:val="auto"/>
              </w:rPr>
            </w:pPr>
            <w:r>
              <w:rPr>
                <w:rFonts w:ascii="Arial" w:cs="Arial" w:eastAsia="Arial" w:hAnsi="Arial"/>
                <w:sz w:val="17"/>
                <w:szCs w:val="17"/>
                <w:color w:val="auto"/>
              </w:rPr>
              <w:t>United States - Onshore</w:t>
            </w:r>
          </w:p>
        </w:tc>
        <w:tc>
          <w:tcPr>
            <w:tcW w:w="980" w:type="dxa"/>
            <w:vAlign w:val="bottom"/>
          </w:tcPr>
          <w:p>
            <w:pPr>
              <w:jc w:val="right"/>
              <w:ind w:right="794"/>
              <w:spacing w:after="0"/>
              <w:rPr>
                <w:sz w:val="20"/>
                <w:szCs w:val="20"/>
                <w:color w:val="auto"/>
              </w:rPr>
            </w:pPr>
            <w:r>
              <w:rPr>
                <w:rFonts w:ascii="Arial" w:cs="Arial" w:eastAsia="Arial" w:hAnsi="Arial"/>
                <w:sz w:val="17"/>
                <w:szCs w:val="17"/>
                <w:b w:val="1"/>
                <w:bCs w:val="1"/>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67.1</w:t>
            </w:r>
          </w:p>
        </w:tc>
        <w:tc>
          <w:tcPr>
            <w:tcW w:w="80" w:type="dxa"/>
            <w:vAlign w:val="bottom"/>
          </w:tcPr>
          <w:p>
            <w:pPr>
              <w:spacing w:after="0"/>
              <w:rPr>
                <w:sz w:val="19"/>
                <w:szCs w:val="19"/>
                <w:color w:val="auto"/>
              </w:rPr>
            </w:pPr>
          </w:p>
        </w:tc>
        <w:tc>
          <w:tcPr>
            <w:tcW w:w="1000" w:type="dxa"/>
            <w:vAlign w:val="bottom"/>
          </w:tcPr>
          <w:p>
            <w:pPr>
              <w:jc w:val="right"/>
              <w:ind w:right="794"/>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74.1</w:t>
            </w:r>
          </w:p>
        </w:tc>
        <w:tc>
          <w:tcPr>
            <w:tcW w:w="8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Arial" w:cs="Arial" w:eastAsia="Arial" w:hAnsi="Arial"/>
                <w:sz w:val="17"/>
                <w:szCs w:val="17"/>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29.35</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28.52</w:t>
            </w:r>
          </w:p>
        </w:tc>
      </w:tr>
      <w:tr>
        <w:trPr>
          <w:trHeight w:val="220"/>
        </w:trPr>
        <w:tc>
          <w:tcPr>
            <w:tcW w:w="4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United States - Offshore</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92.2</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13.46</w:t>
            </w:r>
          </w:p>
        </w:tc>
      </w:tr>
      <w:tr>
        <w:trPr>
          <w:trHeight w:val="220"/>
        </w:trPr>
        <w:tc>
          <w:tcPr>
            <w:tcW w:w="4880" w:type="dxa"/>
            <w:vAlign w:val="bottom"/>
          </w:tcPr>
          <w:p>
            <w:pPr>
              <w:ind w:left="120"/>
              <w:spacing w:after="0"/>
              <w:rPr>
                <w:sz w:val="20"/>
                <w:szCs w:val="20"/>
                <w:color w:val="auto"/>
              </w:rPr>
            </w:pPr>
            <w:r>
              <w:rPr>
                <w:rFonts w:ascii="Arial" w:cs="Arial" w:eastAsia="Arial" w:hAnsi="Arial"/>
                <w:sz w:val="17"/>
                <w:szCs w:val="17"/>
                <w:color w:val="auto"/>
              </w:rPr>
              <w:t>Canada - Onshore</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24.1</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28.1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4.40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4.99</w:t>
            </w:r>
          </w:p>
        </w:tc>
      </w:tr>
      <w:tr>
        <w:trPr>
          <w:trHeight w:val="220"/>
        </w:trPr>
        <w:tc>
          <w:tcPr>
            <w:tcW w:w="4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Canada - Offshore</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8.3</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9.68</w:t>
            </w:r>
          </w:p>
        </w:tc>
      </w:tr>
      <w:tr>
        <w:trPr>
          <w:trHeight w:val="220"/>
        </w:trPr>
        <w:tc>
          <w:tcPr>
            <w:tcW w:w="4880" w:type="dxa"/>
            <w:vAlign w:val="bottom"/>
          </w:tcPr>
          <w:p>
            <w:pPr>
              <w:ind w:left="120"/>
              <w:spacing w:after="0"/>
              <w:rPr>
                <w:sz w:val="20"/>
                <w:szCs w:val="20"/>
                <w:color w:val="auto"/>
              </w:rPr>
            </w:pPr>
            <w:r>
              <w:rPr>
                <w:rFonts w:ascii="Arial" w:cs="Arial" w:eastAsia="Arial" w:hAnsi="Arial"/>
                <w:sz w:val="17"/>
                <w:szCs w:val="17"/>
                <w:color w:val="auto"/>
              </w:rPr>
              <w:t>Other</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0.1</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20.38</w:t>
            </w:r>
          </w:p>
        </w:tc>
      </w:tr>
      <w:tr>
        <w:trPr>
          <w:trHeight w:val="238"/>
        </w:trPr>
        <w:tc>
          <w:tcPr>
            <w:tcW w:w="48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DD&amp;A expense</w:t>
            </w:r>
          </w:p>
        </w:tc>
        <w:tc>
          <w:tcPr>
            <w:tcW w:w="980" w:type="dxa"/>
            <w:vAlign w:val="bottom"/>
            <w:tcBorders>
              <w:top w:val="single" w:sz="8" w:color="auto"/>
              <w:bottom w:val="single" w:sz="8" w:color="auto"/>
            </w:tcBorders>
            <w:shd w:val="clear" w:color="auto" w:fill="CCEEFF"/>
          </w:tcPr>
          <w:p>
            <w:pPr>
              <w:jc w:val="right"/>
              <w:ind w:right="794"/>
              <w:spacing w:after="0"/>
              <w:rPr>
                <w:sz w:val="20"/>
                <w:szCs w:val="20"/>
                <w:color w:val="auto"/>
              </w:rPr>
            </w:pPr>
            <w:r>
              <w:rPr>
                <w:rFonts w:ascii="Arial" w:cs="Arial" w:eastAsia="Arial" w:hAnsi="Arial"/>
                <w:sz w:val="17"/>
                <w:szCs w:val="17"/>
                <w:b w:val="1"/>
                <w:bCs w:val="1"/>
                <w:color w:val="auto"/>
                <w:w w:val="84"/>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191.8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794"/>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12.77</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color w:val="auto"/>
        </w:rPr>
        <w:t>DD&amp;A expense for the three months ended March 31, 2025 decreased by $16.5 million compared to the same period in 2024. The decrease is primarily due to lower sales volumes in the Gulf of America and at Eagle Ford Shale and lower rates at Canada Offshore resulting from ARO adjustments, partially offset by higher sales volumes in Canada Offshore and higher rates in the Gulf of America resulting from increased drilling, completions and facilities developments costs.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(Continued)</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Impairment of Assets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For the three months ended March 31, 2025, there were no impairments.</w:t>
      </w:r>
    </w:p>
    <w:p>
      <w:pPr>
        <w:spacing w:after="0" w:line="115" w:lineRule="exact"/>
        <w:rPr>
          <w:sz w:val="20"/>
          <w:szCs w:val="20"/>
          <w:color w:val="auto"/>
        </w:rPr>
      </w:pPr>
    </w:p>
    <w:p>
      <w:pPr>
        <w:ind w:right="280"/>
        <w:spacing w:after="0" w:line="291" w:lineRule="auto"/>
        <w:rPr>
          <w:sz w:val="20"/>
          <w:szCs w:val="20"/>
          <w:color w:val="auto"/>
        </w:rPr>
      </w:pPr>
      <w:r>
        <w:rPr>
          <w:rFonts w:ascii="Arial" w:cs="Arial" w:eastAsia="Arial" w:hAnsi="Arial"/>
          <w:sz w:val="17"/>
          <w:szCs w:val="17"/>
          <w:color w:val="auto"/>
        </w:rPr>
        <w:t>Impairment of assets for the three months ended March 31, 2024 was $34.5 million and related to the Calliope field in Mississippi Canyon in the Gulf of America, as a result of operational issues that led to a reserve reduction.</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20" w:type="dxa"/>
            <w:vAlign w:val="bottom"/>
            <w:gridSpan w:val="4"/>
          </w:tcPr>
          <w:p>
            <w:pPr>
              <w:spacing w:after="0"/>
              <w:rPr>
                <w:sz w:val="20"/>
                <w:szCs w:val="20"/>
                <w:color w:val="auto"/>
              </w:rPr>
            </w:pPr>
            <w:r>
              <w:rPr>
                <w:rFonts w:ascii="Arial" w:cs="Arial" w:eastAsia="Arial" w:hAnsi="Arial"/>
                <w:sz w:val="17"/>
                <w:szCs w:val="17"/>
                <w:color w:val="auto"/>
              </w:rPr>
              <w:t>Exploration Expenses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31"/>
        </w:trPr>
        <w:tc>
          <w:tcPr>
            <w:tcW w:w="8020" w:type="dxa"/>
            <w:vAlign w:val="bottom"/>
            <w:gridSpan w:val="4"/>
          </w:tcPr>
          <w:p>
            <w:pPr>
              <w:spacing w:after="0"/>
              <w:rPr>
                <w:sz w:val="20"/>
                <w:szCs w:val="20"/>
                <w:color w:val="auto"/>
              </w:rPr>
            </w:pPr>
            <w:r>
              <w:rPr>
                <w:rFonts w:ascii="Arial" w:cs="Arial" w:eastAsia="Arial" w:hAnsi="Arial"/>
                <w:sz w:val="17"/>
                <w:szCs w:val="17"/>
                <w:color w:val="auto"/>
              </w:rPr>
              <w:t>The Company’s exploration expenses were as follows: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95"/>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20" w:type="dxa"/>
            <w:vAlign w:val="bottom"/>
            <w:gridSpan w:val="4"/>
          </w:tcPr>
          <w:p>
            <w:pPr>
              <w:jc w:val="right"/>
              <w:ind w:right="654"/>
              <w:spacing w:after="0"/>
              <w:rPr>
                <w:sz w:val="20"/>
                <w:szCs w:val="20"/>
                <w:color w:val="auto"/>
              </w:rPr>
            </w:pPr>
            <w:r>
              <w:rPr>
                <w:rFonts w:ascii="Arial" w:cs="Arial" w:eastAsia="Arial" w:hAnsi="Arial"/>
                <w:sz w:val="17"/>
                <w:szCs w:val="17"/>
                <w:b w:val="1"/>
                <w:bCs w:val="1"/>
                <w:color w:val="auto"/>
              </w:rPr>
              <w:t>Three Months Ended</w:t>
            </w:r>
          </w:p>
        </w:tc>
      </w:tr>
      <w:tr>
        <w:trPr>
          <w:trHeight w:val="233"/>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7"/>
                <w:szCs w:val="17"/>
                <w:b w:val="1"/>
                <w:bCs w:val="1"/>
                <w:color w:val="auto"/>
              </w:rPr>
              <w:t>March 31,</w:t>
            </w:r>
          </w:p>
        </w:tc>
        <w:tc>
          <w:tcPr>
            <w:tcW w:w="1080" w:type="dxa"/>
            <w:vAlign w:val="bottom"/>
            <w:tcBorders>
              <w:bottom w:val="single" w:sz="8" w:color="auto"/>
            </w:tcBorders>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8000" w:type="dxa"/>
            <w:vAlign w:val="bottom"/>
            <w:gridSpan w:val="3"/>
          </w:tcPr>
          <w:p>
            <w:pPr>
              <w:spacing w:after="0" w:line="174" w:lineRule="exact"/>
              <w:rPr>
                <w:sz w:val="20"/>
                <w:szCs w:val="20"/>
                <w:color w:val="auto"/>
              </w:rPr>
            </w:pPr>
            <w:r>
              <w:rPr>
                <w:rFonts w:ascii="Arial" w:cs="Arial" w:eastAsia="Arial" w:hAnsi="Arial"/>
                <w:sz w:val="17"/>
                <w:szCs w:val="17"/>
                <w:i w:val="1"/>
                <w:iCs w:val="1"/>
                <w:color w:val="auto"/>
              </w:rPr>
              <w:t>(Millions of dollars)</w:t>
            </w:r>
          </w:p>
        </w:tc>
        <w:tc>
          <w:tcPr>
            <w:tcW w:w="360" w:type="dxa"/>
            <w:vAlign w:val="bottom"/>
          </w:tcPr>
          <w:p>
            <w:pPr>
              <w:spacing w:after="0"/>
              <w:rPr>
                <w:sz w:val="15"/>
                <w:szCs w:val="15"/>
                <w:color w:val="auto"/>
              </w:rPr>
            </w:pPr>
          </w:p>
        </w:tc>
        <w:tc>
          <w:tcPr>
            <w:tcW w:w="1180" w:type="dxa"/>
            <w:vAlign w:val="bottom"/>
          </w:tcPr>
          <w:p>
            <w:pPr>
              <w:jc w:val="right"/>
              <w:ind w:right="494"/>
              <w:spacing w:after="0" w:line="174" w:lineRule="exact"/>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jc w:val="right"/>
              <w:ind w:right="494"/>
              <w:spacing w:after="0" w:line="174" w:lineRule="exact"/>
              <w:rPr>
                <w:sz w:val="20"/>
                <w:szCs w:val="20"/>
                <w:color w:val="auto"/>
              </w:rPr>
            </w:pPr>
            <w:r>
              <w:rPr>
                <w:rFonts w:ascii="Arial" w:cs="Arial" w:eastAsia="Arial" w:hAnsi="Arial"/>
                <w:sz w:val="17"/>
                <w:szCs w:val="17"/>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80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Exploration expenses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8000" w:type="dxa"/>
            <w:vAlign w:val="bottom"/>
            <w:gridSpan w:val="3"/>
          </w:tcPr>
          <w:p>
            <w:pPr>
              <w:ind w:left="100"/>
              <w:spacing w:after="0"/>
              <w:rPr>
                <w:sz w:val="20"/>
                <w:szCs w:val="20"/>
                <w:color w:val="auto"/>
              </w:rPr>
            </w:pPr>
            <w:r>
              <w:rPr>
                <w:rFonts w:ascii="Arial" w:cs="Arial" w:eastAsia="Arial" w:hAnsi="Arial"/>
                <w:sz w:val="17"/>
                <w:szCs w:val="17"/>
                <w:color w:val="auto"/>
              </w:rPr>
              <w:t>Dry holes and previously suspended exploration costs</w:t>
            </w:r>
          </w:p>
        </w:tc>
        <w:tc>
          <w:tcPr>
            <w:tcW w:w="36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0.2</w:t>
            </w:r>
          </w:p>
        </w:tc>
        <w:tc>
          <w:tcPr>
            <w:tcW w:w="100" w:type="dxa"/>
            <w:vAlign w:val="bottom"/>
          </w:tcPr>
          <w:p>
            <w:pPr>
              <w:spacing w:after="0"/>
              <w:rPr>
                <w:sz w:val="19"/>
                <w:szCs w:val="19"/>
                <w:color w:val="auto"/>
              </w:rPr>
            </w:pP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32.4</w:t>
            </w:r>
          </w:p>
        </w:tc>
      </w:tr>
      <w:tr>
        <w:trPr>
          <w:trHeight w:val="220"/>
        </w:trPr>
        <w:tc>
          <w:tcPr>
            <w:tcW w:w="20" w:type="dxa"/>
            <w:vAlign w:val="bottom"/>
            <w:shd w:val="clear" w:color="auto" w:fill="CCEEFF"/>
          </w:tcPr>
          <w:p>
            <w:pPr>
              <w:spacing w:after="0"/>
              <w:rPr>
                <w:sz w:val="19"/>
                <w:szCs w:val="19"/>
                <w:color w:val="auto"/>
              </w:rPr>
            </w:pPr>
          </w:p>
        </w:tc>
        <w:tc>
          <w:tcPr>
            <w:tcW w:w="800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Geological and geophysical</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20"/>
        </w:trPr>
        <w:tc>
          <w:tcPr>
            <w:tcW w:w="20" w:type="dxa"/>
            <w:vAlign w:val="bottom"/>
          </w:tcPr>
          <w:p>
            <w:pPr>
              <w:spacing w:after="0"/>
              <w:rPr>
                <w:sz w:val="19"/>
                <w:szCs w:val="19"/>
                <w:color w:val="auto"/>
              </w:rPr>
            </w:pPr>
          </w:p>
        </w:tc>
        <w:tc>
          <w:tcPr>
            <w:tcW w:w="8000" w:type="dxa"/>
            <w:vAlign w:val="bottom"/>
            <w:gridSpan w:val="3"/>
          </w:tcPr>
          <w:p>
            <w:pPr>
              <w:ind w:left="100"/>
              <w:spacing w:after="0"/>
              <w:rPr>
                <w:sz w:val="20"/>
                <w:szCs w:val="20"/>
                <w:color w:val="auto"/>
              </w:rPr>
            </w:pPr>
            <w:r>
              <w:rPr>
                <w:rFonts w:ascii="Arial" w:cs="Arial" w:eastAsia="Arial" w:hAnsi="Arial"/>
                <w:sz w:val="17"/>
                <w:szCs w:val="17"/>
                <w:color w:val="auto"/>
              </w:rPr>
              <w:t>Other exploration</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9.1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7.8</w:t>
            </w:r>
          </w:p>
        </w:tc>
      </w:tr>
      <w:tr>
        <w:trPr>
          <w:trHeight w:val="220"/>
        </w:trPr>
        <w:tc>
          <w:tcPr>
            <w:tcW w:w="20" w:type="dxa"/>
            <w:vAlign w:val="bottom"/>
            <w:shd w:val="clear" w:color="auto" w:fill="CCEEFF"/>
          </w:tcPr>
          <w:p>
            <w:pPr>
              <w:spacing w:after="0"/>
              <w:rPr>
                <w:sz w:val="19"/>
                <w:szCs w:val="19"/>
                <w:color w:val="auto"/>
              </w:rPr>
            </w:pPr>
          </w:p>
        </w:tc>
        <w:tc>
          <w:tcPr>
            <w:tcW w:w="800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Undeveloped lease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r>
      <w:tr>
        <w:trPr>
          <w:trHeight w:val="213"/>
        </w:trPr>
        <w:tc>
          <w:tcPr>
            <w:tcW w:w="20" w:type="dxa"/>
            <w:vAlign w:val="bottom"/>
          </w:tcPr>
          <w:p>
            <w:pPr>
              <w:spacing w:after="0"/>
              <w:rPr>
                <w:sz w:val="18"/>
                <w:szCs w:val="18"/>
                <w:color w:val="auto"/>
              </w:rPr>
            </w:pPr>
          </w:p>
        </w:tc>
        <w:tc>
          <w:tcPr>
            <w:tcW w:w="8000" w:type="dxa"/>
            <w:vAlign w:val="bottom"/>
            <w:gridSpan w:val="3"/>
          </w:tcPr>
          <w:p>
            <w:pPr>
              <w:ind w:left="200"/>
              <w:spacing w:after="0"/>
              <w:rPr>
                <w:sz w:val="20"/>
                <w:szCs w:val="20"/>
                <w:color w:val="auto"/>
              </w:rPr>
            </w:pPr>
            <w:r>
              <w:rPr>
                <w:rFonts w:ascii="Arial" w:cs="Arial" w:eastAsia="Arial" w:hAnsi="Arial"/>
                <w:sz w:val="17"/>
                <w:szCs w:val="17"/>
                <w:color w:val="auto"/>
              </w:rPr>
              <w:t>Total exploration expenses, including undeveloped lease amortization</w:t>
            </w: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14.5</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44.4</w:t>
            </w: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ind w:right="40"/>
        <w:spacing w:after="0" w:line="272" w:lineRule="auto"/>
        <w:rPr>
          <w:sz w:val="20"/>
          <w:szCs w:val="20"/>
          <w:color w:val="auto"/>
        </w:rPr>
      </w:pPr>
      <w:r>
        <w:rPr>
          <w:rFonts w:ascii="Arial" w:cs="Arial" w:eastAsia="Arial" w:hAnsi="Arial"/>
          <w:sz w:val="17"/>
          <w:szCs w:val="17"/>
          <w:color w:val="auto"/>
        </w:rPr>
        <w:t>Exploration expenses for the three months ended March 31, 2025 decreased by $29.9 million compared to the same period in 2024. In 2024, there were dry holes and previously suspended exploration costs relating to the previously suspended costs for Hoffe Park #1 (Mississippi Canyon 166) exploration well and additional costs related to the non-operated Oso #1 (Atwater Valley 138) exploration well in the Gulf of America.</w:t>
      </w:r>
    </w:p>
    <w:p>
      <w:pPr>
        <w:spacing w:after="0" w:line="39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Income Taxes</w:t>
      </w:r>
    </w:p>
    <w:p>
      <w:pPr>
        <w:spacing w:after="0" w:line="115" w:lineRule="exact"/>
        <w:rPr>
          <w:sz w:val="20"/>
          <w:szCs w:val="20"/>
          <w:color w:val="auto"/>
        </w:rPr>
      </w:pPr>
    </w:p>
    <w:p>
      <w:pPr>
        <w:ind w:right="300"/>
        <w:spacing w:after="0" w:line="291" w:lineRule="auto"/>
        <w:rPr>
          <w:sz w:val="20"/>
          <w:szCs w:val="20"/>
          <w:color w:val="auto"/>
        </w:rPr>
      </w:pPr>
      <w:r>
        <w:rPr>
          <w:rFonts w:ascii="Arial" w:cs="Arial" w:eastAsia="Arial" w:hAnsi="Arial"/>
          <w:sz w:val="17"/>
          <w:szCs w:val="17"/>
          <w:color w:val="auto"/>
        </w:rPr>
        <w:t>Income taxes for the three months ended March 31, 2025 increased by $1.9 million compared to the same period in 2024. Higher income taxes were primarily the result of higher taxes in foreign jurisdictions, partially offset by lower year-to-date pretax income.</w:t>
      </w: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w:t>
      </w:r>
    </w:p>
    <w:p>
      <w:pPr>
        <w:spacing w:after="0" w:line="117" w:lineRule="exact"/>
        <w:rPr>
          <w:sz w:val="20"/>
          <w:szCs w:val="20"/>
          <w:color w:val="auto"/>
        </w:rPr>
      </w:pPr>
    </w:p>
    <w:p>
      <w:pPr>
        <w:jc w:val="both"/>
        <w:ind w:right="40"/>
        <w:spacing w:after="0" w:line="266" w:lineRule="auto"/>
        <w:rPr>
          <w:sz w:val="20"/>
          <w:szCs w:val="20"/>
          <w:color w:val="auto"/>
        </w:rPr>
      </w:pPr>
      <w:r>
        <w:rPr>
          <w:rFonts w:ascii="Arial" w:cs="Arial" w:eastAsia="Arial" w:hAnsi="Arial"/>
          <w:sz w:val="17"/>
          <w:szCs w:val="17"/>
          <w:color w:val="auto"/>
        </w:rPr>
        <w:t>Corporate activities include interest expense and income, foreign exchange effects, realized and unrealized gains/losses on derivative instruments (forward swaps to hedge commodity price) and corporate overhead not allocated to E&amp;P. Realized and unrealized losses on derivative instruments result from increases in market oil and natural gas prices relating to future periods whereby the swap contracts provided the Company with a fixed price.</w:t>
      </w:r>
    </w:p>
    <w:p>
      <w:pPr>
        <w:spacing w:after="0" w:line="64"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Corporate activities reported a loss of $48.2 million for the three months ended March 31, 2025, an unfavorable variance of $20.7 million compared to the same period of 2024. The unfavorable variance was primarily due to lower unrealized foreign exchange gains ($10.2 million) and unrealized losses on derivative instruments ($8.9 million).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Financial Condition</w:t>
      </w:r>
    </w:p>
    <w:p>
      <w:pPr>
        <w:spacing w:after="0" w:line="155"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color w:val="auto"/>
        </w:rPr>
        <w:t>The Company’s primary sources of liquidity are cash on hand, net cash provided by continuing operations activities and available borrowing capacity under its senior unsecured RCF. The Company’s liquidity requirements, both in the short-term and long-term, consist primarily of capital expenditures, debt maturity, retirement and interest payments, working capital requirements, dividend payments, and, as applicable, share repurchases. The Company may, from time to time, redeem, repurchase or otherwise acquire its outstanding notes through open market purchases, tender offers or pursuant to the terms of such securities. The Company</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226" w:right="37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840"/>
        <w:spacing w:after="0" w:line="291" w:lineRule="auto"/>
        <w:rPr>
          <w:sz w:val="20"/>
          <w:szCs w:val="20"/>
          <w:color w:val="auto"/>
        </w:rPr>
      </w:pPr>
      <w:r>
        <w:rPr>
          <w:rFonts w:ascii="Arial" w:cs="Arial" w:eastAsia="Arial" w:hAnsi="Arial"/>
          <w:sz w:val="17"/>
          <w:szCs w:val="17"/>
          <w:color w:val="auto"/>
        </w:rPr>
        <w:t>believes that the primary sources of liquidity described above will be adequate to fund its liquidity needs over the next 12 months and the foreseeable future.</w:t>
      </w: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Company’s cash flows for the periods presented: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4"/>
          </w:tcPr>
          <w:p>
            <w:pPr>
              <w:jc w:val="right"/>
              <w:ind w:right="617"/>
              <w:spacing w:after="0"/>
              <w:rPr>
                <w:sz w:val="20"/>
                <w:szCs w:val="20"/>
                <w:color w:val="auto"/>
              </w:rPr>
            </w:pPr>
            <w:r>
              <w:rPr>
                <w:rFonts w:ascii="Arial" w:cs="Arial" w:eastAsia="Arial" w:hAnsi="Arial"/>
                <w:sz w:val="17"/>
                <w:szCs w:val="17"/>
                <w:b w:val="1"/>
                <w:bCs w:val="1"/>
                <w:color w:val="auto"/>
              </w:rPr>
              <w:t>Three Months Ended</w:t>
            </w:r>
          </w:p>
        </w:tc>
      </w:tr>
      <w:tr>
        <w:trPr>
          <w:trHeight w:val="233"/>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38"/>
              <w:spacing w:after="0"/>
              <w:rPr>
                <w:sz w:val="20"/>
                <w:szCs w:val="20"/>
                <w:color w:val="auto"/>
              </w:rPr>
            </w:pPr>
            <w:r>
              <w:rPr>
                <w:rFonts w:ascii="Arial" w:cs="Arial" w:eastAsia="Arial" w:hAnsi="Arial"/>
                <w:sz w:val="17"/>
                <w:szCs w:val="17"/>
                <w:b w:val="1"/>
                <w:bCs w:val="1"/>
                <w:color w:val="auto"/>
              </w:rPr>
              <w:t>March 31,</w:t>
            </w:r>
          </w:p>
        </w:tc>
        <w:tc>
          <w:tcPr>
            <w:tcW w:w="1040" w:type="dxa"/>
            <w:vAlign w:val="bottom"/>
            <w:tcBorders>
              <w:bottom w:val="single" w:sz="8" w:color="auto"/>
            </w:tcBorders>
          </w:tcPr>
          <w:p>
            <w:pPr>
              <w:spacing w:after="0"/>
              <w:rPr>
                <w:sz w:val="20"/>
                <w:szCs w:val="20"/>
                <w:color w:val="auto"/>
              </w:rPr>
            </w:pPr>
          </w:p>
        </w:tc>
      </w:tr>
      <w:tr>
        <w:trPr>
          <w:trHeight w:val="161"/>
        </w:trPr>
        <w:tc>
          <w:tcPr>
            <w:tcW w:w="20" w:type="dxa"/>
            <w:vAlign w:val="bottom"/>
          </w:tcPr>
          <w:p>
            <w:pPr>
              <w:spacing w:after="0"/>
              <w:rPr>
                <w:sz w:val="13"/>
                <w:szCs w:val="13"/>
                <w:color w:val="auto"/>
              </w:rPr>
            </w:pPr>
          </w:p>
        </w:tc>
        <w:tc>
          <w:tcPr>
            <w:tcW w:w="8120" w:type="dxa"/>
            <w:vAlign w:val="bottom"/>
            <w:gridSpan w:val="2"/>
          </w:tcPr>
          <w:p>
            <w:pPr>
              <w:spacing w:after="0" w:line="141" w:lineRule="exact"/>
              <w:rPr>
                <w:sz w:val="20"/>
                <w:szCs w:val="20"/>
                <w:color w:val="auto"/>
              </w:rPr>
            </w:pPr>
            <w:r>
              <w:rPr>
                <w:rFonts w:ascii="Arial" w:cs="Arial" w:eastAsia="Arial" w:hAnsi="Arial"/>
                <w:sz w:val="16"/>
                <w:szCs w:val="16"/>
                <w:i w:val="1"/>
                <w:iCs w:val="1"/>
                <w:color w:val="auto"/>
              </w:rPr>
              <w:t>(Millions of dollars)</w:t>
            </w:r>
          </w:p>
        </w:tc>
        <w:tc>
          <w:tcPr>
            <w:tcW w:w="320" w:type="dxa"/>
            <w:vAlign w:val="bottom"/>
          </w:tcPr>
          <w:p>
            <w:pPr>
              <w:spacing w:after="0"/>
              <w:rPr>
                <w:sz w:val="13"/>
                <w:szCs w:val="13"/>
                <w:color w:val="auto"/>
              </w:rPr>
            </w:pPr>
          </w:p>
        </w:tc>
        <w:tc>
          <w:tcPr>
            <w:tcW w:w="1180" w:type="dxa"/>
            <w:vAlign w:val="bottom"/>
          </w:tcPr>
          <w:p>
            <w:pPr>
              <w:jc w:val="right"/>
              <w:ind w:right="477"/>
              <w:spacing w:after="0" w:line="148" w:lineRule="exact"/>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jc w:val="right"/>
              <w:ind w:right="477"/>
              <w:spacing w:after="0" w:line="148" w:lineRule="exact"/>
              <w:rPr>
                <w:sz w:val="20"/>
                <w:szCs w:val="20"/>
                <w:color w:val="auto"/>
              </w:rPr>
            </w:pPr>
            <w:r>
              <w:rPr>
                <w:rFonts w:ascii="Arial" w:cs="Arial" w:eastAsia="Arial" w:hAnsi="Arial"/>
                <w:sz w:val="17"/>
                <w:szCs w:val="17"/>
                <w:color w:val="auto"/>
              </w:rPr>
              <w:t>2024</w:t>
            </w:r>
          </w:p>
        </w:tc>
      </w:tr>
      <w:tr>
        <w:trPr>
          <w:trHeight w:val="32"/>
        </w:trPr>
        <w:tc>
          <w:tcPr>
            <w:tcW w:w="20" w:type="dxa"/>
            <w:vAlign w:val="bottom"/>
            <w:tcBorders>
              <w:bottom w:val="single" w:sz="8" w:color="CCEEFF"/>
            </w:tcBorders>
          </w:tcPr>
          <w:p>
            <w:pPr>
              <w:spacing w:after="0"/>
              <w:rPr>
                <w:sz w:val="2"/>
                <w:szCs w:val="2"/>
                <w:color w:val="auto"/>
              </w:rPr>
            </w:pPr>
          </w:p>
        </w:tc>
        <w:tc>
          <w:tcPr>
            <w:tcW w:w="1360" w:type="dxa"/>
            <w:vAlign w:val="bottom"/>
            <w:tcBorders>
              <w:top w:val="single" w:sz="8" w:color="auto"/>
              <w:bottom w:val="single" w:sz="8" w:color="CCEEFF"/>
            </w:tcBorders>
          </w:tcPr>
          <w:p>
            <w:pPr>
              <w:spacing w:after="0"/>
              <w:rPr>
                <w:sz w:val="2"/>
                <w:szCs w:val="2"/>
                <w:color w:val="auto"/>
              </w:rPr>
            </w:pPr>
          </w:p>
        </w:tc>
        <w:tc>
          <w:tcPr>
            <w:tcW w:w="6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0"/>
        </w:trPr>
        <w:tc>
          <w:tcPr>
            <w:tcW w:w="20" w:type="dxa"/>
            <w:vAlign w:val="bottom"/>
            <w:shd w:val="clear" w:color="auto" w:fill="CCEEFF"/>
          </w:tcPr>
          <w:p>
            <w:pPr>
              <w:spacing w:after="0"/>
              <w:rPr>
                <w:sz w:val="17"/>
                <w:szCs w:val="17"/>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cash provided (required) by:</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8120" w:type="dxa"/>
            <w:vAlign w:val="bottom"/>
            <w:gridSpan w:val="2"/>
          </w:tcPr>
          <w:p>
            <w:pPr>
              <w:ind w:left="120"/>
              <w:spacing w:after="0"/>
              <w:rPr>
                <w:sz w:val="20"/>
                <w:szCs w:val="20"/>
                <w:color w:val="auto"/>
              </w:rPr>
            </w:pPr>
            <w:r>
              <w:rPr>
                <w:rFonts w:ascii="Arial" w:cs="Arial" w:eastAsia="Arial" w:hAnsi="Arial"/>
                <w:sz w:val="16"/>
                <w:szCs w:val="16"/>
                <w:color w:val="auto"/>
              </w:rPr>
              <w:t>Net cash provided by continuing operations activities</w:t>
            </w:r>
          </w:p>
        </w:tc>
        <w:tc>
          <w:tcPr>
            <w:tcW w:w="320" w:type="dxa"/>
            <w:vAlign w:val="bottom"/>
          </w:tcPr>
          <w:p>
            <w:pPr>
              <w:jc w:val="right"/>
              <w:ind w:right="138"/>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300.7</w:t>
            </w:r>
          </w:p>
        </w:tc>
        <w:tc>
          <w:tcPr>
            <w:tcW w:w="100" w:type="dxa"/>
            <w:vAlign w:val="bottom"/>
          </w:tcPr>
          <w:p>
            <w:pPr>
              <w:spacing w:after="0"/>
              <w:rPr>
                <w:sz w:val="19"/>
                <w:szCs w:val="19"/>
                <w:color w:val="auto"/>
              </w:rPr>
            </w:pPr>
          </w:p>
        </w:tc>
        <w:tc>
          <w:tcPr>
            <w:tcW w:w="460" w:type="dxa"/>
            <w:vAlign w:val="bottom"/>
          </w:tcPr>
          <w:p>
            <w:pPr>
              <w:jc w:val="right"/>
              <w:ind w:right="278"/>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398.8</w:t>
            </w:r>
          </w:p>
        </w:tc>
      </w:tr>
      <w:tr>
        <w:trPr>
          <w:trHeight w:val="22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cash required by investing activities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(369.8)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(249.1)</w:t>
            </w:r>
          </w:p>
        </w:tc>
      </w:tr>
      <w:tr>
        <w:trPr>
          <w:trHeight w:val="220"/>
        </w:trPr>
        <w:tc>
          <w:tcPr>
            <w:tcW w:w="20" w:type="dxa"/>
            <w:vAlign w:val="bottom"/>
          </w:tcPr>
          <w:p>
            <w:pPr>
              <w:spacing w:after="0"/>
              <w:rPr>
                <w:sz w:val="19"/>
                <w:szCs w:val="19"/>
                <w:color w:val="auto"/>
              </w:rPr>
            </w:pPr>
          </w:p>
        </w:tc>
        <w:tc>
          <w:tcPr>
            <w:tcW w:w="8120" w:type="dxa"/>
            <w:vAlign w:val="bottom"/>
            <w:gridSpan w:val="2"/>
          </w:tcPr>
          <w:p>
            <w:pPr>
              <w:ind w:left="120"/>
              <w:spacing w:after="0"/>
              <w:rPr>
                <w:sz w:val="20"/>
                <w:szCs w:val="20"/>
                <w:color w:val="auto"/>
              </w:rPr>
            </w:pPr>
            <w:r>
              <w:rPr>
                <w:rFonts w:ascii="Arial" w:cs="Arial" w:eastAsia="Arial" w:hAnsi="Arial"/>
                <w:sz w:val="16"/>
                <w:szCs w:val="16"/>
                <w:color w:val="auto"/>
              </w:rPr>
              <w:t>Net cash provided (required) by financing activities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38.2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(144.2)</w:t>
            </w:r>
          </w:p>
        </w:tc>
      </w:tr>
      <w:tr>
        <w:trPr>
          <w:trHeight w:val="22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Effect of exchange rate changes on cash and cash equivalents</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13"/>
        </w:trPr>
        <w:tc>
          <w:tcPr>
            <w:tcW w:w="20" w:type="dxa"/>
            <w:vAlign w:val="bottom"/>
          </w:tcPr>
          <w:p>
            <w:pPr>
              <w:spacing w:after="0"/>
              <w:rPr>
                <w:sz w:val="18"/>
                <w:szCs w:val="18"/>
                <w:color w:val="auto"/>
              </w:rPr>
            </w:pPr>
          </w:p>
        </w:tc>
        <w:tc>
          <w:tcPr>
            <w:tcW w:w="8120" w:type="dxa"/>
            <w:vAlign w:val="bottom"/>
            <w:gridSpan w:val="2"/>
          </w:tcPr>
          <w:p>
            <w:pPr>
              <w:ind w:left="320"/>
              <w:spacing w:after="0"/>
              <w:rPr>
                <w:sz w:val="20"/>
                <w:szCs w:val="20"/>
                <w:color w:val="auto"/>
              </w:rPr>
            </w:pPr>
            <w:r>
              <w:rPr>
                <w:rFonts w:ascii="Arial" w:cs="Arial" w:eastAsia="Arial" w:hAnsi="Arial"/>
                <w:sz w:val="16"/>
                <w:szCs w:val="16"/>
                <w:color w:val="auto"/>
              </w:rPr>
              <w:t>Net (decrease) increase in cash and cash equivalents</w:t>
            </w:r>
          </w:p>
        </w:tc>
        <w:tc>
          <w:tcPr>
            <w:tcW w:w="32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(30.7)</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Cash Provided by Continuing Operations Activities</w:t>
      </w:r>
    </w:p>
    <w:p>
      <w:pPr>
        <w:spacing w:after="0" w:line="115" w:lineRule="exact"/>
        <w:rPr>
          <w:sz w:val="20"/>
          <w:szCs w:val="20"/>
          <w:color w:val="auto"/>
        </w:rPr>
      </w:pPr>
    </w:p>
    <w:p>
      <w:pPr>
        <w:jc w:val="both"/>
        <w:ind w:right="220"/>
        <w:spacing w:after="0" w:line="272" w:lineRule="auto"/>
        <w:rPr>
          <w:sz w:val="20"/>
          <w:szCs w:val="20"/>
          <w:color w:val="auto"/>
        </w:rPr>
      </w:pPr>
      <w:r>
        <w:rPr>
          <w:rFonts w:ascii="Arial" w:cs="Arial" w:eastAsia="Arial" w:hAnsi="Arial"/>
          <w:sz w:val="17"/>
          <w:szCs w:val="17"/>
          <w:color w:val="auto"/>
        </w:rPr>
        <w:t>Net cash provided by continuing operations activities for the three months ended March 31, 2025 was $ 98.1 million lower compared to the same period in 2024. The decrease in cash flows from operations activities was primarily attributable to lower revenue from production ($121.9 million), partially offset by lower lease operating expenses ($29.2 million).</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Cash Required by Investing Activities</w:t>
      </w:r>
    </w:p>
    <w:p>
      <w:pPr>
        <w:spacing w:after="0" w:line="115"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Net cash required by investing activities for the three months ended March 31, 2025 was $120.7 million higher compared to the same period in 2024. The increase was primarily due to higher property additions and dry hole costs ($119.3 million), which included a gross payment of $100.0 million for the purchase of a FPSO in the Gulf of America.</w:t>
      </w:r>
    </w:p>
    <w:p>
      <w:pPr>
        <w:spacing w:after="0" w:line="59"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A reconciliation of “Property additions and dry hole costs” in the Consolidated Statements of Cash Flows to total capital expenditures for continuing operations follows.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4"/>
          </w:tcPr>
          <w:p>
            <w:pPr>
              <w:jc w:val="center"/>
              <w:ind w:right="234"/>
              <w:spacing w:after="0"/>
              <w:rPr>
                <w:sz w:val="20"/>
                <w:szCs w:val="20"/>
                <w:color w:val="auto"/>
              </w:rPr>
            </w:pPr>
            <w:r>
              <w:rPr>
                <w:rFonts w:ascii="Arial" w:cs="Arial" w:eastAsia="Arial" w:hAnsi="Arial"/>
                <w:sz w:val="17"/>
                <w:szCs w:val="17"/>
                <w:b w:val="1"/>
                <w:bCs w:val="1"/>
                <w:color w:val="auto"/>
              </w:rPr>
              <w:t>Three Months Ended</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left="634"/>
              <w:spacing w:after="0"/>
              <w:rPr>
                <w:sz w:val="20"/>
                <w:szCs w:val="20"/>
                <w:color w:val="auto"/>
              </w:rPr>
            </w:pPr>
            <w:r>
              <w:rPr>
                <w:rFonts w:ascii="Arial" w:cs="Arial" w:eastAsia="Arial" w:hAnsi="Arial"/>
                <w:sz w:val="17"/>
                <w:szCs w:val="17"/>
                <w:b w:val="1"/>
                <w:bCs w:val="1"/>
                <w:color w:val="auto"/>
                <w:w w:val="99"/>
              </w:rPr>
              <w:t>March 31,</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120" w:type="dxa"/>
            <w:vAlign w:val="bottom"/>
            <w:gridSpan w:val="2"/>
          </w:tcPr>
          <w:p>
            <w:pPr>
              <w:spacing w:after="0" w:line="174" w:lineRule="exact"/>
              <w:rPr>
                <w:sz w:val="20"/>
                <w:szCs w:val="20"/>
                <w:color w:val="auto"/>
              </w:rPr>
            </w:pPr>
            <w:r>
              <w:rPr>
                <w:rFonts w:ascii="Arial" w:cs="Arial" w:eastAsia="Arial" w:hAnsi="Arial"/>
                <w:sz w:val="17"/>
                <w:szCs w:val="17"/>
                <w:i w:val="1"/>
                <w:iCs w:val="1"/>
                <w:color w:val="auto"/>
              </w:rPr>
              <w:t>(Millions of dollars)</w:t>
            </w:r>
          </w:p>
        </w:tc>
        <w:tc>
          <w:tcPr>
            <w:tcW w:w="320" w:type="dxa"/>
            <w:vAlign w:val="bottom"/>
          </w:tcPr>
          <w:p>
            <w:pPr>
              <w:spacing w:after="0"/>
              <w:rPr>
                <w:sz w:val="15"/>
                <w:szCs w:val="15"/>
                <w:color w:val="auto"/>
              </w:rPr>
            </w:pPr>
          </w:p>
        </w:tc>
        <w:tc>
          <w:tcPr>
            <w:tcW w:w="1180" w:type="dxa"/>
            <w:vAlign w:val="bottom"/>
          </w:tcPr>
          <w:p>
            <w:pPr>
              <w:jc w:val="right"/>
              <w:ind w:right="474"/>
              <w:spacing w:after="0" w:line="174" w:lineRule="exact"/>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jc w:val="right"/>
              <w:ind w:right="474"/>
              <w:spacing w:after="0" w:line="174" w:lineRule="exact"/>
              <w:rPr>
                <w:sz w:val="20"/>
                <w:szCs w:val="20"/>
                <w:color w:val="auto"/>
              </w:rPr>
            </w:pPr>
            <w:r>
              <w:rPr>
                <w:rFonts w:ascii="Arial" w:cs="Arial" w:eastAsia="Arial" w:hAnsi="Arial"/>
                <w:sz w:val="17"/>
                <w:szCs w:val="17"/>
                <w:color w:val="auto"/>
              </w:rPr>
              <w:t>2024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Property additions and dry hole costs per the cash flow statements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368.4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120" w:type="dxa"/>
            <w:vAlign w:val="bottom"/>
            <w:gridSpan w:val="2"/>
          </w:tcPr>
          <w:p>
            <w:pPr>
              <w:spacing w:after="0"/>
              <w:rPr>
                <w:sz w:val="20"/>
                <w:szCs w:val="20"/>
                <w:color w:val="auto"/>
              </w:rPr>
            </w:pPr>
            <w:r>
              <w:rPr>
                <w:rFonts w:ascii="Arial" w:cs="Arial" w:eastAsia="Arial" w:hAnsi="Arial"/>
                <w:sz w:val="17"/>
                <w:szCs w:val="17"/>
                <w:color w:val="auto"/>
              </w:rPr>
              <w:t>Acquisition of oil properties per the cash flow statements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Geophysical and other exploration expenses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81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Capital expenditure accrual changes and other</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43.4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8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Total capital expenditures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424.8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271.3</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7"/>
                <w:szCs w:val="17"/>
                <w:color w:val="auto"/>
              </w:rPr>
              <w:t>Total accrual basis capital expenditures are shown below.</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814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4"/>
          </w:tcPr>
          <w:p>
            <w:pPr>
              <w:jc w:val="center"/>
              <w:ind w:right="234"/>
              <w:spacing w:after="0"/>
              <w:rPr>
                <w:sz w:val="20"/>
                <w:szCs w:val="20"/>
                <w:color w:val="auto"/>
              </w:rPr>
            </w:pPr>
            <w:r>
              <w:rPr>
                <w:rFonts w:ascii="Arial" w:cs="Arial" w:eastAsia="Arial" w:hAnsi="Arial"/>
                <w:sz w:val="17"/>
                <w:szCs w:val="17"/>
                <w:b w:val="1"/>
                <w:bCs w:val="1"/>
                <w:color w:val="auto"/>
              </w:rPr>
              <w:t>Three Months Ended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120" w:type="dxa"/>
            <w:vAlign w:val="bottom"/>
            <w:gridSpan w:val="2"/>
            <w:vMerge w:val="restart"/>
          </w:tcPr>
          <w:p>
            <w:pPr>
              <w:spacing w:after="0"/>
              <w:rPr>
                <w:sz w:val="20"/>
                <w:szCs w:val="20"/>
                <w:color w:val="auto"/>
              </w:rPr>
            </w:pPr>
            <w:r>
              <w:rPr>
                <w:rFonts w:ascii="Arial" w:cs="Arial" w:eastAsia="Arial" w:hAnsi="Arial"/>
                <w:sz w:val="17"/>
                <w:szCs w:val="17"/>
                <w:i w:val="1"/>
                <w:iCs w:val="1"/>
                <w:color w:val="auto"/>
              </w:rPr>
              <w:t>(Millions of dollars)</w:t>
            </w: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center"/>
              <w:ind w:left="634"/>
              <w:spacing w:after="0"/>
              <w:rPr>
                <w:sz w:val="20"/>
                <w:szCs w:val="20"/>
                <w:color w:val="auto"/>
              </w:rPr>
            </w:pPr>
            <w:r>
              <w:rPr>
                <w:rFonts w:ascii="Arial" w:cs="Arial" w:eastAsia="Arial" w:hAnsi="Arial"/>
                <w:sz w:val="17"/>
                <w:szCs w:val="17"/>
                <w:b w:val="1"/>
                <w:bCs w:val="1"/>
                <w:color w:val="auto"/>
                <w:w w:val="99"/>
              </w:rPr>
              <w:t>March 31,</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12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ind w:right="474"/>
              <w:spacing w:after="0" w:line="174" w:lineRule="exact"/>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jc w:val="right"/>
              <w:ind w:right="474"/>
              <w:spacing w:after="0" w:line="174" w:lineRule="exact"/>
              <w:rPr>
                <w:sz w:val="20"/>
                <w:szCs w:val="20"/>
                <w:color w:val="auto"/>
              </w:rPr>
            </w:pPr>
            <w:r>
              <w:rPr>
                <w:rFonts w:ascii="Arial" w:cs="Arial" w:eastAsia="Arial" w:hAnsi="Arial"/>
                <w:sz w:val="17"/>
                <w:szCs w:val="17"/>
                <w:color w:val="auto"/>
              </w:rPr>
              <w:t>2024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Capital Expenditures</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120" w:type="dxa"/>
            <w:vAlign w:val="bottom"/>
            <w:gridSpan w:val="2"/>
          </w:tcPr>
          <w:p>
            <w:pPr>
              <w:ind w:left="320"/>
              <w:spacing w:after="0"/>
              <w:rPr>
                <w:sz w:val="20"/>
                <w:szCs w:val="20"/>
                <w:color w:val="auto"/>
              </w:rPr>
            </w:pPr>
            <w:r>
              <w:rPr>
                <w:rFonts w:ascii="Arial" w:cs="Arial" w:eastAsia="Arial" w:hAnsi="Arial"/>
                <w:sz w:val="17"/>
                <w:szCs w:val="17"/>
                <w:color w:val="auto"/>
              </w:rPr>
              <w:t>Exploration and production</w:t>
            </w:r>
          </w:p>
        </w:tc>
        <w:tc>
          <w:tcPr>
            <w:tcW w:w="320" w:type="dxa"/>
            <w:vAlign w:val="bottom"/>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420.6</w:t>
            </w:r>
          </w:p>
        </w:tc>
        <w:tc>
          <w:tcPr>
            <w:tcW w:w="100" w:type="dxa"/>
            <w:vAlign w:val="bottom"/>
          </w:tcPr>
          <w:p>
            <w:pPr>
              <w:spacing w:after="0"/>
              <w:rPr>
                <w:sz w:val="19"/>
                <w:szCs w:val="19"/>
                <w:color w:val="auto"/>
              </w:rPr>
            </w:pP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267.1</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Corporate</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gridSpan w:val="2"/>
          </w:tcPr>
          <w:p>
            <w:pPr>
              <w:ind w:left="500"/>
              <w:spacing w:after="0"/>
              <w:rPr>
                <w:sz w:val="20"/>
                <w:szCs w:val="20"/>
                <w:color w:val="auto"/>
              </w:rPr>
            </w:pPr>
            <w:r>
              <w:rPr>
                <w:rFonts w:ascii="Arial" w:cs="Arial" w:eastAsia="Arial" w:hAnsi="Arial"/>
                <w:sz w:val="17"/>
                <w:szCs w:val="17"/>
                <w:color w:val="auto"/>
              </w:rPr>
              <w:t>Total capital expenditures</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424.8</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right="280"/>
        <w:spacing w:after="0" w:line="291" w:lineRule="auto"/>
        <w:rPr>
          <w:sz w:val="20"/>
          <w:szCs w:val="20"/>
          <w:color w:val="auto"/>
        </w:rPr>
      </w:pPr>
      <w:r>
        <w:rPr>
          <w:rFonts w:ascii="Arial" w:cs="Arial" w:eastAsia="Arial" w:hAnsi="Arial"/>
          <w:sz w:val="17"/>
          <w:szCs w:val="17"/>
          <w:color w:val="auto"/>
        </w:rPr>
        <w:t>Higher capital expenditures in the three months ended March 31, 2025 compared to the same period of 2024 was primarily attributable to higher field development costs in the Gulf of America, including the purchase of a</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FPSO, increased exploratory drilling in Vietnam, and higher development drilling at Eagle Ford Shale. The purchased FPSO in the Gulf of America will remain at its current location, and continue supporting operations at the Cascade and Chinook fields.</w:t>
      </w:r>
    </w:p>
    <w:p>
      <w:pPr>
        <w:spacing w:after="0" w:line="43"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Capital expenditures in 2025 primarily relate to development drilling and field development activities at Eagle Ford Shale ($ 92.7 million), the Gulf of America ($214.8 million), Tupper Montney and Kaybob Duvernay ($50.2 million), and the non-operated Hibernia field ($4.6 million) in Canada. Other international field development activities were largely in Vietnam ($18.6 million). Exploration costs in 2025 were $ 39.1 million, primarily comprised of activities in Vietnam for the Hai Su Vang-1X (Golden Sea Lion), Block 15/2-17 and Lac Da Hong-1X (Pink Camel), Block 15-1/05 exploration wells and activities in the Gulf of America related to long lead equipment purchases for the Cello #1 and Banjo #1 (Mississippi Canyon 385) exploration wells.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Cash Provided by Financing Activities</w:t>
      </w:r>
    </w:p>
    <w:p>
      <w:pPr>
        <w:spacing w:after="0" w:line="115"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Net cash provided by financing activities for the three months ended March 31, 2025 increased by $182.4 million compared to the same period in 2024. In 2025, the cash provided by financing activities was due to net borrowings on the senior unsecured RCF ($200.0 million), partially offset by the repurchase of common shares ($100.1 million), cash dividends to shareholders of $0.33 per share ($47.0 million), withholding tax on stock-based incentive awards ($7.7 million), and distributions to the noncontrolling interest in MP GOM ($ 7.0 million). In 2024, cash required by financing activities was for the repurchase of common shares ($50.0 million), cash dividends to shareholders ($45.8 million), withholding tax on stock-based incentive awards ($25.3 million), and distributions to the noncontrolling interest in MP GOM ($23.0 million).</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w:t>
      </w:r>
    </w:p>
    <w:p>
      <w:pPr>
        <w:spacing w:after="0" w:line="117"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At March 31, 2025, the Company had approximately $1.5 billion of liquidity consisting of $392.9 million in cash and cash equivalents and $1,149.6 million available on its committed senior unsecured RCF with a major banking consortium.</w:t>
      </w:r>
    </w:p>
    <w:p>
      <w:pPr>
        <w:spacing w:after="0" w:line="43"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The Company’s $1.35 billion senior unsecured RCF expires in October 2029. As of March 31, 2025, the Company had $200.0 million of outstanding borrowings under the RCF and $0.4 million of outstanding letters of credit, which reduce the borrowing capacity of the RCF. At March 31, 2025, the interest rate in effect on borrowings under the RCF was 6.67%. At March 31, 2025, the Company was in compliance with all covenants related to the RCF.</w:t>
      </w:r>
    </w:p>
    <w:p>
      <w:pPr>
        <w:spacing w:after="0" w:line="64"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Cash and invested cash are maintained in several operating locations outside the U.S. As of March 31, 2025, cash and cash equivalents held outside the U.S. included U.S. dollar equivalents of approximately $83.1 million, the majority of which was held in Canada ($48.5 million), Vietnam ($9.0 million), and the U.K. ($7.8 million). In certain cases, the Company could incur cash taxes or other costs should these cash balances be repatriated to the U.S. in future periods. Canada currently collects a 5% withholding tax on any earnings repatriated to the U.S.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99"/>
              </w:rPr>
              <w:t>Working Capital</w:t>
            </w:r>
          </w:p>
        </w:tc>
        <w:tc>
          <w:tcPr>
            <w:tcW w:w="662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29"/>
        </w:trPr>
        <w:tc>
          <w:tcPr>
            <w:tcW w:w="20" w:type="dxa"/>
            <w:vAlign w:val="bottom"/>
          </w:tcPr>
          <w:p>
            <w:pPr>
              <w:spacing w:after="0"/>
              <w:rPr>
                <w:sz w:val="24"/>
                <w:szCs w:val="24"/>
                <w:color w:val="auto"/>
              </w:rPr>
            </w:pPr>
          </w:p>
        </w:tc>
        <w:tc>
          <w:tcPr>
            <w:tcW w:w="7820" w:type="dxa"/>
            <w:vAlign w:val="bottom"/>
            <w:gridSpan w:val="3"/>
          </w:tcPr>
          <w:p>
            <w:pPr>
              <w:spacing w:after="0"/>
              <w:rPr>
                <w:sz w:val="20"/>
                <w:szCs w:val="20"/>
                <w:color w:val="auto"/>
              </w:rPr>
            </w:pPr>
            <w:r>
              <w:rPr>
                <w:rFonts w:ascii="Arial" w:cs="Arial" w:eastAsia="Arial" w:hAnsi="Arial"/>
                <w:sz w:val="17"/>
                <w:szCs w:val="17"/>
                <w:i w:val="1"/>
                <w:iCs w:val="1"/>
                <w:color w:val="auto"/>
              </w:rPr>
              <w:t>(Millions of dollars)</w:t>
            </w:r>
          </w:p>
        </w:tc>
        <w:tc>
          <w:tcPr>
            <w:tcW w:w="180" w:type="dxa"/>
            <w:vAlign w:val="bottom"/>
          </w:tcPr>
          <w:p>
            <w:pPr>
              <w:spacing w:after="0"/>
              <w:rPr>
                <w:sz w:val="24"/>
                <w:szCs w:val="24"/>
                <w:color w:val="auto"/>
              </w:rPr>
            </w:pPr>
          </w:p>
        </w:tc>
        <w:tc>
          <w:tcPr>
            <w:tcW w:w="1580" w:type="dxa"/>
            <w:vAlign w:val="bottom"/>
            <w:gridSpan w:val="2"/>
          </w:tcPr>
          <w:p>
            <w:pPr>
              <w:ind w:left="40"/>
              <w:spacing w:after="0"/>
              <w:rPr>
                <w:sz w:val="20"/>
                <w:szCs w:val="20"/>
                <w:color w:val="auto"/>
              </w:rPr>
            </w:pPr>
            <w:r>
              <w:rPr>
                <w:rFonts w:ascii="Arial" w:cs="Arial" w:eastAsia="Arial" w:hAnsi="Arial"/>
                <w:sz w:val="17"/>
                <w:szCs w:val="17"/>
                <w:b w:val="1"/>
                <w:bCs w:val="1"/>
                <w:color w:val="auto"/>
              </w:rPr>
              <w:t>March 31, 2025</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December 31, 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6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Working capital</w:t>
            </w: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7820" w:type="dxa"/>
            <w:vAlign w:val="bottom"/>
            <w:gridSpan w:val="3"/>
          </w:tcPr>
          <w:p>
            <w:pPr>
              <w:ind w:left="200"/>
              <w:spacing w:after="0"/>
              <w:rPr>
                <w:sz w:val="20"/>
                <w:szCs w:val="20"/>
                <w:color w:val="auto"/>
              </w:rPr>
            </w:pPr>
            <w:r>
              <w:rPr>
                <w:rFonts w:ascii="Arial" w:cs="Arial" w:eastAsia="Arial" w:hAnsi="Arial"/>
                <w:sz w:val="17"/>
                <w:szCs w:val="17"/>
                <w:color w:val="auto"/>
              </w:rPr>
              <w:t>Total current assets</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771.4</w:t>
            </w:r>
          </w:p>
        </w:tc>
        <w:tc>
          <w:tcPr>
            <w:tcW w:w="100" w:type="dxa"/>
            <w:vAlign w:val="bottom"/>
          </w:tcPr>
          <w:p>
            <w:pPr>
              <w:spacing w:after="0"/>
              <w:rPr>
                <w:sz w:val="19"/>
                <w:szCs w:val="19"/>
                <w:color w:val="auto"/>
              </w:rPr>
            </w:pPr>
          </w:p>
        </w:tc>
        <w:tc>
          <w:tcPr>
            <w:tcW w:w="580" w:type="dxa"/>
            <w:vAlign w:val="bottom"/>
          </w:tcPr>
          <w:p>
            <w:pPr>
              <w:jc w:val="right"/>
              <w:ind w:right="39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785.3</w:t>
            </w:r>
          </w:p>
        </w:tc>
      </w:tr>
      <w:tr>
        <w:trPr>
          <w:trHeight w:val="220"/>
        </w:trPr>
        <w:tc>
          <w:tcPr>
            <w:tcW w:w="20" w:type="dxa"/>
            <w:vAlign w:val="bottom"/>
            <w:shd w:val="clear" w:color="auto" w:fill="CCEEFF"/>
          </w:tcPr>
          <w:p>
            <w:pPr>
              <w:spacing w:after="0"/>
              <w:rPr>
                <w:sz w:val="19"/>
                <w:szCs w:val="19"/>
                <w:color w:val="auto"/>
              </w:rPr>
            </w:pPr>
          </w:p>
        </w:tc>
        <w:tc>
          <w:tcPr>
            <w:tcW w:w="782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Total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1,008.5</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942.8</w:t>
            </w:r>
          </w:p>
        </w:tc>
      </w:tr>
      <w:tr>
        <w:trPr>
          <w:trHeight w:val="213"/>
        </w:trPr>
        <w:tc>
          <w:tcPr>
            <w:tcW w:w="20" w:type="dxa"/>
            <w:vAlign w:val="bottom"/>
          </w:tcPr>
          <w:p>
            <w:pPr>
              <w:spacing w:after="0"/>
              <w:rPr>
                <w:sz w:val="18"/>
                <w:szCs w:val="18"/>
                <w:color w:val="auto"/>
              </w:rPr>
            </w:pPr>
          </w:p>
        </w:tc>
        <w:tc>
          <w:tcPr>
            <w:tcW w:w="7820" w:type="dxa"/>
            <w:vAlign w:val="bottom"/>
            <w:gridSpan w:val="3"/>
          </w:tcPr>
          <w:p>
            <w:pPr>
              <w:ind w:left="420"/>
              <w:spacing w:after="0"/>
              <w:rPr>
                <w:sz w:val="20"/>
                <w:szCs w:val="20"/>
                <w:color w:val="auto"/>
              </w:rPr>
            </w:pPr>
            <w:r>
              <w:rPr>
                <w:rFonts w:ascii="Arial" w:cs="Arial" w:eastAsia="Arial" w:hAnsi="Arial"/>
                <w:sz w:val="17"/>
                <w:szCs w:val="17"/>
                <w:color w:val="auto"/>
              </w:rPr>
              <w:t>Net working capital liability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(237.1)</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(157.5)</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As of March 31, 2025, net working capital decreased by $79.6 million compared to December 31, 2024. The decrease was primarily attributable to higher accounts payable ($66.1 million), lower cash balance ($30.7 million), and higher current asset retirement obligations ($ 29.4 million), partially offset by lower other accrued liabilities ($27.2 million) and higher inventory balances ($ 16.2 million). Higher accounts payable was primarily due to the timing of drilling and completions work and accruals relating to the purchase of the FPSO in the Gulf of America. Higher current asset retirement obligations were primarily attributable to planned abandonment activities in U.S. Offshore in the next 12 months. Lower other accrued liabilities were due to incentive payments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and operating lease payments made in 2025. Inventory balances increased primarily due to timing of sales cargos at U.S. Offshore.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Capital Employed</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A summary of capital employed at March 31, 2025 and December 31, 2024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5480" w:type="dxa"/>
            <w:vAlign w:val="bottom"/>
            <w:gridSpan w:val="2"/>
            <w:vMerge w:val="restart"/>
          </w:tcPr>
          <w:p>
            <w:pPr>
              <w:spacing w:after="0"/>
              <w:rPr>
                <w:sz w:val="20"/>
                <w:szCs w:val="20"/>
                <w:color w:val="auto"/>
              </w:rPr>
            </w:pPr>
            <w:r>
              <w:rPr>
                <w:rFonts w:ascii="Arial" w:cs="Arial" w:eastAsia="Arial" w:hAnsi="Arial"/>
                <w:sz w:val="17"/>
                <w:szCs w:val="17"/>
                <w:i w:val="1"/>
                <w:iCs w:val="1"/>
                <w:color w:val="auto"/>
              </w:rPr>
              <w:t>(Millions of dollars)</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ind w:left="580"/>
              <w:spacing w:after="0"/>
              <w:rPr>
                <w:sz w:val="20"/>
                <w:szCs w:val="20"/>
                <w:color w:val="auto"/>
              </w:rPr>
            </w:pPr>
            <w:r>
              <w:rPr>
                <w:rFonts w:ascii="Arial" w:cs="Arial" w:eastAsia="Arial" w:hAnsi="Arial"/>
                <w:sz w:val="17"/>
                <w:szCs w:val="17"/>
                <w:b w:val="1"/>
                <w:bCs w:val="1"/>
                <w:color w:val="auto"/>
                <w:w w:val="99"/>
              </w:rPr>
              <w:t>March 31, 2025</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3"/>
          </w:tcPr>
          <w:p>
            <w:pPr>
              <w:ind w:left="440"/>
              <w:spacing w:after="0"/>
              <w:rPr>
                <w:sz w:val="20"/>
                <w:szCs w:val="20"/>
                <w:color w:val="auto"/>
              </w:rPr>
            </w:pPr>
            <w:r>
              <w:rPr>
                <w:rFonts w:ascii="Arial" w:cs="Arial" w:eastAsia="Arial" w:hAnsi="Arial"/>
                <w:sz w:val="17"/>
                <w:szCs w:val="17"/>
                <w:color w:val="auto"/>
              </w:rPr>
              <w:t>December 31, 2024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3"/>
          </w:tcPr>
          <w:p>
            <w:pPr>
              <w:ind w:left="100"/>
              <w:spacing w:after="0" w:line="174" w:lineRule="exact"/>
              <w:rPr>
                <w:sz w:val="20"/>
                <w:szCs w:val="20"/>
                <w:color w:val="auto"/>
              </w:rPr>
            </w:pPr>
            <w:r>
              <w:rPr>
                <w:rFonts w:ascii="Arial" w:cs="Arial" w:eastAsia="Arial" w:hAnsi="Arial"/>
                <w:sz w:val="17"/>
                <w:szCs w:val="17"/>
                <w:b w:val="1"/>
                <w:bCs w:val="1"/>
                <w:color w:val="auto"/>
              </w:rPr>
              <w:t>Amount</w:t>
            </w:r>
          </w:p>
        </w:tc>
        <w:tc>
          <w:tcPr>
            <w:tcW w:w="800" w:type="dxa"/>
            <w:vAlign w:val="bottom"/>
          </w:tcPr>
          <w:p>
            <w:pPr>
              <w:jc w:val="right"/>
              <w:ind w:right="554"/>
              <w:spacing w:after="0" w:line="174" w:lineRule="exact"/>
              <w:rPr>
                <w:sz w:val="20"/>
                <w:szCs w:val="20"/>
                <w:color w:val="auto"/>
              </w:rPr>
            </w:pPr>
            <w:r>
              <w:rPr>
                <w:rFonts w:ascii="Arial" w:cs="Arial" w:eastAsia="Arial" w:hAnsi="Arial"/>
                <w:sz w:val="17"/>
                <w:szCs w:val="17"/>
                <w:b w:val="1"/>
                <w:bCs w:val="1"/>
                <w:color w:val="auto"/>
                <w:w w:val="92"/>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40"/>
              <w:spacing w:after="0" w:line="174" w:lineRule="exact"/>
              <w:rPr>
                <w:sz w:val="20"/>
                <w:szCs w:val="20"/>
                <w:color w:val="auto"/>
              </w:rPr>
            </w:pPr>
            <w:r>
              <w:rPr>
                <w:rFonts w:ascii="Arial" w:cs="Arial" w:eastAsia="Arial" w:hAnsi="Arial"/>
                <w:sz w:val="17"/>
                <w:szCs w:val="17"/>
                <w:color w:val="auto"/>
              </w:rPr>
              <w:t>Amount</w:t>
            </w:r>
          </w:p>
        </w:tc>
        <w:tc>
          <w:tcPr>
            <w:tcW w:w="1420" w:type="dxa"/>
            <w:vAlign w:val="bottom"/>
          </w:tcPr>
          <w:p>
            <w:pPr>
              <w:jc w:val="right"/>
              <w:ind w:right="554"/>
              <w:spacing w:after="0" w:line="17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Capital employed</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480" w:type="dxa"/>
            <w:vAlign w:val="bottom"/>
            <w:gridSpan w:val="2"/>
          </w:tcPr>
          <w:p>
            <w:pPr>
              <w:ind w:left="200"/>
              <w:spacing w:after="0"/>
              <w:rPr>
                <w:sz w:val="20"/>
                <w:szCs w:val="20"/>
                <w:color w:val="auto"/>
              </w:rPr>
            </w:pPr>
            <w:r>
              <w:rPr>
                <w:rFonts w:ascii="Arial" w:cs="Arial" w:eastAsia="Arial" w:hAnsi="Arial"/>
                <w:sz w:val="17"/>
                <w:szCs w:val="17"/>
                <w:color w:val="auto"/>
              </w:rPr>
              <w:t>Long-term debt</w:t>
            </w:r>
          </w:p>
        </w:tc>
        <w:tc>
          <w:tcPr>
            <w:tcW w:w="220" w:type="dxa"/>
            <w:vAlign w:val="bottom"/>
          </w:tcPr>
          <w:p>
            <w:pPr>
              <w:jc w:val="right"/>
              <w:ind w:right="34"/>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1,474.8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22.4 %</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tcPr>
          <w:p>
            <w:pPr>
              <w:ind w:left="440"/>
              <w:spacing w:after="0"/>
              <w:rPr>
                <w:sz w:val="20"/>
                <w:szCs w:val="20"/>
                <w:color w:val="auto"/>
              </w:rPr>
            </w:pPr>
            <w:r>
              <w:rPr>
                <w:rFonts w:ascii="Arial" w:cs="Arial" w:eastAsia="Arial" w:hAnsi="Arial"/>
                <w:sz w:val="17"/>
                <w:szCs w:val="17"/>
                <w:color w:val="auto"/>
              </w:rPr>
              <w:t>1,274.5</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19.7 %</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Murphy shareholders'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5,120.3</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77.6 %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7"/>
                <w:szCs w:val="17"/>
                <w:color w:val="auto"/>
              </w:rPr>
              <w:t>5,194.3</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80.3 %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80" w:type="dxa"/>
            <w:vAlign w:val="bottom"/>
            <w:gridSpan w:val="2"/>
          </w:tcPr>
          <w:p>
            <w:pPr>
              <w:ind w:left="420"/>
              <w:spacing w:after="0"/>
              <w:rPr>
                <w:sz w:val="20"/>
                <w:szCs w:val="20"/>
                <w:color w:val="auto"/>
              </w:rPr>
            </w:pPr>
            <w:r>
              <w:rPr>
                <w:rFonts w:ascii="Arial" w:cs="Arial" w:eastAsia="Arial" w:hAnsi="Arial"/>
                <w:sz w:val="17"/>
                <w:szCs w:val="17"/>
                <w:color w:val="auto"/>
              </w:rPr>
              <w:t>Total capital employed</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6,595.1</w:t>
            </w:r>
          </w:p>
        </w:tc>
        <w:tc>
          <w:tcPr>
            <w:tcW w:w="1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100.0 %</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ind w:left="440"/>
              <w:spacing w:after="0"/>
              <w:rPr>
                <w:sz w:val="20"/>
                <w:szCs w:val="20"/>
                <w:color w:val="auto"/>
              </w:rPr>
            </w:pPr>
            <w:r>
              <w:rPr>
                <w:rFonts w:ascii="Arial" w:cs="Arial" w:eastAsia="Arial" w:hAnsi="Arial"/>
                <w:sz w:val="17"/>
                <w:szCs w:val="17"/>
                <w:color w:val="auto"/>
              </w:rPr>
              <w:t>6,468.8</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right="600"/>
        <w:spacing w:after="0" w:line="272" w:lineRule="auto"/>
        <w:rPr>
          <w:sz w:val="20"/>
          <w:szCs w:val="20"/>
          <w:color w:val="auto"/>
        </w:rPr>
      </w:pPr>
      <w:r>
        <w:rPr>
          <w:rFonts w:ascii="Arial" w:cs="Arial" w:eastAsia="Arial" w:hAnsi="Arial"/>
          <w:sz w:val="17"/>
          <w:szCs w:val="17"/>
          <w:color w:val="auto"/>
        </w:rPr>
        <w:t>At March 31, 2025, long-term debt of $1,474.8 million increased by $200.3 million compared to December 31, 2024, primarily as a result of amounts drawn on the senior unsecured RCF. The total of the fixed-rate notes had a weighted average maturity of 9.1 years and a weighted average coupon of 6.1%.</w:t>
      </w:r>
    </w:p>
    <w:p>
      <w:pPr>
        <w:spacing w:after="0" w:line="59" w:lineRule="exact"/>
        <w:rPr>
          <w:sz w:val="20"/>
          <w:szCs w:val="20"/>
          <w:color w:val="auto"/>
        </w:rPr>
      </w:pPr>
    </w:p>
    <w:p>
      <w:pPr>
        <w:ind w:right="380"/>
        <w:spacing w:after="0" w:line="272" w:lineRule="auto"/>
        <w:rPr>
          <w:sz w:val="20"/>
          <w:szCs w:val="20"/>
          <w:color w:val="auto"/>
        </w:rPr>
      </w:pPr>
      <w:r>
        <w:rPr>
          <w:rFonts w:ascii="Arial" w:cs="Arial" w:eastAsia="Arial" w:hAnsi="Arial"/>
          <w:sz w:val="17"/>
          <w:szCs w:val="17"/>
          <w:color w:val="auto"/>
        </w:rPr>
        <w:t>Murphy shareholders’ equity decreased by $74.0 million in 2025, primarily due to shares repurchased ($100.9 million, including excise tax) and cash dividends paid ($ 47.0 million), partially offset by net income earned ($73.0 million). A summary of transactions in stockholders’ equity accounts is presented in the “</w:t>
      </w:r>
      <w:r>
        <w:rPr>
          <w:rFonts w:ascii="Arial" w:cs="Arial" w:eastAsia="Arial" w:hAnsi="Arial"/>
          <w:sz w:val="17"/>
          <w:szCs w:val="17"/>
          <w:u w:val="single" w:color="auto"/>
          <w:color w:val="0000FF"/>
        </w:rPr>
        <w:t>Consolidated Statements of Stockholders’ Equity</w:t>
      </w:r>
      <w:r>
        <w:rPr>
          <w:rFonts w:ascii="Arial" w:cs="Arial" w:eastAsia="Arial" w:hAnsi="Arial"/>
          <w:sz w:val="17"/>
          <w:szCs w:val="17"/>
          <w:color w:val="auto"/>
        </w:rPr>
        <w:t xml:space="preserve">” on page </w:t>
      </w:r>
      <w:r>
        <w:rPr>
          <w:rFonts w:ascii="Arial" w:cs="Arial" w:eastAsia="Arial" w:hAnsi="Arial"/>
          <w:sz w:val="17"/>
          <w:szCs w:val="17"/>
          <w:u w:val="single" w:color="auto"/>
          <w:color w:val="0000FF"/>
        </w:rPr>
        <w:t>6</w:t>
      </w:r>
      <w:r>
        <w:rPr>
          <w:rFonts w:ascii="Arial" w:cs="Arial" w:eastAsia="Arial" w:hAnsi="Arial"/>
          <w:sz w:val="17"/>
          <w:szCs w:val="17"/>
          <w:color w:val="auto"/>
        </w:rPr>
        <w:t xml:space="preserve"> of this Form 10-Q report.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Critical Accounting Estimates</w:t>
      </w:r>
    </w:p>
    <w:p>
      <w:pPr>
        <w:spacing w:after="0" w:line="155" w:lineRule="exact"/>
        <w:rPr>
          <w:sz w:val="20"/>
          <w:szCs w:val="20"/>
          <w:color w:val="auto"/>
        </w:rPr>
      </w:pPr>
    </w:p>
    <w:p>
      <w:pPr>
        <w:ind w:right="280"/>
        <w:spacing w:after="0" w:line="291" w:lineRule="auto"/>
        <w:rPr>
          <w:sz w:val="20"/>
          <w:szCs w:val="20"/>
          <w:color w:val="auto"/>
        </w:rPr>
      </w:pPr>
      <w:r>
        <w:rPr>
          <w:rFonts w:ascii="Arial" w:cs="Arial" w:eastAsia="Arial" w:hAnsi="Arial"/>
          <w:sz w:val="17"/>
          <w:szCs w:val="17"/>
          <w:color w:val="auto"/>
        </w:rPr>
        <w:t>As of March 31, 2025, there have been no significant changes to our critical accounting estimates since our Annual Report on Form 10-K for the year ended December 31, 2024.</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Accounting Changes and Recent Accounting Pronouncements</w:t>
      </w:r>
    </w:p>
    <w:p>
      <w:pPr>
        <w:spacing w:after="0" w:line="155" w:lineRule="exact"/>
        <w:rPr>
          <w:sz w:val="20"/>
          <w:szCs w:val="20"/>
          <w:color w:val="auto"/>
        </w:rPr>
      </w:pPr>
    </w:p>
    <w:p>
      <w:pPr>
        <w:ind w:right="440"/>
        <w:spacing w:after="0" w:line="291" w:lineRule="auto"/>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u w:val="single" w:color="auto"/>
          <w:color w:val="0000FF"/>
        </w:rPr>
        <w:t>Note B</w:t>
      </w:r>
      <w:r>
        <w:rPr>
          <w:rFonts w:ascii="Arial" w:cs="Arial" w:eastAsia="Arial" w:hAnsi="Arial"/>
          <w:sz w:val="17"/>
          <w:szCs w:val="17"/>
          <w:color w:val="auto"/>
        </w:rPr>
        <w:t xml:space="preserve"> to the Consolidated Financial Statements regarding the impact or potential impact of recent accounting pronouncements upon our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Other Key Performance Metrics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The Company uses other operational performance and income metrics to review operational performance.</w:t>
      </w:r>
    </w:p>
    <w:p>
      <w:pPr>
        <w:spacing w:after="0" w:line="115"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Management uses adjusted net income, earnings before interest, taxes, depreciation and amortization (EBITDA), adjusted EBITDA, earnings before interest, taxes, depreciation and amortization, and exploration expenses (EBITDAX) and adjusted EBITDAX internally to evaluate the Company’s operational performance and trends between periods and relative to its industry competitors. Adjusted net income and adjusted EBITDAX exclude certain items that management believes affect the comparability of results between periods. Management believes this information may be useful to investors and analysts to gain a better understanding of the Company’s financial results. Adjusted net income, EBITDA, adjusted EBITDA, EBITDAX and adjusted EBITDAX are non-GAAP financial measures and should not be considered substitutes for net income (loss) or cash provided by operating activities as determined in accordance with GAAP.</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net income attributable to Murphy to adjusted net income from continuing operations attributable to Murphy.</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4"/>
          </w:tcPr>
          <w:p>
            <w:pPr>
              <w:jc w:val="right"/>
              <w:ind w:right="654"/>
              <w:spacing w:after="0"/>
              <w:rPr>
                <w:sz w:val="20"/>
                <w:szCs w:val="20"/>
                <w:color w:val="auto"/>
              </w:rPr>
            </w:pPr>
            <w:r>
              <w:rPr>
                <w:rFonts w:ascii="Arial" w:cs="Arial" w:eastAsia="Arial" w:hAnsi="Arial"/>
                <w:sz w:val="17"/>
                <w:szCs w:val="17"/>
                <w:b w:val="1"/>
                <w:bCs w:val="1"/>
                <w:color w:val="auto"/>
              </w:rPr>
              <w:t>Three Months Ended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20" w:type="dxa"/>
            <w:vAlign w:val="bottom"/>
            <w:vMerge w:val="restart"/>
          </w:tcPr>
          <w:p>
            <w:pPr>
              <w:spacing w:after="0"/>
              <w:rPr>
                <w:sz w:val="20"/>
                <w:szCs w:val="20"/>
                <w:color w:val="auto"/>
              </w:rPr>
            </w:pPr>
            <w:r>
              <w:rPr>
                <w:rFonts w:ascii="Arial" w:cs="Arial" w:eastAsia="Arial" w:hAnsi="Arial"/>
                <w:sz w:val="17"/>
                <w:szCs w:val="17"/>
                <w:i w:val="1"/>
                <w:iCs w:val="1"/>
                <w:color w:val="auto"/>
              </w:rPr>
              <w:t>(Millions of dollars, except per share amounts)</w:t>
            </w:r>
          </w:p>
        </w:tc>
        <w:tc>
          <w:tcPr>
            <w:tcW w:w="44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7"/>
                <w:szCs w:val="17"/>
                <w:b w:val="1"/>
                <w:bCs w:val="1"/>
                <w:color w:val="auto"/>
              </w:rPr>
              <w:t>March 31,</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520" w:type="dxa"/>
            <w:vAlign w:val="bottom"/>
            <w:tcBorders>
              <w:bottom w:val="single" w:sz="8" w:color="auto"/>
            </w:tcBorders>
            <w:vMerge w:val="continue"/>
          </w:tcPr>
          <w:p>
            <w:pPr>
              <w:spacing w:after="0"/>
              <w:rPr>
                <w:sz w:val="15"/>
                <w:szCs w:val="15"/>
                <w:color w:val="auto"/>
              </w:rPr>
            </w:pPr>
          </w:p>
        </w:tc>
        <w:tc>
          <w:tcPr>
            <w:tcW w:w="4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494"/>
              <w:spacing w:after="0" w:line="174" w:lineRule="exact"/>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jc w:val="right"/>
              <w:ind w:right="494"/>
              <w:spacing w:after="0" w:line="174" w:lineRule="exact"/>
              <w:rPr>
                <w:sz w:val="20"/>
                <w:szCs w:val="20"/>
                <w:color w:val="auto"/>
              </w:rPr>
            </w:pPr>
            <w:r>
              <w:rPr>
                <w:rFonts w:ascii="Arial" w:cs="Arial" w:eastAsia="Arial" w:hAnsi="Arial"/>
                <w:sz w:val="17"/>
                <w:szCs w:val="17"/>
                <w:color w:val="auto"/>
              </w:rPr>
              <w:t>2024</w:t>
            </w:r>
          </w:p>
        </w:tc>
        <w:tc>
          <w:tcPr>
            <w:tcW w:w="0" w:type="dxa"/>
            <w:vAlign w:val="bottom"/>
          </w:tcPr>
          <w:p>
            <w:pPr>
              <w:spacing w:after="0"/>
              <w:rPr>
                <w:sz w:val="1"/>
                <w:szCs w:val="1"/>
                <w:color w:val="auto"/>
              </w:rPr>
            </w:pPr>
          </w:p>
        </w:tc>
      </w:tr>
      <w:tr>
        <w:trPr>
          <w:trHeight w:val="45"/>
        </w:trPr>
        <w:tc>
          <w:tcPr>
            <w:tcW w:w="20" w:type="dxa"/>
            <w:vAlign w:val="bottom"/>
            <w:tcBorders>
              <w:bottom w:val="single" w:sz="8" w:color="CCEEFF"/>
            </w:tcBorders>
          </w:tcPr>
          <w:p>
            <w:pPr>
              <w:spacing w:after="0"/>
              <w:rPr>
                <w:sz w:val="3"/>
                <w:szCs w:val="3"/>
                <w:color w:val="auto"/>
              </w:rPr>
            </w:pPr>
          </w:p>
        </w:tc>
        <w:tc>
          <w:tcPr>
            <w:tcW w:w="3520" w:type="dxa"/>
            <w:vAlign w:val="bottom"/>
            <w:tcBorders>
              <w:bottom w:val="single" w:sz="8" w:color="CCEEFF"/>
            </w:tcBorders>
          </w:tcPr>
          <w:p>
            <w:pPr>
              <w:spacing w:after="0"/>
              <w:rPr>
                <w:sz w:val="3"/>
                <w:szCs w:val="3"/>
                <w:color w:val="auto"/>
              </w:rPr>
            </w:pPr>
          </w:p>
        </w:tc>
        <w:tc>
          <w:tcPr>
            <w:tcW w:w="44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000" w:type="dxa"/>
            <w:vAlign w:val="bottom"/>
            <w:gridSpan w:val="2"/>
            <w:shd w:val="clear" w:color="auto" w:fill="CCEEFF"/>
          </w:tcPr>
          <w:p>
            <w:pPr>
              <w:spacing w:after="0" w:line="212" w:lineRule="exact"/>
              <w:rPr>
                <w:sz w:val="20"/>
                <w:szCs w:val="20"/>
                <w:color w:val="auto"/>
              </w:rPr>
            </w:pPr>
            <w:r>
              <w:rPr>
                <w:rFonts w:ascii="Arial" w:cs="Arial" w:eastAsia="Arial" w:hAnsi="Arial"/>
                <w:sz w:val="17"/>
                <w:szCs w:val="17"/>
                <w:b w:val="1"/>
                <w:bCs w:val="1"/>
                <w:color w:val="auto"/>
              </w:rPr>
              <w:t xml:space="preserve">Net income attributable to Murphy (GAAP) </w:t>
            </w:r>
            <w:r>
              <w:rPr>
                <w:rFonts w:ascii="Arial" w:cs="Arial" w:eastAsia="Arial" w:hAnsi="Arial"/>
                <w:sz w:val="22"/>
                <w:szCs w:val="22"/>
                <w:b w:val="1"/>
                <w:bCs w:val="1"/>
                <w:color w:val="auto"/>
                <w:vertAlign w:val="superscript"/>
              </w:rPr>
              <w:t>1</w:t>
            </w: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73.0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800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Discontinued operations loss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0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Net income from continuing operations attributable to Murphy</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73.6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00" w:type="dxa"/>
            <w:vAlign w:val="bottom"/>
            <w:gridSpan w:val="2"/>
          </w:tcPr>
          <w:p>
            <w:pPr>
              <w:spacing w:after="0"/>
              <w:rPr>
                <w:sz w:val="20"/>
                <w:szCs w:val="20"/>
                <w:color w:val="auto"/>
              </w:rPr>
            </w:pPr>
            <w:r>
              <w:rPr>
                <w:rFonts w:ascii="Arial" w:cs="Arial" w:eastAsia="Arial" w:hAnsi="Arial"/>
                <w:sz w:val="17"/>
                <w:szCs w:val="17"/>
                <w:color w:val="auto"/>
              </w:rPr>
              <w:t>Adjustments: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Mark-to-market loss on derivative instruments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00" w:type="dxa"/>
            <w:vAlign w:val="bottom"/>
            <w:gridSpan w:val="2"/>
          </w:tcPr>
          <w:p>
            <w:pPr>
              <w:ind w:left="220"/>
              <w:spacing w:after="0"/>
              <w:rPr>
                <w:sz w:val="20"/>
                <w:szCs w:val="20"/>
                <w:color w:val="auto"/>
              </w:rPr>
            </w:pPr>
            <w:r>
              <w:rPr>
                <w:rFonts w:ascii="Arial" w:cs="Arial" w:eastAsia="Arial" w:hAnsi="Arial"/>
                <w:sz w:val="17"/>
                <w:szCs w:val="17"/>
                <w:color w:val="auto"/>
              </w:rPr>
              <w:t>Impairment of assets</w:t>
            </w:r>
          </w:p>
        </w:tc>
        <w:tc>
          <w:tcPr>
            <w:tcW w:w="3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34.5</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Write-off of previously suspended exploration well</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00" w:type="dxa"/>
            <w:vAlign w:val="bottom"/>
            <w:gridSpan w:val="2"/>
          </w:tcPr>
          <w:p>
            <w:pPr>
              <w:ind w:left="220"/>
              <w:spacing w:after="0"/>
              <w:rPr>
                <w:sz w:val="20"/>
                <w:szCs w:val="20"/>
                <w:color w:val="auto"/>
              </w:rPr>
            </w:pPr>
            <w:r>
              <w:rPr>
                <w:rFonts w:ascii="Arial" w:cs="Arial" w:eastAsia="Arial" w:hAnsi="Arial"/>
                <w:sz w:val="17"/>
                <w:szCs w:val="17"/>
                <w:color w:val="auto"/>
              </w:rPr>
              <w:t>Foreign exchange (gain)</w:t>
            </w:r>
          </w:p>
        </w:tc>
        <w:tc>
          <w:tcPr>
            <w:tcW w:w="3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8000" w:type="dxa"/>
            <w:vAlign w:val="bottom"/>
            <w:tcBorders>
              <w:top w:val="single" w:sz="8" w:color="CCEEFF"/>
            </w:tcBorders>
            <w:gridSpan w:val="2"/>
            <w:shd w:val="clear" w:color="auto" w:fill="CCEEFF"/>
          </w:tcPr>
          <w:p>
            <w:pPr>
              <w:ind w:left="420"/>
              <w:spacing w:after="0"/>
              <w:rPr>
                <w:sz w:val="20"/>
                <w:szCs w:val="20"/>
                <w:color w:val="auto"/>
              </w:rPr>
            </w:pPr>
            <w:r>
              <w:rPr>
                <w:rFonts w:ascii="Arial" w:cs="Arial" w:eastAsia="Arial" w:hAnsi="Arial"/>
                <w:sz w:val="17"/>
                <w:szCs w:val="17"/>
                <w:color w:val="auto"/>
              </w:rPr>
              <w:t>Total adjustments, before taxes</w:t>
            </w: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8.9</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50.1</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800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Income tax (benefit) related to adjustments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0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Total adjustments after taxes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7.1</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39.9</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00" w:type="dxa"/>
            <w:vAlign w:val="bottom"/>
            <w:gridSpan w:val="2"/>
          </w:tcPr>
          <w:p>
            <w:pPr>
              <w:ind w:left="420"/>
              <w:spacing w:after="0" w:line="187" w:lineRule="exact"/>
              <w:rPr>
                <w:sz w:val="20"/>
                <w:szCs w:val="20"/>
                <w:color w:val="auto"/>
              </w:rPr>
            </w:pPr>
            <w:r>
              <w:rPr>
                <w:rFonts w:ascii="Arial" w:cs="Arial" w:eastAsia="Arial" w:hAnsi="Arial"/>
                <w:sz w:val="17"/>
                <w:szCs w:val="17"/>
                <w:b w:val="1"/>
                <w:bCs w:val="1"/>
                <w:color w:val="auto"/>
              </w:rPr>
              <w:t>Adjusted net income from continuing operations attributable to Murphy (Non-GAAP)</w:t>
            </w:r>
          </w:p>
        </w:tc>
        <w:tc>
          <w:tcPr>
            <w:tcW w:w="360" w:type="dxa"/>
            <w:vAlign w:val="bottom"/>
            <w:tcBorders>
              <w:bottom w:val="single" w:sz="8" w:color="auto"/>
            </w:tcBorders>
          </w:tcPr>
          <w:p>
            <w:pPr>
              <w:jc w:val="right"/>
              <w:ind w:right="154"/>
              <w:spacing w:after="0" w:line="187" w:lineRule="exact"/>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b w:val="1"/>
                <w:bCs w:val="1"/>
                <w:color w:val="auto"/>
              </w:rPr>
              <w:t>80.7</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254"/>
              <w:spacing w:after="0" w:line="187"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130.8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8000" w:type="dxa"/>
            <w:vAlign w:val="bottom"/>
            <w:gridSpan w:val="2"/>
            <w:shd w:val="clear" w:color="auto" w:fill="CCEEFF"/>
          </w:tcPr>
          <w:p>
            <w:pPr>
              <w:ind w:left="420"/>
              <w:spacing w:after="0"/>
              <w:rPr>
                <w:sz w:val="20"/>
                <w:szCs w:val="20"/>
                <w:color w:val="auto"/>
              </w:rPr>
            </w:pPr>
            <w:r>
              <w:rPr>
                <w:rFonts w:ascii="Arial" w:cs="Arial" w:eastAsia="Arial" w:hAnsi="Arial"/>
                <w:sz w:val="17"/>
                <w:szCs w:val="17"/>
                <w:b w:val="1"/>
                <w:bCs w:val="1"/>
                <w:color w:val="auto"/>
              </w:rPr>
              <w:t>Net income from continuing operations per average diluted share (GAAP)</w:t>
            </w: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0.50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00" w:type="dxa"/>
            <w:vAlign w:val="bottom"/>
            <w:gridSpan w:val="2"/>
          </w:tcPr>
          <w:p>
            <w:pPr>
              <w:ind w:left="420"/>
              <w:spacing w:after="0"/>
              <w:rPr>
                <w:sz w:val="20"/>
                <w:szCs w:val="20"/>
                <w:color w:val="auto"/>
              </w:rPr>
            </w:pPr>
            <w:r>
              <w:rPr>
                <w:rFonts w:ascii="Arial" w:cs="Arial" w:eastAsia="Arial" w:hAnsi="Arial"/>
                <w:sz w:val="17"/>
                <w:szCs w:val="17"/>
                <w:b w:val="1"/>
                <w:bCs w:val="1"/>
                <w:color w:val="auto"/>
              </w:rPr>
              <w:t>Adjusted net income from continuing operations per average diluted share (Non-GAAP)</w:t>
            </w:r>
          </w:p>
        </w:tc>
        <w:tc>
          <w:tcPr>
            <w:tcW w:w="36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0.56</w:t>
            </w:r>
          </w:p>
        </w:tc>
        <w:tc>
          <w:tcPr>
            <w:tcW w:w="100" w:type="dxa"/>
            <w:vAlign w:val="bottom"/>
          </w:tcPr>
          <w:p>
            <w:pPr>
              <w:spacing w:after="0"/>
              <w:rPr>
                <w:sz w:val="20"/>
                <w:szCs w:val="20"/>
                <w:color w:val="auto"/>
              </w:rPr>
            </w:pPr>
          </w:p>
        </w:tc>
        <w:tc>
          <w:tcPr>
            <w:tcW w:w="46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0.85</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160" w:hanging="150"/>
        <w:spacing w:after="0"/>
        <w:tabs>
          <w:tab w:leader="none" w:pos="160" w:val="left"/>
        </w:tabs>
        <w:numPr>
          <w:ilvl w:val="0"/>
          <w:numId w:val="19"/>
        </w:numPr>
        <w:rPr>
          <w:rFonts w:ascii="Arial" w:cs="Arial" w:eastAsia="Arial" w:hAnsi="Arial"/>
          <w:sz w:val="20"/>
          <w:szCs w:val="20"/>
          <w:color w:val="auto"/>
          <w:vertAlign w:val="superscript"/>
        </w:rPr>
      </w:pPr>
      <w:r>
        <w:rPr>
          <w:rFonts w:ascii="Arial" w:cs="Arial" w:eastAsia="Arial" w:hAnsi="Arial"/>
          <w:sz w:val="16"/>
          <w:szCs w:val="16"/>
          <w:color w:val="auto"/>
        </w:rPr>
        <w:t>Excludes amounts attributable to a noncontrolling interest in MP GOM.</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226" w:right="37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Key Performance Metrics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60"/>
        <w:spacing w:after="0" w:line="291" w:lineRule="auto"/>
        <w:rPr>
          <w:sz w:val="20"/>
          <w:szCs w:val="20"/>
          <w:color w:val="auto"/>
        </w:rPr>
      </w:pPr>
      <w:r>
        <w:rPr>
          <w:rFonts w:ascii="Arial" w:cs="Arial" w:eastAsia="Arial" w:hAnsi="Arial"/>
          <w:sz w:val="17"/>
          <w:szCs w:val="17"/>
          <w:color w:val="auto"/>
        </w:rPr>
        <w:t>The following table reconciles net income attributable to Murphy to EBITDA, adjusted EBITDA, EBITDAX and adjusted EBITDAX attributable to Murphy.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4"/>
          </w:tcPr>
          <w:p>
            <w:pPr>
              <w:jc w:val="right"/>
              <w:ind w:right="654"/>
              <w:spacing w:after="0"/>
              <w:rPr>
                <w:sz w:val="20"/>
                <w:szCs w:val="20"/>
                <w:color w:val="auto"/>
              </w:rPr>
            </w:pPr>
            <w:r>
              <w:rPr>
                <w:rFonts w:ascii="Arial" w:cs="Arial" w:eastAsia="Arial" w:hAnsi="Arial"/>
                <w:sz w:val="17"/>
                <w:szCs w:val="17"/>
                <w:b w:val="1"/>
                <w:bCs w:val="1"/>
                <w:color w:val="auto"/>
              </w:rPr>
              <w:t>Three Months Ended</w:t>
            </w:r>
          </w:p>
        </w:tc>
      </w:tr>
      <w:tr>
        <w:trPr>
          <w:trHeight w:val="233"/>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ind w:left="840"/>
              <w:spacing w:after="0"/>
              <w:rPr>
                <w:sz w:val="20"/>
                <w:szCs w:val="20"/>
                <w:color w:val="auto"/>
              </w:rPr>
            </w:pPr>
            <w:r>
              <w:rPr>
                <w:rFonts w:ascii="Arial" w:cs="Arial" w:eastAsia="Arial" w:hAnsi="Arial"/>
                <w:sz w:val="17"/>
                <w:szCs w:val="17"/>
                <w:b w:val="1"/>
                <w:bCs w:val="1"/>
                <w:color w:val="auto"/>
              </w:rPr>
              <w:t>March 31,</w:t>
            </w:r>
          </w:p>
        </w:tc>
        <w:tc>
          <w:tcPr>
            <w:tcW w:w="1080" w:type="dxa"/>
            <w:vAlign w:val="bottom"/>
            <w:tcBorders>
              <w:bottom w:val="single" w:sz="8" w:color="auto"/>
            </w:tcBorders>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1440" w:type="dxa"/>
            <w:vAlign w:val="bottom"/>
            <w:tcBorders>
              <w:bottom w:val="single" w:sz="8" w:color="auto"/>
            </w:tcBorders>
          </w:tcPr>
          <w:p>
            <w:pPr>
              <w:spacing w:after="0" w:line="154" w:lineRule="exact"/>
              <w:rPr>
                <w:sz w:val="20"/>
                <w:szCs w:val="20"/>
                <w:color w:val="auto"/>
              </w:rPr>
            </w:pPr>
            <w:r>
              <w:rPr>
                <w:rFonts w:ascii="Arial" w:cs="Arial" w:eastAsia="Arial" w:hAnsi="Arial"/>
                <w:sz w:val="17"/>
                <w:szCs w:val="17"/>
                <w:i w:val="1"/>
                <w:iCs w:val="1"/>
                <w:color w:val="auto"/>
              </w:rPr>
              <w:t>(Millions of dollars)</w:t>
            </w:r>
          </w:p>
        </w:tc>
        <w:tc>
          <w:tcPr>
            <w:tcW w:w="6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494"/>
              <w:spacing w:after="0" w:line="174" w:lineRule="exact"/>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jc w:val="right"/>
              <w:ind w:right="494"/>
              <w:spacing w:after="0" w:line="174" w:lineRule="exact"/>
              <w:rPr>
                <w:sz w:val="20"/>
                <w:szCs w:val="20"/>
                <w:color w:val="auto"/>
              </w:rPr>
            </w:pPr>
            <w:r>
              <w:rPr>
                <w:rFonts w:ascii="Arial" w:cs="Arial" w:eastAsia="Arial" w:hAnsi="Arial"/>
                <w:sz w:val="17"/>
                <w:szCs w:val="17"/>
                <w:color w:val="auto"/>
              </w:rPr>
              <w:t>2024</w:t>
            </w:r>
          </w:p>
        </w:tc>
      </w:tr>
      <w:tr>
        <w:trPr>
          <w:trHeight w:val="45"/>
        </w:trPr>
        <w:tc>
          <w:tcPr>
            <w:tcW w:w="20" w:type="dxa"/>
            <w:vAlign w:val="bottom"/>
            <w:tcBorders>
              <w:bottom w:val="single" w:sz="8" w:color="CCEEFF"/>
            </w:tcBorders>
          </w:tcPr>
          <w:p>
            <w:pPr>
              <w:spacing w:after="0"/>
              <w:rPr>
                <w:sz w:val="3"/>
                <w:szCs w:val="3"/>
                <w:color w:val="auto"/>
              </w:rPr>
            </w:pPr>
          </w:p>
        </w:tc>
        <w:tc>
          <w:tcPr>
            <w:tcW w:w="1440" w:type="dxa"/>
            <w:vAlign w:val="bottom"/>
            <w:tcBorders>
              <w:bottom w:val="single" w:sz="8" w:color="CCEEFF"/>
            </w:tcBorders>
          </w:tcPr>
          <w:p>
            <w:pPr>
              <w:spacing w:after="0"/>
              <w:rPr>
                <w:sz w:val="3"/>
                <w:szCs w:val="3"/>
                <w:color w:val="auto"/>
              </w:rPr>
            </w:pPr>
          </w:p>
        </w:tc>
        <w:tc>
          <w:tcPr>
            <w:tcW w:w="66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13"/>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spacing w:after="0" w:line="212" w:lineRule="exact"/>
              <w:rPr>
                <w:sz w:val="20"/>
                <w:szCs w:val="20"/>
                <w:color w:val="auto"/>
              </w:rPr>
            </w:pPr>
            <w:r>
              <w:rPr>
                <w:rFonts w:ascii="Arial" w:cs="Arial" w:eastAsia="Arial" w:hAnsi="Arial"/>
                <w:sz w:val="17"/>
                <w:szCs w:val="17"/>
                <w:b w:val="1"/>
                <w:bCs w:val="1"/>
                <w:color w:val="auto"/>
              </w:rPr>
              <w:t xml:space="preserve">Net income attributable to Murphy (GAAP) </w:t>
            </w:r>
            <w:r>
              <w:rPr>
                <w:rFonts w:ascii="Arial" w:cs="Arial" w:eastAsia="Arial" w:hAnsi="Arial"/>
                <w:sz w:val="22"/>
                <w:szCs w:val="22"/>
                <w:b w:val="1"/>
                <w:bCs w:val="1"/>
                <w:color w:val="auto"/>
                <w:vertAlign w:val="superscript"/>
              </w:rPr>
              <w:t>1</w:t>
            </w: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73.0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w:t>
            </w:r>
          </w:p>
        </w:tc>
      </w:tr>
      <w:tr>
        <w:trPr>
          <w:trHeight w:val="220"/>
        </w:trPr>
        <w:tc>
          <w:tcPr>
            <w:tcW w:w="20" w:type="dxa"/>
            <w:vAlign w:val="bottom"/>
          </w:tcPr>
          <w:p>
            <w:pPr>
              <w:spacing w:after="0"/>
              <w:rPr>
                <w:sz w:val="19"/>
                <w:szCs w:val="19"/>
                <w:color w:val="auto"/>
              </w:rPr>
            </w:pPr>
          </w:p>
        </w:tc>
        <w:tc>
          <w:tcPr>
            <w:tcW w:w="8040" w:type="dxa"/>
            <w:vAlign w:val="bottom"/>
            <w:gridSpan w:val="2"/>
          </w:tcPr>
          <w:p>
            <w:pPr>
              <w:ind w:left="200"/>
              <w:spacing w:after="0"/>
              <w:rPr>
                <w:sz w:val="20"/>
                <w:szCs w:val="20"/>
                <w:color w:val="auto"/>
              </w:rPr>
            </w:pPr>
            <w:r>
              <w:rPr>
                <w:rFonts w:ascii="Arial" w:cs="Arial" w:eastAsia="Arial" w:hAnsi="Arial"/>
                <w:sz w:val="17"/>
                <w:szCs w:val="17"/>
                <w:color w:val="auto"/>
              </w:rPr>
              <w:t>Income tax expense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32.7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30.1</w:t>
            </w:r>
          </w:p>
        </w:tc>
      </w:tr>
      <w:tr>
        <w:trPr>
          <w:trHeight w:val="220"/>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Interest expense,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r>
      <w:tr>
        <w:trPr>
          <w:trHeight w:val="220"/>
        </w:trPr>
        <w:tc>
          <w:tcPr>
            <w:tcW w:w="20" w:type="dxa"/>
            <w:vAlign w:val="bottom"/>
            <w:tcBorders>
              <w:bottom w:val="single" w:sz="8" w:color="CCEEFF"/>
            </w:tcBorders>
          </w:tcPr>
          <w:p>
            <w:pPr>
              <w:spacing w:after="0"/>
              <w:rPr>
                <w:sz w:val="19"/>
                <w:szCs w:val="19"/>
                <w:color w:val="auto"/>
              </w:rPr>
            </w:pPr>
          </w:p>
        </w:tc>
        <w:tc>
          <w:tcPr>
            <w:tcW w:w="8040" w:type="dxa"/>
            <w:vAlign w:val="bottom"/>
            <w:tcBorders>
              <w:bottom w:val="single" w:sz="8" w:color="CCEEFF"/>
            </w:tcBorders>
            <w:gridSpan w:val="2"/>
          </w:tcPr>
          <w:p>
            <w:pPr>
              <w:ind w:left="200"/>
              <w:spacing w:after="0" w:line="220" w:lineRule="exact"/>
              <w:rPr>
                <w:sz w:val="20"/>
                <w:szCs w:val="20"/>
                <w:color w:val="auto"/>
              </w:rPr>
            </w:pPr>
            <w:r>
              <w:rPr>
                <w:rFonts w:ascii="Arial" w:cs="Arial" w:eastAsia="Arial" w:hAnsi="Arial"/>
                <w:sz w:val="17"/>
                <w:szCs w:val="17"/>
                <w:color w:val="auto"/>
              </w:rPr>
              <w:t xml:space="preserve">Depreciation, depletion and amortization expense </w:t>
            </w:r>
            <w:r>
              <w:rPr>
                <w:rFonts w:ascii="Arial" w:cs="Arial" w:eastAsia="Arial" w:hAnsi="Arial"/>
                <w:sz w:val="22"/>
                <w:szCs w:val="22"/>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187.4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202.7</w:t>
            </w:r>
          </w:p>
        </w:tc>
      </w:tr>
      <w:tr>
        <w:trPr>
          <w:trHeight w:val="213"/>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420"/>
              <w:spacing w:after="0"/>
              <w:rPr>
                <w:sz w:val="20"/>
                <w:szCs w:val="20"/>
                <w:color w:val="auto"/>
              </w:rPr>
            </w:pPr>
            <w:r>
              <w:rPr>
                <w:rFonts w:ascii="Arial" w:cs="Arial" w:eastAsia="Arial" w:hAnsi="Arial"/>
                <w:sz w:val="17"/>
                <w:szCs w:val="17"/>
                <w:b w:val="1"/>
                <w:bCs w:val="1"/>
                <w:color w:val="auto"/>
              </w:rPr>
              <w:t>EBITDA attributable to Murphy (Non-GAAP)</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316.6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342.8</w:t>
            </w:r>
          </w:p>
        </w:tc>
      </w:tr>
      <w:tr>
        <w:trPr>
          <w:trHeight w:val="220"/>
        </w:trPr>
        <w:tc>
          <w:tcPr>
            <w:tcW w:w="20" w:type="dxa"/>
            <w:vAlign w:val="bottom"/>
            <w:tcBorders>
              <w:bottom w:val="single" w:sz="8" w:color="CCEEFF"/>
            </w:tcBorders>
          </w:tcPr>
          <w:p>
            <w:pPr>
              <w:spacing w:after="0"/>
              <w:rPr>
                <w:sz w:val="19"/>
                <w:szCs w:val="19"/>
                <w:color w:val="auto"/>
              </w:rPr>
            </w:pPr>
          </w:p>
        </w:tc>
        <w:tc>
          <w:tcPr>
            <w:tcW w:w="804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Exploration expenses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44.4</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80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7"/>
                <w:szCs w:val="17"/>
                <w:b w:val="1"/>
                <w:bCs w:val="1"/>
                <w:color w:val="auto"/>
              </w:rPr>
              <w:t>EBITDAX attributable to Murphy (Non-GAAP)</w:t>
            </w: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331.1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387.2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6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0"/>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EBITDA attributable to Murphy (Non-GAAP)</w:t>
            </w: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316.6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342.8</w:t>
            </w:r>
          </w:p>
        </w:tc>
      </w:tr>
      <w:tr>
        <w:trPr>
          <w:trHeight w:val="220"/>
        </w:trPr>
        <w:tc>
          <w:tcPr>
            <w:tcW w:w="20" w:type="dxa"/>
            <w:vAlign w:val="bottom"/>
          </w:tcPr>
          <w:p>
            <w:pPr>
              <w:spacing w:after="0"/>
              <w:rPr>
                <w:sz w:val="19"/>
                <w:szCs w:val="19"/>
                <w:color w:val="auto"/>
              </w:rPr>
            </w:pPr>
          </w:p>
        </w:tc>
        <w:tc>
          <w:tcPr>
            <w:tcW w:w="8040" w:type="dxa"/>
            <w:vAlign w:val="bottom"/>
            <w:gridSpan w:val="2"/>
          </w:tcPr>
          <w:p>
            <w:pPr>
              <w:ind w:left="220"/>
              <w:spacing w:after="0" w:line="220" w:lineRule="exact"/>
              <w:rPr>
                <w:sz w:val="20"/>
                <w:szCs w:val="20"/>
                <w:color w:val="auto"/>
              </w:rPr>
            </w:pPr>
            <w:r>
              <w:rPr>
                <w:rFonts w:ascii="Arial" w:cs="Arial" w:eastAsia="Arial" w:hAnsi="Arial"/>
                <w:sz w:val="17"/>
                <w:szCs w:val="17"/>
                <w:color w:val="auto"/>
              </w:rPr>
              <w:t xml:space="preserve">Accretion of asset retirement obligations </w:t>
            </w:r>
            <w:r>
              <w:rPr>
                <w:rFonts w:ascii="Arial" w:cs="Arial" w:eastAsia="Arial" w:hAnsi="Arial"/>
                <w:sz w:val="22"/>
                <w:szCs w:val="22"/>
                <w:color w:val="auto"/>
                <w:vertAlign w:val="superscript"/>
              </w:rPr>
              <w:t>1</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12.5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11.4</w:t>
            </w:r>
          </w:p>
        </w:tc>
      </w:tr>
      <w:tr>
        <w:trPr>
          <w:trHeight w:val="220"/>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Mark-to-market loss on derivative instruments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20" w:type="dxa"/>
            <w:vAlign w:val="bottom"/>
          </w:tcPr>
          <w:p>
            <w:pPr>
              <w:spacing w:after="0"/>
              <w:rPr>
                <w:sz w:val="19"/>
                <w:szCs w:val="19"/>
                <w:color w:val="auto"/>
              </w:rPr>
            </w:pPr>
          </w:p>
        </w:tc>
        <w:tc>
          <w:tcPr>
            <w:tcW w:w="8040" w:type="dxa"/>
            <w:vAlign w:val="bottom"/>
            <w:gridSpan w:val="2"/>
          </w:tcPr>
          <w:p>
            <w:pPr>
              <w:ind w:left="220"/>
              <w:spacing w:after="0"/>
              <w:rPr>
                <w:sz w:val="20"/>
                <w:szCs w:val="20"/>
                <w:color w:val="auto"/>
              </w:rPr>
            </w:pPr>
            <w:r>
              <w:rPr>
                <w:rFonts w:ascii="Arial" w:cs="Arial" w:eastAsia="Arial" w:hAnsi="Arial"/>
                <w:sz w:val="17"/>
                <w:szCs w:val="17"/>
                <w:color w:val="auto"/>
              </w:rPr>
              <w:t>Impairment of assets</w:t>
            </w:r>
          </w:p>
        </w:tc>
        <w:tc>
          <w:tcPr>
            <w:tcW w:w="3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34.5</w:t>
            </w:r>
          </w:p>
        </w:tc>
      </w:tr>
      <w:tr>
        <w:trPr>
          <w:trHeight w:val="220"/>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Write-off of previously suspended exploration well</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w:t>
            </w:r>
          </w:p>
        </w:tc>
      </w:tr>
      <w:tr>
        <w:trPr>
          <w:trHeight w:val="220"/>
        </w:trPr>
        <w:tc>
          <w:tcPr>
            <w:tcW w:w="20" w:type="dxa"/>
            <w:vAlign w:val="bottom"/>
          </w:tcPr>
          <w:p>
            <w:pPr>
              <w:spacing w:after="0"/>
              <w:rPr>
                <w:sz w:val="19"/>
                <w:szCs w:val="19"/>
                <w:color w:val="auto"/>
              </w:rPr>
            </w:pPr>
          </w:p>
        </w:tc>
        <w:tc>
          <w:tcPr>
            <w:tcW w:w="8040" w:type="dxa"/>
            <w:vAlign w:val="bottom"/>
            <w:gridSpan w:val="2"/>
          </w:tcPr>
          <w:p>
            <w:pPr>
              <w:ind w:left="220"/>
              <w:spacing w:after="0"/>
              <w:rPr>
                <w:sz w:val="20"/>
                <w:szCs w:val="20"/>
                <w:color w:val="auto"/>
              </w:rPr>
            </w:pPr>
            <w:r>
              <w:rPr>
                <w:rFonts w:ascii="Arial" w:cs="Arial" w:eastAsia="Arial" w:hAnsi="Arial"/>
                <w:sz w:val="17"/>
                <w:szCs w:val="17"/>
                <w:color w:val="auto"/>
              </w:rPr>
              <w:t>Foreign exchange (gain)</w:t>
            </w:r>
          </w:p>
        </w:tc>
        <w:tc>
          <w:tcPr>
            <w:tcW w:w="3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(10.5)</w:t>
            </w:r>
          </w:p>
        </w:tc>
      </w:tr>
      <w:tr>
        <w:trPr>
          <w:trHeight w:val="220"/>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Discontinued operations loss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w:t>
            </w:r>
          </w:p>
        </w:tc>
      </w:tr>
      <w:tr>
        <w:trPr>
          <w:trHeight w:val="213"/>
        </w:trPr>
        <w:tc>
          <w:tcPr>
            <w:tcW w:w="20" w:type="dxa"/>
            <w:vAlign w:val="bottom"/>
          </w:tcPr>
          <w:p>
            <w:pPr>
              <w:spacing w:after="0"/>
              <w:rPr>
                <w:sz w:val="18"/>
                <w:szCs w:val="18"/>
                <w:color w:val="auto"/>
              </w:rPr>
            </w:pPr>
          </w:p>
        </w:tc>
        <w:tc>
          <w:tcPr>
            <w:tcW w:w="8040" w:type="dxa"/>
            <w:vAlign w:val="bottom"/>
            <w:gridSpan w:val="2"/>
          </w:tcPr>
          <w:p>
            <w:pPr>
              <w:ind w:left="420"/>
              <w:spacing w:after="0"/>
              <w:rPr>
                <w:sz w:val="20"/>
                <w:szCs w:val="20"/>
                <w:color w:val="auto"/>
              </w:rPr>
            </w:pPr>
            <w:r>
              <w:rPr>
                <w:rFonts w:ascii="Arial" w:cs="Arial" w:eastAsia="Arial" w:hAnsi="Arial"/>
                <w:sz w:val="17"/>
                <w:szCs w:val="17"/>
                <w:b w:val="1"/>
                <w:bCs w:val="1"/>
                <w:color w:val="auto"/>
              </w:rPr>
              <w:t>Adjusted EBITDA attributable to Murphy (Non-GAAP)</w:t>
            </w: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338.6</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405.2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6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220"/>
              <w:spacing w:after="0" w:line="211" w:lineRule="exact"/>
              <w:rPr>
                <w:sz w:val="20"/>
                <w:szCs w:val="20"/>
                <w:color w:val="auto"/>
              </w:rPr>
            </w:pPr>
            <w:r>
              <w:rPr>
                <w:rFonts w:ascii="Arial" w:cs="Arial" w:eastAsia="Arial" w:hAnsi="Arial"/>
                <w:sz w:val="17"/>
                <w:szCs w:val="17"/>
                <w:color w:val="auto"/>
              </w:rPr>
              <w:t xml:space="preserve">Other exploration expenses </w:t>
            </w:r>
            <w:r>
              <w:rPr>
                <w:rFonts w:ascii="Arial" w:cs="Arial" w:eastAsia="Arial" w:hAnsi="Arial"/>
                <w:sz w:val="22"/>
                <w:szCs w:val="22"/>
                <w:color w:val="auto"/>
                <w:vertAlign w:val="superscript"/>
              </w:rPr>
              <w:t>2</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7"/>
                <w:szCs w:val="17"/>
                <w:b w:val="1"/>
                <w:bCs w:val="1"/>
                <w:color w:val="auto"/>
                <w:w w:val="96"/>
              </w:rPr>
              <w:t>14.5</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w:t>
            </w:r>
          </w:p>
        </w:tc>
      </w:tr>
      <w:tr>
        <w:trPr>
          <w:trHeight w:val="213"/>
        </w:trPr>
        <w:tc>
          <w:tcPr>
            <w:tcW w:w="20" w:type="dxa"/>
            <w:vAlign w:val="bottom"/>
          </w:tcPr>
          <w:p>
            <w:pPr>
              <w:spacing w:after="0"/>
              <w:rPr>
                <w:sz w:val="18"/>
                <w:szCs w:val="18"/>
                <w:color w:val="auto"/>
              </w:rPr>
            </w:pPr>
          </w:p>
        </w:tc>
        <w:tc>
          <w:tcPr>
            <w:tcW w:w="8040" w:type="dxa"/>
            <w:vAlign w:val="bottom"/>
            <w:gridSpan w:val="2"/>
          </w:tcPr>
          <w:p>
            <w:pPr>
              <w:ind w:left="420"/>
              <w:spacing w:after="0"/>
              <w:rPr>
                <w:sz w:val="20"/>
                <w:szCs w:val="20"/>
                <w:color w:val="auto"/>
              </w:rPr>
            </w:pPr>
            <w:r>
              <w:rPr>
                <w:rFonts w:ascii="Arial" w:cs="Arial" w:eastAsia="Arial" w:hAnsi="Arial"/>
                <w:sz w:val="17"/>
                <w:szCs w:val="17"/>
                <w:b w:val="1"/>
                <w:bCs w:val="1"/>
                <w:color w:val="auto"/>
              </w:rPr>
              <w:t>Adjusted EBITDAX attributable to Murphy (Non-GAAP)</w:t>
            </w: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353.1</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423.5</w:t>
            </w: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160" w:hanging="150"/>
        <w:spacing w:after="0"/>
        <w:tabs>
          <w:tab w:leader="none" w:pos="160" w:val="left"/>
        </w:tabs>
        <w:numPr>
          <w:ilvl w:val="0"/>
          <w:numId w:val="20"/>
        </w:numPr>
        <w:rPr>
          <w:rFonts w:ascii="Arial" w:cs="Arial" w:eastAsia="Arial" w:hAnsi="Arial"/>
          <w:sz w:val="20"/>
          <w:szCs w:val="20"/>
          <w:color w:val="auto"/>
          <w:vertAlign w:val="superscript"/>
        </w:rPr>
      </w:pPr>
      <w:r>
        <w:rPr>
          <w:rFonts w:ascii="Arial" w:cs="Arial" w:eastAsia="Arial" w:hAnsi="Arial"/>
          <w:sz w:val="16"/>
          <w:szCs w:val="16"/>
          <w:color w:val="auto"/>
        </w:rPr>
        <w:t>Excludes amounts attributable to a noncontrolling interest in MP GOM.</w:t>
      </w:r>
    </w:p>
    <w:p>
      <w:pPr>
        <w:spacing w:after="0" w:line="27" w:lineRule="exact"/>
        <w:rPr>
          <w:sz w:val="20"/>
          <w:szCs w:val="20"/>
          <w:color w:val="auto"/>
        </w:rPr>
      </w:pPr>
    </w:p>
    <w:p>
      <w:pPr>
        <w:ind w:left="160" w:right="120" w:hanging="150"/>
        <w:spacing w:after="0" w:line="224" w:lineRule="auto"/>
        <w:tabs>
          <w:tab w:leader="none" w:pos="110" w:val="left"/>
        </w:tabs>
        <w:numPr>
          <w:ilvl w:val="0"/>
          <w:numId w:val="21"/>
        </w:numPr>
        <w:rPr>
          <w:rFonts w:ascii="Arial" w:cs="Arial" w:eastAsia="Arial" w:hAnsi="Arial"/>
          <w:sz w:val="20"/>
          <w:szCs w:val="20"/>
          <w:color w:val="auto"/>
          <w:vertAlign w:val="superscript"/>
        </w:rPr>
      </w:pPr>
      <w:r>
        <w:rPr>
          <w:rFonts w:ascii="Arial" w:cs="Arial" w:eastAsia="Arial" w:hAnsi="Arial"/>
          <w:sz w:val="16"/>
          <w:szCs w:val="16"/>
          <w:color w:val="auto"/>
        </w:rPr>
        <w:t>Other exploration expenses consist of exploration expenses as reported in the consolidated statement of operations excluding amounts relating to the write-off of previously suspended exploration well included in Adjusted EBITDA calculation above.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Outlook</w:t>
      </w:r>
    </w:p>
    <w:p>
      <w:pPr>
        <w:spacing w:after="0" w:line="155"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The oil and natural gas industry is impacted by global commodity pricing and as a result the prices for the Company’s primary products are often volatile and are affected by the levels of supply and demand for energy. As discussed in the “</w:t>
      </w:r>
      <w:r>
        <w:rPr>
          <w:rFonts w:ascii="Arial" w:cs="Arial" w:eastAsia="Arial" w:hAnsi="Arial"/>
          <w:sz w:val="17"/>
          <w:szCs w:val="17"/>
          <w:u w:val="single" w:color="auto"/>
          <w:color w:val="0000FF"/>
        </w:rPr>
        <w:t>Results of Operations</w:t>
      </w:r>
      <w:r>
        <w:rPr>
          <w:rFonts w:ascii="Arial" w:cs="Arial" w:eastAsia="Arial" w:hAnsi="Arial"/>
          <w:sz w:val="17"/>
          <w:szCs w:val="17"/>
          <w:color w:val="auto"/>
        </w:rPr>
        <w:t xml:space="preserve">” section discussing revenues, on page </w:t>
      </w:r>
      <w:r>
        <w:rPr>
          <w:rFonts w:ascii="Arial" w:cs="Arial" w:eastAsia="Arial" w:hAnsi="Arial"/>
          <w:sz w:val="17"/>
          <w:szCs w:val="17"/>
          <w:u w:val="single" w:color="auto"/>
          <w:color w:val="0000FF"/>
        </w:rPr>
        <w:t>29</w:t>
      </w:r>
      <w:r>
        <w:rPr>
          <w:rFonts w:ascii="Arial" w:cs="Arial" w:eastAsia="Arial" w:hAnsi="Arial"/>
          <w:sz w:val="17"/>
          <w:szCs w:val="17"/>
          <w:color w:val="auto"/>
        </w:rPr>
        <w:t>, lower average crude oil and higher natural gas pricing during the first quarter of 2025 compared to the same period in 2024 directly impacted the Company’s product sales revenue.</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As of close on May 5, 2025, forward price curves for existing forward contracts for the remainder of 2025 and 2026 are shown in the table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14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2025</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jc w:val="right"/>
              <w:ind w:right="474"/>
              <w:spacing w:after="0"/>
              <w:rPr>
                <w:sz w:val="20"/>
                <w:szCs w:val="20"/>
                <w:color w:val="auto"/>
              </w:rPr>
            </w:pPr>
            <w:r>
              <w:rPr>
                <w:rFonts w:ascii="Arial" w:cs="Arial" w:eastAsia="Arial" w:hAnsi="Arial"/>
                <w:sz w:val="17"/>
                <w:szCs w:val="17"/>
                <w:b w:val="1"/>
                <w:bCs w:val="1"/>
                <w:color w:val="auto"/>
              </w:rPr>
              <w:t>2026</w:t>
            </w:r>
          </w:p>
        </w:tc>
      </w:tr>
      <w:tr>
        <w:trPr>
          <w:trHeight w:val="213"/>
        </w:trPr>
        <w:tc>
          <w:tcPr>
            <w:tcW w:w="81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WTI ($/BBL)</w:t>
            </w:r>
          </w:p>
        </w:tc>
        <w:tc>
          <w:tcPr>
            <w:tcW w:w="10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56.46</w:t>
            </w:r>
          </w:p>
        </w:tc>
        <w:tc>
          <w:tcPr>
            <w:tcW w:w="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57.23</w:t>
            </w:r>
          </w:p>
        </w:tc>
      </w:tr>
      <w:tr>
        <w:trPr>
          <w:trHeight w:val="220"/>
        </w:trPr>
        <w:tc>
          <w:tcPr>
            <w:tcW w:w="9140" w:type="dxa"/>
            <w:vAlign w:val="bottom"/>
            <w:gridSpan w:val="2"/>
          </w:tcPr>
          <w:p>
            <w:pPr>
              <w:ind w:left="340"/>
              <w:spacing w:after="0"/>
              <w:rPr>
                <w:sz w:val="20"/>
                <w:szCs w:val="20"/>
                <w:color w:val="auto"/>
              </w:rPr>
            </w:pPr>
            <w:r>
              <w:rPr>
                <w:rFonts w:ascii="Arial" w:cs="Arial" w:eastAsia="Arial" w:hAnsi="Arial"/>
                <w:sz w:val="17"/>
                <w:szCs w:val="17"/>
                <w:color w:val="auto"/>
              </w:rPr>
              <w:t>NYMEX ($/MMBTU)</w:t>
            </w:r>
          </w:p>
        </w:tc>
        <w:tc>
          <w:tcPr>
            <w:tcW w:w="520" w:type="dxa"/>
            <w:vAlign w:val="bottom"/>
          </w:tcPr>
          <w:p>
            <w:pPr>
              <w:jc w:val="right"/>
              <w:spacing w:after="0"/>
              <w:rPr>
                <w:sz w:val="20"/>
                <w:szCs w:val="20"/>
                <w:color w:val="auto"/>
              </w:rPr>
            </w:pPr>
            <w:r>
              <w:rPr>
                <w:rFonts w:ascii="Arial" w:cs="Arial" w:eastAsia="Arial" w:hAnsi="Arial"/>
                <w:sz w:val="17"/>
                <w:szCs w:val="17"/>
                <w:color w:val="auto"/>
              </w:rPr>
              <w:t>4.08</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4.38</w:t>
            </w:r>
          </w:p>
        </w:tc>
      </w:tr>
      <w:tr>
        <w:trPr>
          <w:trHeight w:val="220"/>
        </w:trPr>
        <w:tc>
          <w:tcPr>
            <w:tcW w:w="91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AECO (US$ Equivalent/MCF)</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w:t>
            </w:r>
          </w:p>
        </w:tc>
      </w:tr>
    </w:tbl>
    <w:p>
      <w:pPr>
        <w:spacing w:after="0" w:line="177"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In April 2025, the U.S. government announced a baseline tariff of 10% on products imported from all countries and an additional individualized reciprocal tariff on the countries with which the United States has the largest trade deficits. Increased tariffs by the United States have led and may continue to lead to the imposition of retaliatory tariffs by foreign jurisdictions. Additionally, the U.S. government has announced and rescinded multiple tariffs on several foreign jurisdictions, which has increased uncertainty regarding the ultimate effect of the tariffs on economic conditions. Current uncertainties about tariffs and their effects on trading relationships may affect costs for and availability of goods and services used in E&amp;P operations or contribute to inflation in the countries in which we operate. Although we are continuing to monitor the economic effects of such announcements, as well as opportunities to mitigate their related impacts, costs and other effects associated with the tariffs remain uncertain.</w:t>
      </w:r>
    </w:p>
    <w:p>
      <w:pPr>
        <w:spacing w:after="0" w:line="6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cannot predict what impact economic factors (including, but not limited to, inflation, global conflicts, trade policies, tariffs, other trade restrictions, and possible economic recession) may have on future commodity pricing and future costs for goods and services in the E&amp;P operations. Lower prices or higher costs, should they occur, will result in lower profits and operating cash flows and could result in material future impairment charges.</w:t>
      </w:r>
    </w:p>
    <w:p>
      <w:pPr>
        <w:spacing w:after="0" w:line="59" w:lineRule="exact"/>
        <w:rPr>
          <w:sz w:val="20"/>
          <w:szCs w:val="20"/>
          <w:color w:val="auto"/>
        </w:rPr>
      </w:pPr>
    </w:p>
    <w:p>
      <w:pPr>
        <w:ind w:right="920"/>
        <w:spacing w:after="0" w:line="291" w:lineRule="auto"/>
        <w:rPr>
          <w:sz w:val="20"/>
          <w:szCs w:val="20"/>
          <w:color w:val="auto"/>
        </w:rPr>
      </w:pPr>
      <w:r>
        <w:rPr>
          <w:rFonts w:ascii="Arial" w:cs="Arial" w:eastAsia="Arial" w:hAnsi="Arial"/>
          <w:sz w:val="17"/>
          <w:szCs w:val="17"/>
          <w:color w:val="auto"/>
        </w:rPr>
        <w:t>For the second quarter of 2025, production is expected to average between 177.0 and 185.0 thousand barrels of oil equivalents per day (MBOEPD), excluding noncontrolling interest.</w:t>
      </w:r>
    </w:p>
    <w:p>
      <w:pPr>
        <w:spacing w:after="0" w:line="43"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The Company’s capital expenditure spend for 2025 is expected to be between $ 1,135 million and $1,285 million, excluding noncontrolling interest. This includes net acquisition capital of $104 million for the BW Pioneer FPSO in the Gulf of America. Capital and other expenditures are routinely reviewed and planned capital expenditures may be adjusted to reflect differences between budgeted and forecast cash flow during the year. Capital expenditures may also be affected by asset purchases or sales, which often are not anticipated at the time a budget is prepared. The Company will primarily fund its capital program in 2025 using operating cash flow and available cash. If oil and/or natural gas prices weaken, actual cash flow generated from operations could be reduced such that capital spending reductions are required and/or additional borrowings under available credit facilities might be required during the year to maintain funding of the Company’s ongoing development projects.</w:t>
      </w:r>
    </w:p>
    <w:p>
      <w:pPr>
        <w:spacing w:after="0" w:line="19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Company plans to utilize any surplus cash (not planned to be used by operations, investing activities, dividends or payment to noncontrolling interests) in accordance with the Company’s capital allocation plan designed to allow for additional shareholder returns and debt reduction. Details of the plan can be found in the “Capital Allocation” section of the Company’s Form 8-K filed on May 7, 2025.</w:t>
      </w:r>
    </w:p>
    <w:p>
      <w:pPr>
        <w:spacing w:after="0" w:line="59" w:lineRule="exact"/>
        <w:rPr>
          <w:sz w:val="20"/>
          <w:szCs w:val="20"/>
          <w:color w:val="auto"/>
        </w:rPr>
      </w:pPr>
    </w:p>
    <w:p>
      <w:pPr>
        <w:ind w:right="280"/>
        <w:spacing w:after="0" w:line="291" w:lineRule="auto"/>
        <w:rPr>
          <w:sz w:val="20"/>
          <w:szCs w:val="20"/>
          <w:color w:val="auto"/>
        </w:rPr>
      </w:pPr>
      <w:r>
        <w:rPr>
          <w:rFonts w:ascii="Arial" w:cs="Arial" w:eastAsia="Arial" w:hAnsi="Arial"/>
          <w:sz w:val="17"/>
          <w:szCs w:val="17"/>
          <w:color w:val="auto"/>
        </w:rPr>
        <w:t>On August 8, 2024, the Company’s Board of Directors has authorized a share repurchase program whereby the Company can repurchase up to $1,100 million of the Company’s common stock, of which $550 million remains available as of March 31, 2025.</w:t>
      </w:r>
    </w:p>
    <w:p>
      <w:pPr>
        <w:spacing w:after="0" w:line="43" w:lineRule="exact"/>
        <w:rPr>
          <w:sz w:val="20"/>
          <w:szCs w:val="20"/>
          <w:color w:val="auto"/>
        </w:rPr>
      </w:pPr>
    </w:p>
    <w:p>
      <w:pPr>
        <w:ind w:right="560"/>
        <w:spacing w:after="0" w:line="291" w:lineRule="auto"/>
        <w:rPr>
          <w:sz w:val="20"/>
          <w:szCs w:val="20"/>
          <w:color w:val="auto"/>
        </w:rPr>
      </w:pPr>
      <w:r>
        <w:rPr>
          <w:rFonts w:ascii="Arial" w:cs="Arial" w:eastAsia="Arial" w:hAnsi="Arial"/>
          <w:sz w:val="17"/>
          <w:szCs w:val="17"/>
          <w:color w:val="auto"/>
        </w:rPr>
        <w:t xml:space="preserve">The Company continues to monitor the impact of commodity prices on its financial position and is currently in compliance with the covenants related to the RCF (see </w:t>
      </w:r>
      <w:r>
        <w:rPr>
          <w:rFonts w:ascii="Arial" w:cs="Arial" w:eastAsia="Arial" w:hAnsi="Arial"/>
          <w:sz w:val="17"/>
          <w:szCs w:val="17"/>
          <w:u w:val="single" w:color="auto"/>
          <w:color w:val="0000FF"/>
        </w:rPr>
        <w:t>Note E</w:t>
      </w:r>
      <w:r>
        <w:rPr>
          <w:rFonts w:ascii="Arial" w:cs="Arial" w:eastAsia="Arial" w:hAnsi="Arial"/>
          <w:sz w:val="17"/>
          <w:szCs w:val="17"/>
          <w:color w:val="auto"/>
        </w:rPr>
        <w: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Outlook (Continued)</w:t>
      </w:r>
    </w:p>
    <w:p>
      <w:pPr>
        <w:spacing w:after="0" w:line="200" w:lineRule="exact"/>
        <w:rPr>
          <w:sz w:val="20"/>
          <w:szCs w:val="20"/>
          <w:color w:val="auto"/>
        </w:rPr>
      </w:pPr>
    </w:p>
    <w:p>
      <w:pPr>
        <w:spacing w:after="0" w:line="382"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As of May 5, 2025, the Company has entered into forward fixed price delivery contracts to manage risk associated with certain future oil and natural gas sales prices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Volumes</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4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7"/>
                <w:szCs w:val="17"/>
                <w:b w:val="1"/>
                <w:bCs w:val="1"/>
                <w:color w:val="auto"/>
              </w:rPr>
              <w:t>Remaining Period</w:t>
            </w:r>
          </w:p>
        </w:tc>
      </w:tr>
      <w:tr>
        <w:trPr>
          <w:trHeight w:val="213"/>
        </w:trPr>
        <w:tc>
          <w:tcPr>
            <w:tcW w:w="1560" w:type="dxa"/>
            <w:vAlign w:val="bottom"/>
            <w:gridSpan w:val="2"/>
          </w:tcPr>
          <w:p>
            <w:pPr>
              <w:ind w:left="540"/>
              <w:spacing w:after="0"/>
              <w:rPr>
                <w:sz w:val="20"/>
                <w:szCs w:val="20"/>
                <w:color w:val="auto"/>
              </w:rPr>
            </w:pPr>
            <w:r>
              <w:rPr>
                <w:rFonts w:ascii="Arial" w:cs="Arial" w:eastAsia="Arial" w:hAnsi="Arial"/>
                <w:sz w:val="17"/>
                <w:szCs w:val="17"/>
                <w:b w:val="1"/>
                <w:bCs w:val="1"/>
                <w:color w:val="auto"/>
              </w:rPr>
              <w:t>Area</w:t>
            </w:r>
          </w:p>
        </w:tc>
        <w:tc>
          <w:tcPr>
            <w:tcW w:w="1580" w:type="dxa"/>
            <w:vAlign w:val="bottom"/>
            <w:gridSpan w:val="2"/>
          </w:tcPr>
          <w:p>
            <w:pPr>
              <w:ind w:left="260"/>
              <w:spacing w:after="0"/>
              <w:rPr>
                <w:sz w:val="20"/>
                <w:szCs w:val="20"/>
                <w:color w:val="auto"/>
              </w:rPr>
            </w:pPr>
            <w:r>
              <w:rPr>
                <w:rFonts w:ascii="Arial" w:cs="Arial" w:eastAsia="Arial" w:hAnsi="Arial"/>
                <w:sz w:val="17"/>
                <w:szCs w:val="17"/>
                <w:b w:val="1"/>
                <w:bCs w:val="1"/>
                <w:color w:val="auto"/>
              </w:rPr>
              <w:t>Commodity</w:t>
            </w:r>
          </w:p>
        </w:tc>
        <w:tc>
          <w:tcPr>
            <w:tcW w:w="2760" w:type="dxa"/>
            <w:vAlign w:val="bottom"/>
          </w:tcPr>
          <w:p>
            <w:pPr>
              <w:ind w:left="1140"/>
              <w:spacing w:after="0" w:line="212" w:lineRule="exact"/>
              <w:rPr>
                <w:sz w:val="20"/>
                <w:szCs w:val="20"/>
                <w:color w:val="auto"/>
              </w:rPr>
            </w:pPr>
            <w:r>
              <w:rPr>
                <w:rFonts w:ascii="Arial" w:cs="Arial" w:eastAsia="Arial" w:hAnsi="Arial"/>
                <w:sz w:val="17"/>
                <w:szCs w:val="17"/>
                <w:b w:val="1"/>
                <w:bCs w:val="1"/>
                <w:color w:val="auto"/>
              </w:rPr>
              <w:t xml:space="preserve">Type </w:t>
            </w:r>
            <w:r>
              <w:rPr>
                <w:rFonts w:ascii="Arial" w:cs="Arial" w:eastAsia="Arial" w:hAnsi="Arial"/>
                <w:sz w:val="22"/>
                <w:szCs w:val="22"/>
                <w:b w:val="1"/>
                <w:bCs w:val="1"/>
                <w:color w:val="auto"/>
                <w:vertAlign w:val="superscript"/>
              </w:rPr>
              <w:t>1</w:t>
            </w: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(MMCF/d)</w:t>
            </w:r>
          </w:p>
        </w:tc>
        <w:tc>
          <w:tcPr>
            <w:tcW w:w="13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Price/MCF</w:t>
            </w:r>
          </w:p>
        </w:tc>
        <w:tc>
          <w:tcPr>
            <w:tcW w:w="1300" w:type="dxa"/>
            <w:vAlign w:val="bottom"/>
            <w:gridSpan w:val="2"/>
          </w:tcPr>
          <w:p>
            <w:pPr>
              <w:ind w:left="200"/>
              <w:spacing w:after="0"/>
              <w:rPr>
                <w:sz w:val="20"/>
                <w:szCs w:val="20"/>
                <w:color w:val="auto"/>
              </w:rPr>
            </w:pPr>
            <w:r>
              <w:rPr>
                <w:rFonts w:ascii="Arial" w:cs="Arial" w:eastAsia="Arial" w:hAnsi="Arial"/>
                <w:sz w:val="17"/>
                <w:szCs w:val="17"/>
                <w:b w:val="1"/>
                <w:bCs w:val="1"/>
                <w:color w:val="auto"/>
              </w:rPr>
              <w:t>Start Date</w:t>
            </w:r>
          </w:p>
        </w:tc>
        <w:tc>
          <w:tcPr>
            <w:tcW w:w="1340" w:type="dxa"/>
            <w:vAlign w:val="bottom"/>
          </w:tcPr>
          <w:p>
            <w:pPr>
              <w:jc w:val="right"/>
              <w:ind w:right="214"/>
              <w:spacing w:after="0"/>
              <w:rPr>
                <w:sz w:val="20"/>
                <w:szCs w:val="20"/>
                <w:color w:val="auto"/>
              </w:rPr>
            </w:pPr>
            <w:r>
              <w:rPr>
                <w:rFonts w:ascii="Arial" w:cs="Arial" w:eastAsia="Arial" w:hAnsi="Arial"/>
                <w:sz w:val="17"/>
                <w:szCs w:val="17"/>
                <w:b w:val="1"/>
                <w:bCs w:val="1"/>
                <w:color w:val="auto"/>
              </w:rPr>
              <w:t>End Date</w:t>
            </w:r>
          </w:p>
        </w:tc>
      </w:tr>
      <w:tr>
        <w:trPr>
          <w:trHeight w:val="213"/>
        </w:trPr>
        <w:tc>
          <w:tcPr>
            <w:tcW w:w="1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Canada</w:t>
            </w: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Natural Gas</w:t>
            </w:r>
          </w:p>
        </w:tc>
        <w:tc>
          <w:tcPr>
            <w:tcW w:w="10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Fixed price forward sales</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C$2.75</w:t>
            </w: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4/1/2025</w:t>
            </w:r>
          </w:p>
        </w:tc>
        <w:tc>
          <w:tcPr>
            <w:tcW w:w="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12/31/2025</w:t>
            </w:r>
          </w:p>
        </w:tc>
      </w:tr>
      <w:tr>
        <w:trPr>
          <w:trHeight w:val="226"/>
        </w:trPr>
        <w:tc>
          <w:tcPr>
            <w:tcW w:w="1560" w:type="dxa"/>
            <w:vAlign w:val="bottom"/>
            <w:gridSpan w:val="2"/>
          </w:tcPr>
          <w:p>
            <w:pPr>
              <w:ind w:left="20"/>
              <w:spacing w:after="0"/>
              <w:rPr>
                <w:sz w:val="20"/>
                <w:szCs w:val="20"/>
                <w:color w:val="auto"/>
              </w:rPr>
            </w:pPr>
            <w:r>
              <w:rPr>
                <w:rFonts w:ascii="Arial" w:cs="Arial" w:eastAsia="Arial" w:hAnsi="Arial"/>
                <w:sz w:val="17"/>
                <w:szCs w:val="17"/>
                <w:color w:val="auto"/>
              </w:rPr>
              <w:t>Canada</w:t>
            </w:r>
          </w:p>
        </w:tc>
        <w:tc>
          <w:tcPr>
            <w:tcW w:w="1580" w:type="dxa"/>
            <w:vAlign w:val="bottom"/>
            <w:gridSpan w:val="2"/>
          </w:tcPr>
          <w:p>
            <w:pPr>
              <w:ind w:left="20"/>
              <w:spacing w:after="0"/>
              <w:rPr>
                <w:sz w:val="20"/>
                <w:szCs w:val="20"/>
                <w:color w:val="auto"/>
              </w:rPr>
            </w:pPr>
            <w:r>
              <w:rPr>
                <w:rFonts w:ascii="Arial" w:cs="Arial" w:eastAsia="Arial" w:hAnsi="Arial"/>
                <w:sz w:val="17"/>
                <w:szCs w:val="17"/>
                <w:color w:val="auto"/>
              </w:rPr>
              <w:t>Natural Gas</w:t>
            </w:r>
          </w:p>
        </w:tc>
        <w:tc>
          <w:tcPr>
            <w:tcW w:w="2760" w:type="dxa"/>
            <w:vAlign w:val="bottom"/>
          </w:tcPr>
          <w:p>
            <w:pPr>
              <w:ind w:left="20"/>
              <w:spacing w:after="0"/>
              <w:rPr>
                <w:sz w:val="20"/>
                <w:szCs w:val="20"/>
                <w:color w:val="auto"/>
              </w:rPr>
            </w:pPr>
            <w:r>
              <w:rPr>
                <w:rFonts w:ascii="Arial" w:cs="Arial" w:eastAsia="Arial" w:hAnsi="Arial"/>
                <w:sz w:val="17"/>
                <w:szCs w:val="17"/>
                <w:color w:val="auto"/>
              </w:rPr>
              <w:t>Fixed price forward sales</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7"/>
                <w:szCs w:val="17"/>
                <w:color w:val="auto"/>
              </w:rPr>
              <w:t>C$3.03</w:t>
            </w:r>
          </w:p>
        </w:tc>
        <w:tc>
          <w:tcPr>
            <w:tcW w:w="1220" w:type="dxa"/>
            <w:vAlign w:val="bottom"/>
          </w:tcPr>
          <w:p>
            <w:pPr>
              <w:jc w:val="right"/>
              <w:spacing w:after="0"/>
              <w:rPr>
                <w:sz w:val="20"/>
                <w:szCs w:val="20"/>
                <w:color w:val="auto"/>
              </w:rPr>
            </w:pPr>
            <w:r>
              <w:rPr>
                <w:rFonts w:ascii="Arial" w:cs="Arial" w:eastAsia="Arial" w:hAnsi="Arial"/>
                <w:sz w:val="17"/>
                <w:szCs w:val="17"/>
                <w:color w:val="auto"/>
              </w:rPr>
              <w:t>1/1/2026</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12/31/2026</w:t>
            </w:r>
          </w:p>
        </w:tc>
      </w:tr>
    </w:tbl>
    <w:p>
      <w:pPr>
        <w:spacing w:after="0" w:line="154" w:lineRule="exact"/>
        <w:rPr>
          <w:sz w:val="20"/>
          <w:szCs w:val="20"/>
          <w:color w:val="auto"/>
        </w:rPr>
      </w:pPr>
    </w:p>
    <w:p>
      <w:pPr>
        <w:ind w:left="100" w:hanging="97"/>
        <w:spacing w:after="0"/>
        <w:tabs>
          <w:tab w:leader="none" w:pos="10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Fixed price forward sale contracts listed above are accounted for as normal sales and purchases for accounting purposes.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8"/>
              </w:rPr>
              <w:t>Volumes</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4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7"/>
                <w:szCs w:val="17"/>
                <w:b w:val="1"/>
                <w:bCs w:val="1"/>
                <w:color w:val="auto"/>
              </w:rPr>
              <w:t>Remaining Period</w:t>
            </w:r>
          </w:p>
        </w:tc>
      </w:tr>
      <w:tr>
        <w:trPr>
          <w:trHeight w:val="213"/>
        </w:trPr>
        <w:tc>
          <w:tcPr>
            <w:tcW w:w="1560" w:type="dxa"/>
            <w:vAlign w:val="bottom"/>
            <w:gridSpan w:val="2"/>
          </w:tcPr>
          <w:p>
            <w:pPr>
              <w:ind w:left="540"/>
              <w:spacing w:after="0"/>
              <w:rPr>
                <w:sz w:val="20"/>
                <w:szCs w:val="20"/>
                <w:color w:val="auto"/>
              </w:rPr>
            </w:pPr>
            <w:r>
              <w:rPr>
                <w:rFonts w:ascii="Arial" w:cs="Arial" w:eastAsia="Arial" w:hAnsi="Arial"/>
                <w:sz w:val="17"/>
                <w:szCs w:val="17"/>
                <w:b w:val="1"/>
                <w:bCs w:val="1"/>
                <w:color w:val="auto"/>
              </w:rPr>
              <w:t>Area</w:t>
            </w:r>
          </w:p>
        </w:tc>
        <w:tc>
          <w:tcPr>
            <w:tcW w:w="1580" w:type="dxa"/>
            <w:vAlign w:val="bottom"/>
            <w:gridSpan w:val="2"/>
          </w:tcPr>
          <w:p>
            <w:pPr>
              <w:ind w:left="260"/>
              <w:spacing w:after="0"/>
              <w:rPr>
                <w:sz w:val="20"/>
                <w:szCs w:val="20"/>
                <w:color w:val="auto"/>
              </w:rPr>
            </w:pPr>
            <w:r>
              <w:rPr>
                <w:rFonts w:ascii="Arial" w:cs="Arial" w:eastAsia="Arial" w:hAnsi="Arial"/>
                <w:sz w:val="17"/>
                <w:szCs w:val="17"/>
                <w:b w:val="1"/>
                <w:bCs w:val="1"/>
                <w:color w:val="auto"/>
              </w:rPr>
              <w:t>Commodity</w:t>
            </w:r>
          </w:p>
        </w:tc>
        <w:tc>
          <w:tcPr>
            <w:tcW w:w="2800" w:type="dxa"/>
            <w:vAlign w:val="bottom"/>
          </w:tcPr>
          <w:p>
            <w:pPr>
              <w:ind w:left="1220"/>
              <w:spacing w:after="0"/>
              <w:rPr>
                <w:sz w:val="20"/>
                <w:szCs w:val="20"/>
                <w:color w:val="auto"/>
              </w:rPr>
            </w:pPr>
            <w:r>
              <w:rPr>
                <w:rFonts w:ascii="Arial" w:cs="Arial" w:eastAsia="Arial" w:hAnsi="Arial"/>
                <w:sz w:val="17"/>
                <w:szCs w:val="17"/>
                <w:b w:val="1"/>
                <w:bCs w:val="1"/>
                <w:color w:val="auto"/>
              </w:rPr>
              <w:t>Type</w:t>
            </w:r>
          </w:p>
        </w:tc>
        <w:tc>
          <w:tcPr>
            <w:tcW w:w="10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(MMCF/d)</w:t>
            </w:r>
          </w:p>
        </w:tc>
        <w:tc>
          <w:tcPr>
            <w:tcW w:w="128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rPr>
              <w:t>Price/MCF</w:t>
            </w:r>
          </w:p>
        </w:tc>
        <w:tc>
          <w:tcPr>
            <w:tcW w:w="1300" w:type="dxa"/>
            <w:vAlign w:val="bottom"/>
            <w:gridSpan w:val="2"/>
          </w:tcPr>
          <w:p>
            <w:pPr>
              <w:ind w:left="200"/>
              <w:spacing w:after="0"/>
              <w:rPr>
                <w:sz w:val="20"/>
                <w:szCs w:val="20"/>
                <w:color w:val="auto"/>
              </w:rPr>
            </w:pPr>
            <w:r>
              <w:rPr>
                <w:rFonts w:ascii="Arial" w:cs="Arial" w:eastAsia="Arial" w:hAnsi="Arial"/>
                <w:sz w:val="17"/>
                <w:szCs w:val="17"/>
                <w:b w:val="1"/>
                <w:bCs w:val="1"/>
                <w:color w:val="auto"/>
              </w:rPr>
              <w:t>Start Date</w:t>
            </w:r>
          </w:p>
        </w:tc>
        <w:tc>
          <w:tcPr>
            <w:tcW w:w="1340" w:type="dxa"/>
            <w:vAlign w:val="bottom"/>
          </w:tcPr>
          <w:p>
            <w:pPr>
              <w:jc w:val="right"/>
              <w:ind w:right="214"/>
              <w:spacing w:after="0"/>
              <w:rPr>
                <w:sz w:val="20"/>
                <w:szCs w:val="20"/>
                <w:color w:val="auto"/>
              </w:rPr>
            </w:pPr>
            <w:r>
              <w:rPr>
                <w:rFonts w:ascii="Arial" w:cs="Arial" w:eastAsia="Arial" w:hAnsi="Arial"/>
                <w:sz w:val="17"/>
                <w:szCs w:val="17"/>
                <w:b w:val="1"/>
                <w:bCs w:val="1"/>
                <w:color w:val="auto"/>
              </w:rPr>
              <w:t>End Date</w:t>
            </w:r>
          </w:p>
        </w:tc>
      </w:tr>
      <w:tr>
        <w:trPr>
          <w:trHeight w:val="213"/>
        </w:trPr>
        <w:tc>
          <w:tcPr>
            <w:tcW w:w="1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Natural Gas</w:t>
            </w:r>
          </w:p>
        </w:tc>
        <w:tc>
          <w:tcPr>
            <w:tcW w:w="10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Fixed price derivative swap</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$3.58</w:t>
            </w: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4/1/2025</w:t>
            </w:r>
          </w:p>
        </w:tc>
        <w:tc>
          <w:tcPr>
            <w:tcW w:w="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6/30/2025</w:t>
            </w:r>
          </w:p>
        </w:tc>
      </w:tr>
      <w:tr>
        <w:trPr>
          <w:trHeight w:val="220"/>
        </w:trPr>
        <w:tc>
          <w:tcPr>
            <w:tcW w:w="1560" w:type="dxa"/>
            <w:vAlign w:val="bottom"/>
            <w:gridSpan w:val="2"/>
          </w:tcPr>
          <w:p>
            <w:pPr>
              <w:ind w:left="20"/>
              <w:spacing w:after="0"/>
              <w:rPr>
                <w:sz w:val="20"/>
                <w:szCs w:val="20"/>
                <w:color w:val="auto"/>
              </w:rPr>
            </w:pPr>
            <w:r>
              <w:rPr>
                <w:rFonts w:ascii="Arial" w:cs="Arial" w:eastAsia="Arial" w:hAnsi="Arial"/>
                <w:sz w:val="17"/>
                <w:szCs w:val="17"/>
                <w:color w:val="auto"/>
              </w:rPr>
              <w:t>United States</w:t>
            </w:r>
          </w:p>
        </w:tc>
        <w:tc>
          <w:tcPr>
            <w:tcW w:w="1580" w:type="dxa"/>
            <w:vAlign w:val="bottom"/>
            <w:gridSpan w:val="2"/>
          </w:tcPr>
          <w:p>
            <w:pPr>
              <w:ind w:left="20"/>
              <w:spacing w:after="0"/>
              <w:rPr>
                <w:sz w:val="20"/>
                <w:szCs w:val="20"/>
                <w:color w:val="auto"/>
              </w:rPr>
            </w:pPr>
            <w:r>
              <w:rPr>
                <w:rFonts w:ascii="Arial" w:cs="Arial" w:eastAsia="Arial" w:hAnsi="Arial"/>
                <w:sz w:val="17"/>
                <w:szCs w:val="17"/>
                <w:color w:val="auto"/>
              </w:rPr>
              <w:t>Natural Gas</w:t>
            </w:r>
          </w:p>
        </w:tc>
        <w:tc>
          <w:tcPr>
            <w:tcW w:w="2800" w:type="dxa"/>
            <w:vAlign w:val="bottom"/>
          </w:tcPr>
          <w:p>
            <w:pPr>
              <w:ind w:left="20"/>
              <w:spacing w:after="0"/>
              <w:rPr>
                <w:sz w:val="20"/>
                <w:szCs w:val="20"/>
                <w:color w:val="auto"/>
              </w:rPr>
            </w:pPr>
            <w:r>
              <w:rPr>
                <w:rFonts w:ascii="Arial" w:cs="Arial" w:eastAsia="Arial" w:hAnsi="Arial"/>
                <w:sz w:val="17"/>
                <w:szCs w:val="17"/>
                <w:color w:val="auto"/>
              </w:rPr>
              <w:t>Fixed price derivative swap</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7"/>
                <w:szCs w:val="17"/>
                <w:color w:val="auto"/>
              </w:rPr>
              <w:t>$3.65</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7/1/2025</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9/30/2025</w:t>
            </w:r>
          </w:p>
        </w:tc>
      </w:tr>
      <w:tr>
        <w:trPr>
          <w:trHeight w:val="220"/>
        </w:trPr>
        <w:tc>
          <w:tcPr>
            <w:tcW w:w="15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Natural Gas</w:t>
            </w:r>
          </w:p>
        </w:tc>
        <w:tc>
          <w:tcPr>
            <w:tcW w:w="2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Fixed price derivative swap</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$3.74</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10/1/2025</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12/31/2025</w:t>
            </w:r>
          </w:p>
        </w:tc>
      </w:tr>
    </w:tbl>
    <w:p>
      <w:pPr>
        <w:spacing w:after="0" w:line="39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Forward-Looking Statements</w:t>
      </w:r>
    </w:p>
    <w:p>
      <w:pPr>
        <w:spacing w:after="0" w:line="155"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 xml:space="preserve">This Form 10-Q contains forward-looking statements within the meaning of the Private Securities Litigation Reform Act of 1995. Forward-looking statements are generally identified through the inclusion of words such as “aim”, “anticipate”, “believe”, “drive”, “estimate”, “expect”, “expressed confidence”, “forecast”, “future”, “goal”, “guidance”, “intend”, “may”, “objective”, “outlook”, “plan”, “position”, “potential”, “project”, “seek”, “should”, “strategy”, “target”, “will” or variations of such words and other similar expressions. These statements, which express management’s current views concerning future events, results and plans, are subject to inherent risks, uncertainties and assumptions (many of which are beyond our control) and are not guarantees of performance. In particular, statements, express or implied, concerning the Company’s future operating results or activities and returns or the Company's ability and decisions to replace or increase reserves, increase production, generate returns and rates of return, replace or increase drilling locations, reduce or otherwise control operating costs and expenditures, generate cash flows, pay down or refinance indebtedness, achieve, reach or otherwise meet initiatives, plans, goals, ambitions or targets with respect to emissions, safety matters or other ESG (environmental/social/governance) matters, make capital expenditures or pay and/or increase dividends or make share repurchases and other capital allocation decisions are forward-looking statements. Factors that could cause one or more of these future events, results or plans not to occur as implied by any forward-looking statement, which consequently could cause actual results or activities to differ materially from the expectations expressed or implied by such forward-looking statements, include, but are not limited to: macro conditions in the oil and natural gas industry, including supply/demand levels, actions taken by major oil exporters and the resulting impacts on commodity prices; geopolitical concerns; increased volatility or deterioration in the success rate of our exploration programs or in our ability to maintain production rates and replace reserves; reduced customer demand for our products due to environmental, regulatory, technological or other reasons; adverse foreign exchange movements; political and regulatory instability in the markets where we do business; the impact on our operations or market of health pandemics such as COVID-19 and related government responses; other natural hazards impacting our operations or markets; any other deterioration in our business, markets or prospects; any failure to obtain necessary regulatory approvals; any inability to service or refinance our outstanding debt or to access debt markets at acceptable prices; or adverse developments in the U.S. or global capital markets, credit markets, banking system or economies in general, including inflation, trade policies, tariffs and other trade restrictions. For further discussion of factors that could cause one or more of these future events or results not to occur as implied by any forward-looking statement, see “Item 1A. Risk Factors” in our most recent Annual Report on Form 10-K filed with the U.S. Securities and Exchange Commission (“SEC”) and on page </w:t>
      </w:r>
      <w:r>
        <w:rPr>
          <w:rFonts w:ascii="Arial" w:cs="Arial" w:eastAsia="Arial" w:hAnsi="Arial"/>
          <w:sz w:val="17"/>
          <w:szCs w:val="17"/>
          <w:u w:val="single" w:color="auto"/>
          <w:color w:val="0000FF"/>
        </w:rPr>
        <w:t>40</w:t>
      </w:r>
      <w:r>
        <w:rPr>
          <w:rFonts w:ascii="Arial" w:cs="Arial" w:eastAsia="Arial" w:hAnsi="Arial"/>
          <w:sz w:val="17"/>
          <w:szCs w:val="17"/>
          <w:color w:val="auto"/>
        </w:rPr>
        <w:t xml:space="preserve"> of this Form 10-Q report, and any subsequent Quarterly Report on Form 10-Q or Current Report on Form 8-K that we file, available from the SEC’s website and from Murphy Oil Corporation’s website at http://ir.murphyoilcorp.com. Investors and others should note that we may announce material information using SEC filings, press releases, public conference calls, webcasts and the investors page of our website. We may use these channels to distribute material information about the Company; therefore, we encourage investors, the media, business partners and others interested in the Company to review the information we post on our website. The information on our website is not part of, and is not incorporated into, this report. Murphy Oil Corporation undertakes no duty to publicly update or revise any forward-looking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5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The Company is exposed to market risks associated with prices of crude oil, natural gas and petroleum products, foreign currency exchange rates, and interest rates. As described in </w:t>
      </w:r>
      <w:r>
        <w:rPr>
          <w:rFonts w:ascii="Arial" w:cs="Arial" w:eastAsia="Arial" w:hAnsi="Arial"/>
          <w:sz w:val="17"/>
          <w:szCs w:val="17"/>
          <w:u w:val="single" w:color="auto"/>
          <w:color w:val="0000FF"/>
        </w:rPr>
        <w:t>Note L</w:t>
      </w:r>
      <w:r>
        <w:rPr>
          <w:rFonts w:ascii="Arial" w:cs="Arial" w:eastAsia="Arial" w:hAnsi="Arial"/>
          <w:sz w:val="17"/>
          <w:szCs w:val="17"/>
          <w:color w:val="auto"/>
        </w:rPr>
        <w:t>, Murphy periodically makes use of derivative financial and commodity instruments to manage risks associated with existing or anticipated transactions.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Commodity Price Risk</w:t>
      </w:r>
    </w:p>
    <w:p>
      <w:pPr>
        <w:spacing w:after="0" w:line="11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There were commodity transactions in place as of March 31, 2025, covering certain future U.S. natural gas sales volumes in 2025. A 10% increase in the respective benchmark price of these commodities would have increased the net payable associated with these derivative contracts by approximately $6.4 million, while a 10% decrease would have decreased the recorded net payable by a similar amount.</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Foreign Exchange Risk</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There were no derivative foreign exchange contracts in place at March 31, 2025.</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Interest Rate Risk</w:t>
      </w:r>
    </w:p>
    <w:p>
      <w:pPr>
        <w:spacing w:after="0" w:line="115"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The Company’s RCF provides for variable interest rate borrowings. As of March 31, 2025, we had $200.0 million of outstanding borrowings under the RCF. Assuming no change in the amount of borrowings outstanding under the RCF, a 10% increase in the average interest rate would have increased our interest expense by approximately $0.1 million. Actual results may vary due to changes in the amount of variable rate debt outstanding.</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5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Under the direction of its principal executive officer and principal financial officer, controls and procedures have been established by the Company to ensure that material information relating to the Company and its consolidated subsidiaries is made known to the officers who certify the Company’s financial reports and to other members of senior management and the Board of Directors.</w:t>
      </w:r>
    </w:p>
    <w:p>
      <w:pPr>
        <w:spacing w:after="0" w:line="59"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Based on the Company’s evaluation as of the end of the period covered by the filing of this Quarterly Report on Form 10-Q, the principal executive officer and principal financial officer of Murphy Oil Corporation have concluded that the Company’s disclosure controls and procedures (as defined in Rules 13a-15(e) and 15d-15(e) under the Securities Exchange Act of 1934) are effective to ensure that the information required to be disclosed by Murphy Oil Corporation in reports that it files or submits under the Securities Exchange Act of 1934 is recorded, processed, summarized and reported within the time periods specified in SEC rules and forms.</w:t>
      </w:r>
    </w:p>
    <w:p>
      <w:pPr>
        <w:spacing w:after="0" w:line="66"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auto"/>
        </w:rPr>
        <w:t>During the quarter ended March 31, 2025, there were no changes in the Company’s internal control over financial reporting that have materially affected, or are reasonably likely to materially affect, the Company’s internal control over financial reporting.</w:t>
      </w: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226" w:right="41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 OTHER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5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Murphy and its subsidiaries are engaged in a number of legal proceedings (including litigation related to climate change), all of which Murphy considers routine and incidental to its business. Based on information currently available to the Company, the ultimate resolution of matters referred to in this item is not expected to have a material adverse effect on the Company’s net income, financial condition or liquidity in a future period.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55" w:lineRule="exact"/>
        <w:rPr>
          <w:sz w:val="20"/>
          <w:szCs w:val="20"/>
          <w:color w:val="auto"/>
        </w:rPr>
      </w:pPr>
    </w:p>
    <w:p>
      <w:pPr>
        <w:jc w:val="both"/>
        <w:ind w:right="140"/>
        <w:spacing w:after="0" w:line="272" w:lineRule="auto"/>
        <w:rPr>
          <w:sz w:val="20"/>
          <w:szCs w:val="20"/>
          <w:color w:val="auto"/>
        </w:rPr>
      </w:pPr>
      <w:r>
        <w:rPr>
          <w:rFonts w:ascii="Arial" w:cs="Arial" w:eastAsia="Arial" w:hAnsi="Arial"/>
          <w:sz w:val="17"/>
          <w:szCs w:val="17"/>
          <w:color w:val="auto"/>
        </w:rPr>
        <w:t>The Company’s operations in the oil and natural gas business naturally lead to various risks and uncertainties. These risk factors are discussed in “Item 1A. Risk Factors” in the Company’s 2024 Form 10-K filed on February 27, 2025. The Company has not identified any additional risk factors not previously disclosed in its 2024 Form 10-K report.</w:t>
      </w:r>
    </w:p>
    <w:p>
      <w:pPr>
        <w:spacing w:after="0" w:line="200" w:lineRule="exact"/>
        <w:rPr>
          <w:sz w:val="20"/>
          <w:szCs w:val="20"/>
          <w:color w:val="auto"/>
        </w:rPr>
      </w:pPr>
    </w:p>
    <w:p>
      <w:pPr>
        <w:spacing w:after="0" w:line="245" w:lineRule="exact"/>
        <w:rPr>
          <w:sz w:val="20"/>
          <w:szCs w:val="20"/>
          <w:color w:val="auto"/>
        </w:rPr>
      </w:pPr>
    </w:p>
    <w:p>
      <w:pPr>
        <w:ind w:right="4400"/>
        <w:spacing w:after="0" w:line="397" w:lineRule="auto"/>
        <w:rPr>
          <w:sz w:val="20"/>
          <w:szCs w:val="20"/>
          <w:color w:val="auto"/>
        </w:rPr>
      </w:pPr>
      <w:r>
        <w:rPr>
          <w:rFonts w:ascii="Arial" w:cs="Arial" w:eastAsia="Arial" w:hAnsi="Arial"/>
          <w:sz w:val="17"/>
          <w:szCs w:val="17"/>
          <w:b w:val="1"/>
          <w:bCs w:val="1"/>
          <w:color w:val="auto"/>
        </w:rPr>
        <w:t xml:space="preserve">ITEM 2. UNREGISTERED SALES OF EQUITY SECURITIES AND USE OF PROCEEDS </w:t>
      </w:r>
      <w:r>
        <w:rPr>
          <w:rFonts w:ascii="Arial" w:cs="Arial" w:eastAsia="Arial" w:hAnsi="Arial"/>
          <w:sz w:val="17"/>
          <w:szCs w:val="17"/>
          <w:b w:val="1"/>
          <w:bCs w:val="1"/>
          <w:u w:val="single" w:color="auto"/>
          <w:color w:val="auto"/>
        </w:rPr>
        <w:t>Issuer Purchase of Equity Securities: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repurchases of our common stock occurring in the first quarter of 2025.</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center"/>
              <w:ind w:right="18"/>
              <w:spacing w:after="0"/>
              <w:rPr>
                <w:sz w:val="20"/>
                <w:szCs w:val="20"/>
                <w:color w:val="auto"/>
              </w:rPr>
            </w:pPr>
            <w:r>
              <w:rPr>
                <w:rFonts w:ascii="Arial" w:cs="Arial" w:eastAsia="Arial" w:hAnsi="Arial"/>
                <w:sz w:val="17"/>
                <w:szCs w:val="17"/>
                <w:b w:val="1"/>
                <w:bCs w:val="1"/>
                <w:color w:val="auto"/>
              </w:rPr>
              <w:t>Maximum</w:t>
            </w:r>
          </w:p>
        </w:tc>
        <w:tc>
          <w:tcPr>
            <w:tcW w:w="0" w:type="dxa"/>
            <w:vAlign w:val="bottom"/>
          </w:tcPr>
          <w:p>
            <w:pPr>
              <w:spacing w:after="0"/>
              <w:rPr>
                <w:sz w:val="1"/>
                <w:szCs w:val="1"/>
                <w:color w:val="auto"/>
              </w:rPr>
            </w:pPr>
          </w:p>
        </w:tc>
      </w:tr>
      <w:tr>
        <w:trPr>
          <w:trHeight w:val="174"/>
        </w:trPr>
        <w:tc>
          <w:tcPr>
            <w:tcW w:w="4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2"/>
          </w:tcPr>
          <w:p>
            <w:pPr>
              <w:ind w:left="20"/>
              <w:spacing w:after="0" w:line="174" w:lineRule="exact"/>
              <w:rPr>
                <w:sz w:val="20"/>
                <w:szCs w:val="20"/>
                <w:color w:val="auto"/>
              </w:rPr>
            </w:pPr>
            <w:r>
              <w:rPr>
                <w:rFonts w:ascii="Arial" w:cs="Arial" w:eastAsia="Arial" w:hAnsi="Arial"/>
                <w:sz w:val="17"/>
                <w:szCs w:val="17"/>
                <w:b w:val="1"/>
                <w:bCs w:val="1"/>
                <w:color w:val="auto"/>
              </w:rPr>
              <w:t>Approximate Dollar</w:t>
            </w:r>
          </w:p>
        </w:tc>
        <w:tc>
          <w:tcPr>
            <w:tcW w:w="0" w:type="dxa"/>
            <w:vAlign w:val="bottom"/>
          </w:tcPr>
          <w:p>
            <w:pPr>
              <w:spacing w:after="0"/>
              <w:rPr>
                <w:sz w:val="1"/>
                <w:szCs w:val="1"/>
                <w:color w:val="auto"/>
              </w:rPr>
            </w:pPr>
          </w:p>
        </w:tc>
      </w:tr>
      <w:tr>
        <w:trPr>
          <w:trHeight w:val="168"/>
        </w:trPr>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7"/>
                <w:szCs w:val="17"/>
                <w:b w:val="1"/>
                <w:bCs w:val="1"/>
                <w:color w:val="auto"/>
                <w:w w:val="99"/>
              </w:rPr>
              <w:t>Total Number of</w:t>
            </w:r>
          </w:p>
        </w:tc>
        <w:tc>
          <w:tcPr>
            <w:tcW w:w="100" w:type="dxa"/>
            <w:vAlign w:val="bottom"/>
          </w:tcPr>
          <w:p>
            <w:pPr>
              <w:spacing w:after="0"/>
              <w:rPr>
                <w:sz w:val="14"/>
                <w:szCs w:val="14"/>
                <w:color w:val="auto"/>
              </w:rPr>
            </w:pPr>
          </w:p>
        </w:tc>
        <w:tc>
          <w:tcPr>
            <w:tcW w:w="1540" w:type="dxa"/>
            <w:vAlign w:val="bottom"/>
          </w:tcPr>
          <w:p>
            <w:pPr>
              <w:jc w:val="center"/>
              <w:ind w:right="18"/>
              <w:spacing w:after="0" w:line="168" w:lineRule="exact"/>
              <w:rPr>
                <w:sz w:val="20"/>
                <w:szCs w:val="20"/>
                <w:color w:val="auto"/>
              </w:rPr>
            </w:pPr>
            <w:r>
              <w:rPr>
                <w:rFonts w:ascii="Arial" w:cs="Arial" w:eastAsia="Arial" w:hAnsi="Arial"/>
                <w:sz w:val="17"/>
                <w:szCs w:val="17"/>
                <w:b w:val="1"/>
                <w:bCs w:val="1"/>
                <w:color w:val="auto"/>
              </w:rPr>
              <w:t>Value of Shares</w:t>
            </w:r>
          </w:p>
        </w:tc>
        <w:tc>
          <w:tcPr>
            <w:tcW w:w="0" w:type="dxa"/>
            <w:vAlign w:val="bottom"/>
          </w:tcPr>
          <w:p>
            <w:pPr>
              <w:spacing w:after="0"/>
              <w:rPr>
                <w:sz w:val="1"/>
                <w:szCs w:val="1"/>
                <w:color w:val="auto"/>
              </w:rPr>
            </w:pPr>
          </w:p>
        </w:tc>
      </w:tr>
      <w:tr>
        <w:trPr>
          <w:trHeight w:val="97"/>
        </w:trPr>
        <w:tc>
          <w:tcPr>
            <w:tcW w:w="4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vMerge w:val="restart"/>
          </w:tcPr>
          <w:p>
            <w:pPr>
              <w:jc w:val="center"/>
              <w:ind w:right="18"/>
              <w:spacing w:after="0" w:line="175" w:lineRule="exact"/>
              <w:rPr>
                <w:sz w:val="20"/>
                <w:szCs w:val="20"/>
                <w:color w:val="auto"/>
              </w:rPr>
            </w:pPr>
            <w:r>
              <w:rPr>
                <w:rFonts w:ascii="Arial" w:cs="Arial" w:eastAsia="Arial" w:hAnsi="Arial"/>
                <w:sz w:val="17"/>
                <w:szCs w:val="17"/>
                <w:b w:val="1"/>
                <w:bCs w:val="1"/>
                <w:color w:val="auto"/>
              </w:rPr>
              <w:t>that May Yet Be</w:t>
            </w:r>
          </w:p>
        </w:tc>
        <w:tc>
          <w:tcPr>
            <w:tcW w:w="0" w:type="dxa"/>
            <w:vAlign w:val="bottom"/>
          </w:tcPr>
          <w:p>
            <w:pPr>
              <w:spacing w:after="0"/>
              <w:rPr>
                <w:sz w:val="1"/>
                <w:szCs w:val="1"/>
                <w:color w:val="auto"/>
              </w:rPr>
            </w:pPr>
          </w:p>
        </w:tc>
      </w:tr>
      <w:tr>
        <w:trPr>
          <w:trHeight w:val="78"/>
        </w:trPr>
        <w:tc>
          <w:tcPr>
            <w:tcW w:w="4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gridSpan w:val="2"/>
            <w:vMerge w:val="restart"/>
          </w:tcPr>
          <w:p>
            <w:pPr>
              <w:jc w:val="center"/>
              <w:ind w:right="100"/>
              <w:spacing w:after="0" w:line="174" w:lineRule="exact"/>
              <w:rPr>
                <w:sz w:val="20"/>
                <w:szCs w:val="20"/>
                <w:color w:val="auto"/>
              </w:rPr>
            </w:pPr>
            <w:r>
              <w:rPr>
                <w:rFonts w:ascii="Arial" w:cs="Arial" w:eastAsia="Arial" w:hAnsi="Arial"/>
                <w:sz w:val="17"/>
                <w:szCs w:val="17"/>
                <w:b w:val="1"/>
                <w:bCs w:val="1"/>
                <w:color w:val="auto"/>
              </w:rPr>
              <w:t>Shares Purchased</w:t>
            </w:r>
          </w:p>
        </w:tc>
        <w:tc>
          <w:tcPr>
            <w:tcW w:w="10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4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vMerge w:val="restart"/>
          </w:tcPr>
          <w:p>
            <w:pPr>
              <w:jc w:val="center"/>
              <w:ind w:right="18"/>
              <w:spacing w:after="0" w:line="174" w:lineRule="exact"/>
              <w:rPr>
                <w:sz w:val="20"/>
                <w:szCs w:val="20"/>
                <w:color w:val="auto"/>
              </w:rPr>
            </w:pPr>
            <w:r>
              <w:rPr>
                <w:rFonts w:ascii="Arial" w:cs="Arial" w:eastAsia="Arial" w:hAnsi="Arial"/>
                <w:sz w:val="17"/>
                <w:szCs w:val="17"/>
                <w:b w:val="1"/>
                <w:bCs w:val="1"/>
                <w:color w:val="auto"/>
              </w:rPr>
              <w:t>Purchased Under</w:t>
            </w:r>
          </w:p>
        </w:tc>
        <w:tc>
          <w:tcPr>
            <w:tcW w:w="0" w:type="dxa"/>
            <w:vAlign w:val="bottom"/>
          </w:tcPr>
          <w:p>
            <w:pPr>
              <w:spacing w:after="0"/>
              <w:rPr>
                <w:sz w:val="1"/>
                <w:szCs w:val="1"/>
                <w:color w:val="auto"/>
              </w:rPr>
            </w:pPr>
          </w:p>
        </w:tc>
      </w:tr>
      <w:tr>
        <w:trPr>
          <w:trHeight w:val="78"/>
        </w:trPr>
        <w:tc>
          <w:tcPr>
            <w:tcW w:w="4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7"/>
                <w:szCs w:val="17"/>
                <w:b w:val="1"/>
                <w:bCs w:val="1"/>
                <w:color w:val="auto"/>
              </w:rPr>
              <w:t>as Part of Publicly</w:t>
            </w:r>
          </w:p>
        </w:tc>
        <w:tc>
          <w:tcPr>
            <w:tcW w:w="10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vMerge w:val="restart"/>
          </w:tcPr>
          <w:p>
            <w:pPr>
              <w:jc w:val="center"/>
              <w:ind w:right="80"/>
              <w:spacing w:after="0"/>
              <w:rPr>
                <w:sz w:val="20"/>
                <w:szCs w:val="20"/>
                <w:color w:val="auto"/>
              </w:rPr>
            </w:pPr>
            <w:r>
              <w:rPr>
                <w:rFonts w:ascii="Arial" w:cs="Arial" w:eastAsia="Arial" w:hAnsi="Arial"/>
                <w:sz w:val="17"/>
                <w:szCs w:val="17"/>
                <w:b w:val="1"/>
                <w:bCs w:val="1"/>
                <w:color w:val="auto"/>
              </w:rPr>
              <w:t>Total Number of</w:t>
            </w:r>
          </w:p>
        </w:tc>
        <w:tc>
          <w:tcPr>
            <w:tcW w:w="1800" w:type="dxa"/>
            <w:vAlign w:val="bottom"/>
            <w:gridSpan w:val="3"/>
            <w:vMerge w:val="restart"/>
          </w:tcPr>
          <w:p>
            <w:pPr>
              <w:jc w:val="center"/>
              <w:ind w:right="80"/>
              <w:spacing w:after="0"/>
              <w:rPr>
                <w:sz w:val="20"/>
                <w:szCs w:val="20"/>
                <w:color w:val="auto"/>
              </w:rPr>
            </w:pPr>
            <w:r>
              <w:rPr>
                <w:rFonts w:ascii="Arial" w:cs="Arial" w:eastAsia="Arial" w:hAnsi="Arial"/>
                <w:sz w:val="17"/>
                <w:szCs w:val="17"/>
                <w:b w:val="1"/>
                <w:bCs w:val="1"/>
                <w:color w:val="auto"/>
              </w:rPr>
              <w:t>Average Price Paid</w:t>
            </w:r>
          </w:p>
        </w:tc>
        <w:tc>
          <w:tcPr>
            <w:tcW w:w="1680" w:type="dxa"/>
            <w:vAlign w:val="bottom"/>
            <w:gridSpan w:val="2"/>
            <w:vMerge w:val="continue"/>
          </w:tcPr>
          <w:p>
            <w:pPr>
              <w:spacing w:after="0"/>
              <w:rPr>
                <w:sz w:val="14"/>
                <w:szCs w:val="14"/>
                <w:color w:val="auto"/>
              </w:rPr>
            </w:pPr>
          </w:p>
        </w:tc>
        <w:tc>
          <w:tcPr>
            <w:tcW w:w="1640" w:type="dxa"/>
            <w:vAlign w:val="bottom"/>
            <w:gridSpan w:val="2"/>
          </w:tcPr>
          <w:p>
            <w:pPr>
              <w:jc w:val="center"/>
              <w:spacing w:after="0" w:line="168" w:lineRule="exact"/>
              <w:rPr>
                <w:sz w:val="20"/>
                <w:szCs w:val="20"/>
                <w:color w:val="auto"/>
              </w:rPr>
            </w:pPr>
            <w:r>
              <w:rPr>
                <w:rFonts w:ascii="Arial" w:cs="Arial" w:eastAsia="Arial" w:hAnsi="Arial"/>
                <w:sz w:val="17"/>
                <w:szCs w:val="17"/>
                <w:b w:val="1"/>
                <w:bCs w:val="1"/>
                <w:color w:val="auto"/>
              </w:rPr>
              <w:t>Plans or Programs</w:t>
            </w:r>
          </w:p>
        </w:tc>
        <w:tc>
          <w:tcPr>
            <w:tcW w:w="0" w:type="dxa"/>
            <w:vAlign w:val="bottom"/>
          </w:tcPr>
          <w:p>
            <w:pPr>
              <w:spacing w:after="0"/>
              <w:rPr>
                <w:sz w:val="1"/>
                <w:szCs w:val="1"/>
                <w:color w:val="auto"/>
              </w:rPr>
            </w:pPr>
          </w:p>
        </w:tc>
      </w:tr>
      <w:tr>
        <w:trPr>
          <w:trHeight w:val="95"/>
        </w:trPr>
        <w:tc>
          <w:tcPr>
            <w:tcW w:w="4400" w:type="dxa"/>
            <w:vAlign w:val="bottom"/>
            <w:gridSpan w:val="2"/>
            <w:vMerge w:val="restart"/>
          </w:tcPr>
          <w:p>
            <w:pPr>
              <w:ind w:left="1880"/>
              <w:spacing w:after="0"/>
              <w:rPr>
                <w:sz w:val="20"/>
                <w:szCs w:val="20"/>
                <w:color w:val="auto"/>
              </w:rPr>
            </w:pPr>
            <w:r>
              <w:rPr>
                <w:rFonts w:ascii="Arial" w:cs="Arial" w:eastAsia="Arial" w:hAnsi="Arial"/>
                <w:sz w:val="17"/>
                <w:szCs w:val="17"/>
                <w:b w:val="1"/>
                <w:bCs w:val="1"/>
                <w:color w:val="auto"/>
              </w:rPr>
              <w:t>Period</w:t>
            </w:r>
          </w:p>
        </w:tc>
        <w:tc>
          <w:tcPr>
            <w:tcW w:w="1640" w:type="dxa"/>
            <w:vAlign w:val="bottom"/>
            <w:gridSpan w:val="2"/>
            <w:vMerge w:val="continue"/>
          </w:tcPr>
          <w:p>
            <w:pPr>
              <w:spacing w:after="0"/>
              <w:rPr>
                <w:sz w:val="8"/>
                <w:szCs w:val="8"/>
                <w:color w:val="auto"/>
              </w:rPr>
            </w:pPr>
          </w:p>
        </w:tc>
        <w:tc>
          <w:tcPr>
            <w:tcW w:w="1800" w:type="dxa"/>
            <w:vAlign w:val="bottom"/>
            <w:gridSpan w:val="3"/>
            <w:vMerge w:val="continue"/>
          </w:tcPr>
          <w:p>
            <w:pPr>
              <w:spacing w:after="0"/>
              <w:rPr>
                <w:sz w:val="8"/>
                <w:szCs w:val="8"/>
                <w:color w:val="auto"/>
              </w:rPr>
            </w:pPr>
          </w:p>
        </w:tc>
        <w:tc>
          <w:tcPr>
            <w:tcW w:w="1680" w:type="dxa"/>
            <w:vAlign w:val="bottom"/>
            <w:gridSpan w:val="2"/>
          </w:tcPr>
          <w:p>
            <w:pPr>
              <w:jc w:val="center"/>
              <w:ind w:right="100"/>
              <w:spacing w:after="0" w:line="96" w:lineRule="exact"/>
              <w:rPr>
                <w:sz w:val="20"/>
                <w:szCs w:val="20"/>
                <w:color w:val="auto"/>
              </w:rPr>
            </w:pPr>
            <w:r>
              <w:rPr>
                <w:rFonts w:ascii="Arial" w:cs="Arial" w:eastAsia="Arial" w:hAnsi="Arial"/>
                <w:sz w:val="11"/>
                <w:szCs w:val="11"/>
                <w:b w:val="1"/>
                <w:bCs w:val="1"/>
                <w:color w:val="auto"/>
              </w:rPr>
              <w:t>Announced Plans</w:t>
            </w:r>
          </w:p>
        </w:tc>
        <w:tc>
          <w:tcPr>
            <w:tcW w:w="100" w:type="dxa"/>
            <w:vAlign w:val="bottom"/>
          </w:tcPr>
          <w:p>
            <w:pPr>
              <w:spacing w:after="0"/>
              <w:rPr>
                <w:sz w:val="8"/>
                <w:szCs w:val="8"/>
                <w:color w:val="auto"/>
              </w:rPr>
            </w:pPr>
          </w:p>
        </w:tc>
        <w:tc>
          <w:tcPr>
            <w:tcW w:w="1540" w:type="dxa"/>
            <w:vAlign w:val="bottom"/>
          </w:tcPr>
          <w:p>
            <w:pPr>
              <w:jc w:val="center"/>
              <w:ind w:right="18"/>
              <w:spacing w:after="0" w:line="96" w:lineRule="exact"/>
              <w:rPr>
                <w:sz w:val="20"/>
                <w:szCs w:val="20"/>
                <w:color w:val="auto"/>
              </w:rPr>
            </w:pPr>
            <w:r>
              <w:rPr>
                <w:rFonts w:ascii="Arial" w:cs="Arial" w:eastAsia="Arial" w:hAnsi="Arial"/>
                <w:sz w:val="11"/>
                <w:szCs w:val="11"/>
                <w:b w:val="1"/>
                <w:bCs w:val="1"/>
                <w:color w:val="auto"/>
              </w:rPr>
              <w:t>2,3</w:t>
            </w:r>
          </w:p>
        </w:tc>
        <w:tc>
          <w:tcPr>
            <w:tcW w:w="0" w:type="dxa"/>
            <w:vAlign w:val="bottom"/>
          </w:tcPr>
          <w:p>
            <w:pPr>
              <w:spacing w:after="0"/>
              <w:rPr>
                <w:sz w:val="1"/>
                <w:szCs w:val="1"/>
                <w:color w:val="auto"/>
              </w:rPr>
            </w:pPr>
          </w:p>
        </w:tc>
      </w:tr>
      <w:tr>
        <w:trPr>
          <w:trHeight w:val="228"/>
        </w:trPr>
        <w:tc>
          <w:tcPr>
            <w:tcW w:w="4400" w:type="dxa"/>
            <w:vAlign w:val="bottom"/>
            <w:gridSpan w:val="2"/>
            <w:vMerge w:val="continue"/>
          </w:tcPr>
          <w:p>
            <w:pPr>
              <w:spacing w:after="0"/>
              <w:rPr>
                <w:sz w:val="19"/>
                <w:szCs w:val="19"/>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Shares Purchased</w:t>
            </w:r>
          </w:p>
        </w:tc>
        <w:tc>
          <w:tcPr>
            <w:tcW w:w="280" w:type="dxa"/>
            <w:vAlign w:val="bottom"/>
          </w:tcPr>
          <w:p>
            <w:pPr>
              <w:spacing w:after="0"/>
              <w:rPr>
                <w:sz w:val="19"/>
                <w:szCs w:val="19"/>
                <w:color w:val="auto"/>
              </w:rPr>
            </w:pPr>
          </w:p>
        </w:tc>
        <w:tc>
          <w:tcPr>
            <w:tcW w:w="1520" w:type="dxa"/>
            <w:vAlign w:val="bottom"/>
            <w:gridSpan w:val="2"/>
          </w:tcPr>
          <w:p>
            <w:pPr>
              <w:jc w:val="center"/>
              <w:ind w:right="360"/>
              <w:spacing w:after="0" w:line="227" w:lineRule="exact"/>
              <w:rPr>
                <w:sz w:val="20"/>
                <w:szCs w:val="20"/>
                <w:color w:val="auto"/>
              </w:rPr>
            </w:pPr>
            <w:r>
              <w:rPr>
                <w:rFonts w:ascii="Arial" w:cs="Arial" w:eastAsia="Arial" w:hAnsi="Arial"/>
                <w:sz w:val="17"/>
                <w:szCs w:val="17"/>
                <w:b w:val="1"/>
                <w:bCs w:val="1"/>
                <w:color w:val="auto"/>
              </w:rPr>
              <w:t>Per Share</w:t>
            </w:r>
            <w:r>
              <w:rPr>
                <w:rFonts w:ascii="Arial" w:cs="Arial" w:eastAsia="Arial" w:hAnsi="Arial"/>
                <w:sz w:val="22"/>
                <w:szCs w:val="22"/>
                <w:b w:val="1"/>
                <w:bCs w:val="1"/>
                <w:color w:val="auto"/>
                <w:vertAlign w:val="superscript"/>
              </w:rPr>
              <w:t>1</w:t>
            </w:r>
          </w:p>
        </w:tc>
        <w:tc>
          <w:tcPr>
            <w:tcW w:w="16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or Programs</w:t>
            </w:r>
          </w:p>
        </w:tc>
        <w:tc>
          <w:tcPr>
            <w:tcW w:w="100" w:type="dxa"/>
            <w:vAlign w:val="bottom"/>
          </w:tcPr>
          <w:p>
            <w:pPr>
              <w:spacing w:after="0"/>
              <w:rPr>
                <w:sz w:val="19"/>
                <w:szCs w:val="19"/>
                <w:color w:val="auto"/>
              </w:rPr>
            </w:pPr>
          </w:p>
        </w:tc>
        <w:tc>
          <w:tcPr>
            <w:tcW w:w="1540" w:type="dxa"/>
            <w:vAlign w:val="bottom"/>
          </w:tcPr>
          <w:p>
            <w:pPr>
              <w:jc w:val="center"/>
              <w:ind w:right="18"/>
              <w:spacing w:after="0"/>
              <w:rPr>
                <w:sz w:val="20"/>
                <w:szCs w:val="20"/>
                <w:color w:val="auto"/>
              </w:rPr>
            </w:pPr>
            <w:r>
              <w:rPr>
                <w:rFonts w:ascii="Arial" w:cs="Arial" w:eastAsia="Arial" w:hAnsi="Arial"/>
                <w:sz w:val="16"/>
                <w:szCs w:val="16"/>
                <w:b w:val="1"/>
                <w:bCs w:val="1"/>
                <w:i w:val="1"/>
                <w:iCs w:val="1"/>
                <w:color w:val="auto"/>
                <w:w w:val="97"/>
              </w:rPr>
              <w:t>(in thousands)</w:t>
            </w:r>
          </w:p>
        </w:tc>
        <w:tc>
          <w:tcPr>
            <w:tcW w:w="0" w:type="dxa"/>
            <w:vAlign w:val="bottom"/>
          </w:tcPr>
          <w:p>
            <w:pPr>
              <w:spacing w:after="0"/>
              <w:rPr>
                <w:sz w:val="1"/>
                <w:szCs w:val="1"/>
                <w:color w:val="auto"/>
              </w:rPr>
            </w:pPr>
          </w:p>
        </w:tc>
      </w:tr>
      <w:tr>
        <w:trPr>
          <w:trHeight w:val="213"/>
        </w:trPr>
        <w:tc>
          <w:tcPr>
            <w:tcW w:w="4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January 1 through January 31, 2025</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650,000</w:t>
            </w:r>
          </w:p>
        </w:tc>
        <w:tc>
          <w:tcPr>
            <w:tcW w:w="0" w:type="dxa"/>
            <w:vAlign w:val="bottom"/>
          </w:tcPr>
          <w:p>
            <w:pPr>
              <w:spacing w:after="0"/>
              <w:rPr>
                <w:sz w:val="1"/>
                <w:szCs w:val="1"/>
                <w:color w:val="auto"/>
              </w:rPr>
            </w:pPr>
          </w:p>
        </w:tc>
      </w:tr>
      <w:tr>
        <w:trPr>
          <w:trHeight w:val="220"/>
        </w:trPr>
        <w:tc>
          <w:tcPr>
            <w:tcW w:w="4400" w:type="dxa"/>
            <w:vAlign w:val="bottom"/>
            <w:gridSpan w:val="2"/>
          </w:tcPr>
          <w:p>
            <w:pPr>
              <w:ind w:left="20"/>
              <w:spacing w:after="0"/>
              <w:rPr>
                <w:sz w:val="20"/>
                <w:szCs w:val="20"/>
                <w:color w:val="auto"/>
              </w:rPr>
            </w:pPr>
            <w:r>
              <w:rPr>
                <w:rFonts w:ascii="Arial" w:cs="Arial" w:eastAsia="Arial" w:hAnsi="Arial"/>
                <w:sz w:val="17"/>
                <w:szCs w:val="17"/>
                <w:color w:val="auto"/>
              </w:rPr>
              <w:t>February 1 through February 28, 2025</w:t>
            </w:r>
          </w:p>
        </w:tc>
        <w:tc>
          <w:tcPr>
            <w:tcW w:w="1560" w:type="dxa"/>
            <w:vAlign w:val="bottom"/>
          </w:tcPr>
          <w:p>
            <w:pPr>
              <w:jc w:val="right"/>
              <w:spacing w:after="0"/>
              <w:rPr>
                <w:sz w:val="20"/>
                <w:szCs w:val="20"/>
                <w:color w:val="auto"/>
              </w:rPr>
            </w:pPr>
            <w:r>
              <w:rPr>
                <w:rFonts w:ascii="Arial" w:cs="Arial" w:eastAsia="Arial" w:hAnsi="Arial"/>
                <w:sz w:val="17"/>
                <w:szCs w:val="17"/>
                <w:color w:val="auto"/>
              </w:rPr>
              <w:t>3,613,450</w:t>
            </w: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27.67</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3,613,450</w:t>
            </w:r>
          </w:p>
        </w:tc>
        <w:tc>
          <w:tcPr>
            <w:tcW w:w="1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550,000</w:t>
            </w:r>
          </w:p>
        </w:tc>
        <w:tc>
          <w:tcPr>
            <w:tcW w:w="0" w:type="dxa"/>
            <w:vAlign w:val="bottom"/>
          </w:tcPr>
          <w:p>
            <w:pPr>
              <w:spacing w:after="0"/>
              <w:rPr>
                <w:sz w:val="1"/>
                <w:szCs w:val="1"/>
                <w:color w:val="auto"/>
              </w:rPr>
            </w:pPr>
          </w:p>
        </w:tc>
      </w:tr>
      <w:tr>
        <w:trPr>
          <w:trHeight w:val="220"/>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March 1 through March 31, 2025</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550,000</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00" w:hanging="90"/>
        <w:spacing w:after="0"/>
        <w:tabs>
          <w:tab w:leader="none" w:pos="100" w:val="left"/>
        </w:tabs>
        <w:numPr>
          <w:ilvl w:val="0"/>
          <w:numId w:val="23"/>
        </w:numPr>
        <w:rPr>
          <w:rFonts w:ascii="Arial" w:cs="Arial" w:eastAsia="Arial" w:hAnsi="Arial"/>
          <w:sz w:val="20"/>
          <w:szCs w:val="20"/>
          <w:color w:val="auto"/>
          <w:vertAlign w:val="superscript"/>
        </w:rPr>
      </w:pPr>
      <w:r>
        <w:rPr>
          <w:rFonts w:ascii="Arial" w:cs="Arial" w:eastAsia="Arial" w:hAnsi="Arial"/>
          <w:sz w:val="16"/>
          <w:szCs w:val="16"/>
          <w:color w:val="auto"/>
        </w:rPr>
        <w:t>Amounts exclude 1% excise tax and fees on share repurchases.</w:t>
      </w:r>
    </w:p>
    <w:p>
      <w:pPr>
        <w:spacing w:after="0" w:line="27" w:lineRule="exact"/>
        <w:rPr>
          <w:sz w:val="20"/>
          <w:szCs w:val="20"/>
          <w:color w:val="auto"/>
        </w:rPr>
      </w:pPr>
    </w:p>
    <w:p>
      <w:pPr>
        <w:ind w:left="160" w:right="400" w:hanging="150"/>
        <w:spacing w:after="0" w:line="245" w:lineRule="auto"/>
        <w:tabs>
          <w:tab w:leader="none" w:pos="110" w:val="left"/>
        </w:tabs>
        <w:numPr>
          <w:ilvl w:val="0"/>
          <w:numId w:val="24"/>
        </w:numPr>
        <w:rPr>
          <w:rFonts w:ascii="Arial" w:cs="Arial" w:eastAsia="Arial" w:hAnsi="Arial"/>
          <w:sz w:val="19"/>
          <w:szCs w:val="19"/>
          <w:color w:val="auto"/>
          <w:vertAlign w:val="superscript"/>
        </w:rPr>
      </w:pPr>
      <w:r>
        <w:rPr>
          <w:rFonts w:ascii="Arial" w:cs="Arial" w:eastAsia="Arial" w:hAnsi="Arial"/>
          <w:sz w:val="15"/>
          <w:szCs w:val="15"/>
          <w:color w:val="auto"/>
        </w:rPr>
        <w:t>On August 8, 2024, the Company announced an increase in its share repurchase program whereby the Company can repurchase up to $1,100 million of the Company’s common stock. Pursuant to the share repurchase program, the Company may repurchase shares through open market purchases, privately negotiated transactions and other means in accordance with federal securities laws. This repurchase program has no time limit and may be suspended or discontinued completely at any time without prior notice as determined by the Company at its discretion and dependent upon a variety of factors.</w:t>
      </w:r>
    </w:p>
    <w:p>
      <w:pPr>
        <w:spacing w:after="0" w:line="13" w:lineRule="exact"/>
        <w:rPr>
          <w:sz w:val="20"/>
          <w:szCs w:val="20"/>
          <w:color w:val="auto"/>
        </w:rPr>
      </w:pPr>
    </w:p>
    <w:p>
      <w:pPr>
        <w:ind w:left="160" w:hanging="150"/>
        <w:spacing w:after="0" w:line="232" w:lineRule="auto"/>
        <w:tabs>
          <w:tab w:leader="none" w:pos="110" w:val="left"/>
        </w:tabs>
        <w:numPr>
          <w:ilvl w:val="0"/>
          <w:numId w:val="25"/>
        </w:numPr>
        <w:rPr>
          <w:rFonts w:ascii="Arial" w:cs="Arial" w:eastAsia="Arial" w:hAnsi="Arial"/>
          <w:sz w:val="20"/>
          <w:szCs w:val="20"/>
          <w:color w:val="auto"/>
          <w:vertAlign w:val="superscript"/>
        </w:rPr>
      </w:pPr>
      <w:r>
        <w:rPr>
          <w:rFonts w:ascii="Arial" w:cs="Arial" w:eastAsia="Arial" w:hAnsi="Arial"/>
          <w:sz w:val="16"/>
          <w:szCs w:val="16"/>
          <w:color w:val="auto"/>
        </w:rPr>
        <w:t>Maximum approximate dollar values reported represent amounts at end of the month. Since the inception of the share repurchase program through to the end of the first quarter of 2025, the Company has repurchased 15,033,394 shares of its common stock in open-market transactions for $550 million, excluding taxes and fees.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155"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During the three months ended March 31, 2025,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155" w:lineRule="exact"/>
        <w:rPr>
          <w:sz w:val="20"/>
          <w:szCs w:val="20"/>
          <w:color w:val="auto"/>
        </w:rPr>
      </w:pPr>
    </w:p>
    <w:p>
      <w:pPr>
        <w:jc w:val="both"/>
        <w:ind w:right="120"/>
        <w:spacing w:after="0" w:line="272" w:lineRule="auto"/>
        <w:rPr>
          <w:sz w:val="20"/>
          <w:szCs w:val="20"/>
          <w:color w:val="auto"/>
        </w:rPr>
      </w:pPr>
      <w:r>
        <w:rPr>
          <w:rFonts w:ascii="Arial" w:cs="Arial" w:eastAsia="Arial" w:hAnsi="Arial"/>
          <w:sz w:val="17"/>
          <w:szCs w:val="17"/>
          <w:color w:val="auto"/>
        </w:rPr>
        <w:t>The following is an index of exhibits that are hereby filed as indicated by asterisk (*), that are considered furnished rather than filed as indicated by double asterisks (**), or that are incorporated by reference. Exhibits other than those listed have been omitted since they are either not required or not applicable.</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300" w:type="dxa"/>
            <w:vAlign w:val="bottom"/>
            <w:gridSpan w:val="7"/>
          </w:tcPr>
          <w:p>
            <w:pPr>
              <w:jc w:val="center"/>
              <w:ind w:right="120"/>
              <w:spacing w:after="0"/>
              <w:rPr>
                <w:sz w:val="20"/>
                <w:szCs w:val="20"/>
                <w:color w:val="auto"/>
              </w:rPr>
            </w:pPr>
            <w:r>
              <w:rPr>
                <w:rFonts w:ascii="Arial" w:cs="Arial" w:eastAsia="Arial" w:hAnsi="Arial"/>
                <w:sz w:val="17"/>
                <w:szCs w:val="17"/>
                <w:b w:val="1"/>
                <w:bCs w:val="1"/>
                <w:color w:val="auto"/>
              </w:rPr>
              <w:t>Exhibit</w:t>
            </w:r>
          </w:p>
        </w:tc>
        <w:tc>
          <w:tcPr>
            <w:tcW w:w="28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560" w:type="dxa"/>
            <w:vAlign w:val="bottom"/>
            <w:gridSpan w:val="9"/>
            <w:vMerge w:val="restart"/>
          </w:tcPr>
          <w:p>
            <w:pPr>
              <w:ind w:left="120"/>
              <w:spacing w:after="0"/>
              <w:rPr>
                <w:sz w:val="20"/>
                <w:szCs w:val="20"/>
                <w:color w:val="auto"/>
              </w:rPr>
            </w:pPr>
            <w:r>
              <w:rPr>
                <w:rFonts w:ascii="Arial" w:cs="Arial" w:eastAsia="Arial" w:hAnsi="Arial"/>
                <w:sz w:val="17"/>
                <w:szCs w:val="17"/>
                <w:b w:val="1"/>
                <w:bCs w:val="1"/>
                <w:color w:val="auto"/>
              </w:rPr>
              <w:t>Description</w:t>
            </w:r>
          </w:p>
        </w:tc>
        <w:tc>
          <w:tcPr>
            <w:tcW w:w="0" w:type="dxa"/>
            <w:vAlign w:val="bottom"/>
          </w:tcPr>
          <w:p>
            <w:pPr>
              <w:spacing w:after="0"/>
              <w:rPr>
                <w:sz w:val="1"/>
                <w:szCs w:val="1"/>
                <w:color w:val="auto"/>
              </w:rPr>
            </w:pPr>
          </w:p>
        </w:tc>
      </w:tr>
      <w:tr>
        <w:trPr>
          <w:trHeight w:val="154"/>
        </w:trPr>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5"/>
            <w:vMerge w:val="restart"/>
          </w:tcPr>
          <w:p>
            <w:pPr>
              <w:jc w:val="center"/>
              <w:ind w:right="500"/>
              <w:spacing w:after="0"/>
              <w:rPr>
                <w:sz w:val="20"/>
                <w:szCs w:val="20"/>
                <w:color w:val="auto"/>
              </w:rPr>
            </w:pPr>
            <w:r>
              <w:rPr>
                <w:rFonts w:ascii="Arial" w:cs="Arial" w:eastAsia="Arial" w:hAnsi="Arial"/>
                <w:sz w:val="17"/>
                <w:szCs w:val="17"/>
                <w:b w:val="1"/>
                <w:bCs w:val="1"/>
                <w:color w:val="auto"/>
                <w:w w:val="94"/>
              </w:rPr>
              <w:t>No.</w:t>
            </w:r>
          </w:p>
        </w:tc>
        <w:tc>
          <w:tcPr>
            <w:tcW w:w="28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556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8"/>
        </w:trPr>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920" w:type="dxa"/>
            <w:vAlign w:val="bottom"/>
            <w:gridSpan w:val="5"/>
            <w:vMerge w:val="continue"/>
          </w:tcPr>
          <w:p>
            <w:pPr>
              <w:spacing w:after="0"/>
              <w:rPr>
                <w:sz w:val="6"/>
                <w:szCs w:val="6"/>
                <w:color w:val="auto"/>
              </w:rPr>
            </w:pPr>
          </w:p>
        </w:tc>
        <w:tc>
          <w:tcPr>
            <w:tcW w:w="28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3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800" w:type="dxa"/>
            <w:vAlign w:val="bottom"/>
            <w:gridSpan w:val="5"/>
            <w:shd w:val="clear" w:color="auto" w:fill="CCEEFF"/>
          </w:tcPr>
          <w:p>
            <w:pPr>
              <w:jc w:val="center"/>
              <w:ind w:left="314"/>
              <w:spacing w:after="0" w:line="168" w:lineRule="exact"/>
              <w:rPr>
                <w:rFonts w:ascii="Arial" w:cs="Arial" w:eastAsia="Arial" w:hAnsi="Arial"/>
                <w:sz w:val="17"/>
                <w:szCs w:val="17"/>
                <w:color w:val="0000FF"/>
              </w:rPr>
            </w:pPr>
            <w:hyperlink r:id="rId56">
              <w:r>
                <w:rPr>
                  <w:rFonts w:ascii="Arial" w:cs="Arial" w:eastAsia="Arial" w:hAnsi="Arial"/>
                  <w:sz w:val="17"/>
                  <w:szCs w:val="17"/>
                  <w:color w:val="0000FF"/>
                </w:rPr>
                <w:t>3.</w:t>
              </w:r>
              <w:r>
                <w:rPr>
                  <w:rFonts w:ascii="Arial" w:cs="Arial" w:eastAsia="Arial" w:hAnsi="Arial"/>
                  <w:sz w:val="17"/>
                  <w:szCs w:val="17"/>
                  <w:u w:val="single" w:color="auto"/>
                  <w:color w:val="0000FF"/>
                </w:rPr>
                <w:t>1</w:t>
              </w:r>
            </w:hyperlink>
          </w:p>
        </w:tc>
        <w:tc>
          <w:tcPr>
            <w:tcW w:w="380" w:type="dxa"/>
            <w:vAlign w:val="bottom"/>
            <w:tcBorders>
              <w:left w:val="single" w:sz="8" w:color="CCEEFF"/>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9920" w:type="dxa"/>
            <w:vAlign w:val="bottom"/>
            <w:gridSpan w:val="11"/>
            <w:shd w:val="clear" w:color="auto" w:fill="CCEEFF"/>
          </w:tcPr>
          <w:p>
            <w:pPr>
              <w:spacing w:after="0" w:line="168" w:lineRule="exact"/>
              <w:rPr>
                <w:rFonts w:ascii="Arial" w:cs="Arial" w:eastAsia="Arial" w:hAnsi="Arial"/>
                <w:sz w:val="17"/>
                <w:szCs w:val="17"/>
                <w:color w:val="auto"/>
              </w:rPr>
            </w:pPr>
            <w:hyperlink r:id="rId56">
              <w:r>
                <w:rPr>
                  <w:rFonts w:ascii="Arial" w:cs="Arial" w:eastAsia="Arial" w:hAnsi="Arial"/>
                  <w:sz w:val="17"/>
                  <w:szCs w:val="17"/>
                  <w:color w:val="auto"/>
                </w:rPr>
                <w:t>Certificate of Incorporation of Murphy Oil Corporation, as amended effective May 11, 2005 (</w:t>
              </w:r>
              <w:r>
                <w:rPr>
                  <w:rFonts w:ascii="Arial" w:cs="Arial" w:eastAsia="Arial" w:hAnsi="Arial"/>
                  <w:sz w:val="17"/>
                  <w:szCs w:val="17"/>
                  <w:color w:val="0000FF"/>
                </w:rPr>
                <w:t>incorporated by reference to Exhibit</w:t>
              </w:r>
            </w:hyperlink>
          </w:p>
        </w:tc>
        <w:tc>
          <w:tcPr>
            <w:tcW w:w="0" w:type="dxa"/>
            <w:vAlign w:val="bottom"/>
          </w:tcPr>
          <w:p>
            <w:pPr>
              <w:spacing w:after="0"/>
              <w:rPr>
                <w:sz w:val="1"/>
                <w:szCs w:val="1"/>
                <w:color w:val="auto"/>
              </w:rPr>
            </w:pPr>
          </w:p>
        </w:tc>
      </w:tr>
      <w:tr>
        <w:trPr>
          <w:trHeight w:val="155"/>
        </w:trPr>
        <w:tc>
          <w:tcPr>
            <w:tcW w:w="3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left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6960" w:type="dxa"/>
            <w:vAlign w:val="bottom"/>
            <w:tcBorders>
              <w:top w:val="single" w:sz="8" w:color="CCEEFF"/>
            </w:tcBorders>
            <w:gridSpan w:val="6"/>
            <w:shd w:val="clear" w:color="auto" w:fill="CCEEFF"/>
          </w:tcPr>
          <w:p>
            <w:pPr>
              <w:spacing w:after="0" w:line="155" w:lineRule="exact"/>
              <w:rPr>
                <w:rFonts w:ascii="Arial" w:cs="Arial" w:eastAsia="Arial" w:hAnsi="Arial"/>
                <w:sz w:val="17"/>
                <w:szCs w:val="17"/>
                <w:color w:val="0000FF"/>
              </w:rPr>
            </w:pPr>
            <w:hyperlink r:id="rId56">
              <w:r>
                <w:rPr>
                  <w:rFonts w:ascii="Arial" w:cs="Arial" w:eastAsia="Arial" w:hAnsi="Arial"/>
                  <w:sz w:val="17"/>
                  <w:szCs w:val="17"/>
                  <w:color w:val="0000FF"/>
                </w:rPr>
                <w:t>3.</w:t>
              </w:r>
              <w:r>
                <w:rPr>
                  <w:rFonts w:ascii="Arial" w:cs="Arial" w:eastAsia="Arial" w:hAnsi="Arial"/>
                  <w:sz w:val="17"/>
                  <w:szCs w:val="17"/>
                  <w:u w:val="single" w:color="auto"/>
                  <w:color w:val="0000FF"/>
                </w:rPr>
                <w:t>1</w:t>
              </w:r>
              <w:r>
                <w:rPr>
                  <w:rFonts w:ascii="Arial" w:cs="Arial" w:eastAsia="Arial" w:hAnsi="Arial"/>
                  <w:sz w:val="17"/>
                  <w:szCs w:val="17"/>
                  <w:color w:val="0000FF"/>
                </w:rPr>
                <w:t xml:space="preserve"> to Form 10-K of Registrant filed on February 28, 2011</w:t>
              </w:r>
              <w:r>
                <w:rPr>
                  <w:rFonts w:ascii="Arial" w:cs="Arial" w:eastAsia="Arial" w:hAnsi="Arial"/>
                  <w:sz w:val="17"/>
                  <w:szCs w:val="17"/>
                  <w:color w:val="000000"/>
                </w:rPr>
                <w:t>)</w:t>
              </w:r>
            </w:hyperlink>
          </w:p>
        </w:tc>
        <w:tc>
          <w:tcPr>
            <w:tcW w:w="600" w:type="dxa"/>
            <w:vAlign w:val="bottom"/>
            <w:tcBorders>
              <w:top w:val="single" w:sz="8" w:color="0000FF"/>
            </w:tcBorders>
            <w:shd w:val="clear" w:color="auto" w:fill="CCEEFF"/>
          </w:tcPr>
          <w:p>
            <w:pPr>
              <w:spacing w:after="0"/>
              <w:rPr>
                <w:sz w:val="13"/>
                <w:szCs w:val="13"/>
                <w:color w:val="auto"/>
              </w:rPr>
            </w:pPr>
          </w:p>
        </w:tc>
        <w:tc>
          <w:tcPr>
            <w:tcW w:w="1700" w:type="dxa"/>
            <w:vAlign w:val="bottom"/>
            <w:tcBorders>
              <w:top w:val="single" w:sz="8" w:color="0000FF"/>
            </w:tcBorders>
            <w:shd w:val="clear" w:color="auto" w:fill="CCEEFF"/>
          </w:tcPr>
          <w:p>
            <w:pPr>
              <w:spacing w:after="0"/>
              <w:rPr>
                <w:sz w:val="13"/>
                <w:szCs w:val="13"/>
                <w:color w:val="auto"/>
              </w:rPr>
            </w:pPr>
          </w:p>
        </w:tc>
        <w:tc>
          <w:tcPr>
            <w:tcW w:w="420" w:type="dxa"/>
            <w:vAlign w:val="bottom"/>
            <w:tcBorders>
              <w:top w:val="single" w:sz="8" w:color="0000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3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left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2800" w:type="dxa"/>
            <w:vAlign w:val="bottom"/>
            <w:tcBorders>
              <w:top w:val="single" w:sz="8" w:color="0000FF"/>
            </w:tcBorders>
            <w:shd w:val="clear" w:color="auto" w:fill="CCEEFF"/>
          </w:tcPr>
          <w:p>
            <w:pPr>
              <w:spacing w:after="0"/>
              <w:rPr>
                <w:sz w:val="2"/>
                <w:szCs w:val="2"/>
                <w:color w:val="auto"/>
              </w:rPr>
            </w:pPr>
          </w:p>
        </w:tc>
        <w:tc>
          <w:tcPr>
            <w:tcW w:w="1560" w:type="dxa"/>
            <w:vAlign w:val="bottom"/>
            <w:tcBorders>
              <w:top w:val="single" w:sz="8" w:color="0000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800" w:type="dxa"/>
            <w:vAlign w:val="bottom"/>
            <w:gridSpan w:val="5"/>
          </w:tcPr>
          <w:p>
            <w:pPr>
              <w:jc w:val="center"/>
              <w:ind w:left="314"/>
              <w:spacing w:after="0" w:line="168" w:lineRule="exact"/>
              <w:rPr>
                <w:rFonts w:ascii="Arial" w:cs="Arial" w:eastAsia="Arial" w:hAnsi="Arial"/>
                <w:sz w:val="17"/>
                <w:szCs w:val="17"/>
                <w:color w:val="0000FF"/>
              </w:rPr>
            </w:pPr>
            <w:hyperlink r:id="rId57">
              <w:r>
                <w:rPr>
                  <w:rFonts w:ascii="Arial" w:cs="Arial" w:eastAsia="Arial" w:hAnsi="Arial"/>
                  <w:sz w:val="17"/>
                  <w:szCs w:val="17"/>
                  <w:color w:val="0000FF"/>
                </w:rPr>
                <w:t>3.</w:t>
              </w:r>
              <w:r>
                <w:rPr>
                  <w:rFonts w:ascii="Arial" w:cs="Arial" w:eastAsia="Arial" w:hAnsi="Arial"/>
                  <w:sz w:val="17"/>
                  <w:szCs w:val="17"/>
                  <w:u w:val="single" w:color="auto"/>
                  <w:color w:val="0000FF"/>
                </w:rPr>
                <w:t>2</w:t>
              </w:r>
            </w:hyperlink>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20" w:type="dxa"/>
            <w:vAlign w:val="bottom"/>
            <w:gridSpan w:val="11"/>
          </w:tcPr>
          <w:p>
            <w:pPr>
              <w:spacing w:after="0" w:line="168" w:lineRule="exact"/>
              <w:rPr>
                <w:rFonts w:ascii="Arial" w:cs="Arial" w:eastAsia="Arial" w:hAnsi="Arial"/>
                <w:sz w:val="17"/>
                <w:szCs w:val="17"/>
                <w:color w:val="auto"/>
              </w:rPr>
            </w:pPr>
            <w:hyperlink r:id="rId57">
              <w:r>
                <w:rPr>
                  <w:rFonts w:ascii="Arial" w:cs="Arial" w:eastAsia="Arial" w:hAnsi="Arial"/>
                  <w:sz w:val="17"/>
                  <w:szCs w:val="17"/>
                  <w:color w:val="auto"/>
                </w:rPr>
                <w:t>By-Laws of Murphy Oil Corporation, as amended effective August 5, 2020 (</w:t>
              </w:r>
              <w:r>
                <w:rPr>
                  <w:rFonts w:ascii="Arial" w:cs="Arial" w:eastAsia="Arial" w:hAnsi="Arial"/>
                  <w:sz w:val="17"/>
                  <w:szCs w:val="17"/>
                  <w:color w:val="0000FF"/>
                </w:rPr>
                <w:t>incorporated by reference to Exhibit 3.2 to Form 10-Q</w:t>
              </w:r>
            </w:hyperlink>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720" w:type="dxa"/>
            <w:vAlign w:val="bottom"/>
            <w:gridSpan w:val="5"/>
          </w:tcPr>
          <w:p>
            <w:pPr>
              <w:spacing w:after="0" w:line="135" w:lineRule="exact"/>
              <w:rPr>
                <w:rFonts w:ascii="Arial" w:cs="Arial" w:eastAsia="Arial" w:hAnsi="Arial"/>
                <w:sz w:val="15"/>
                <w:szCs w:val="15"/>
                <w:color w:val="0000FF"/>
              </w:rPr>
            </w:pPr>
            <w:hyperlink r:id="rId57">
              <w:r>
                <w:rPr>
                  <w:rFonts w:ascii="Arial" w:cs="Arial" w:eastAsia="Arial" w:hAnsi="Arial"/>
                  <w:sz w:val="15"/>
                  <w:szCs w:val="15"/>
                  <w:color w:val="0000FF"/>
                </w:rPr>
                <w:t>of Registrant filed on August 6, 2020</w:t>
              </w:r>
              <w:r>
                <w:rPr>
                  <w:rFonts w:ascii="Arial" w:cs="Arial" w:eastAsia="Arial" w:hAnsi="Arial"/>
                  <w:sz w:val="15"/>
                  <w:szCs w:val="15"/>
                  <w:color w:val="000000"/>
                </w:rPr>
                <w:t>)</w:t>
              </w:r>
            </w:hyperlink>
          </w:p>
        </w:tc>
        <w:tc>
          <w:tcPr>
            <w:tcW w:w="1840" w:type="dxa"/>
            <w:vAlign w:val="bottom"/>
            <w:tcBorders>
              <w:top w:val="single" w:sz="8" w:color="0000FF"/>
            </w:tcBorders>
            <w:gridSpan w:val="2"/>
          </w:tcPr>
          <w:p>
            <w:pPr>
              <w:spacing w:after="0"/>
              <w:rPr>
                <w:sz w:val="11"/>
                <w:szCs w:val="11"/>
                <w:color w:val="auto"/>
              </w:rPr>
            </w:pPr>
          </w:p>
        </w:tc>
        <w:tc>
          <w:tcPr>
            <w:tcW w:w="1700" w:type="dxa"/>
            <w:vAlign w:val="bottom"/>
            <w:tcBorders>
              <w:top w:val="single" w:sz="8" w:color="0000FF"/>
            </w:tcBorders>
          </w:tcPr>
          <w:p>
            <w:pPr>
              <w:spacing w:after="0"/>
              <w:rPr>
                <w:sz w:val="11"/>
                <w:szCs w:val="11"/>
                <w:color w:val="auto"/>
              </w:rPr>
            </w:pPr>
          </w:p>
        </w:tc>
        <w:tc>
          <w:tcPr>
            <w:tcW w:w="540" w:type="dxa"/>
            <w:vAlign w:val="bottom"/>
            <w:tcBorders>
              <w:top w:val="single" w:sz="8" w:color="0000FF"/>
            </w:tcBorders>
            <w:gridSpan w:val="2"/>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Borders>
              <w:top w:val="single" w:sz="8" w:color="0000FF"/>
            </w:tcBorders>
          </w:tcPr>
          <w:p>
            <w:pPr>
              <w:spacing w:after="0"/>
              <w:rPr>
                <w:sz w:val="2"/>
                <w:szCs w:val="2"/>
                <w:color w:val="auto"/>
              </w:rPr>
            </w:pPr>
          </w:p>
        </w:tc>
        <w:tc>
          <w:tcPr>
            <w:tcW w:w="1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340" w:type="dxa"/>
            <w:vAlign w:val="bottom"/>
            <w:shd w:val="clear" w:color="auto" w:fill="CCEEFF"/>
          </w:tcPr>
          <w:p>
            <w:pPr>
              <w:spacing w:after="0"/>
              <w:rPr>
                <w:sz w:val="17"/>
                <w:szCs w:val="17"/>
                <w:color w:val="auto"/>
              </w:rPr>
            </w:pPr>
          </w:p>
        </w:tc>
        <w:tc>
          <w:tcPr>
            <w:tcW w:w="460" w:type="dxa"/>
            <w:vAlign w:val="bottom"/>
            <w:gridSpan w:val="4"/>
            <w:shd w:val="clear" w:color="auto" w:fill="CCEEFF"/>
          </w:tcPr>
          <w:p>
            <w:pPr>
              <w:jc w:val="center"/>
              <w:spacing w:after="0" w:line="181" w:lineRule="exact"/>
              <w:rPr>
                <w:sz w:val="20"/>
                <w:szCs w:val="20"/>
                <w:color w:val="auto"/>
              </w:rPr>
            </w:pPr>
            <w:r>
              <w:rPr>
                <w:rFonts w:ascii="Arial" w:cs="Arial" w:eastAsia="Arial" w:hAnsi="Arial"/>
                <w:sz w:val="17"/>
                <w:szCs w:val="17"/>
                <w:color w:val="0000FF"/>
              </w:rPr>
              <w:t>*10.</w:t>
            </w:r>
            <w:r>
              <w:rPr>
                <w:rFonts w:ascii="Arial" w:cs="Arial" w:eastAsia="Arial" w:hAnsi="Arial"/>
                <w:sz w:val="17"/>
                <w:szCs w:val="17"/>
                <w:u w:val="single" w:color="auto"/>
                <w:color w:val="0000FF"/>
              </w:rPr>
              <w:t>23</w:t>
            </w:r>
          </w:p>
        </w:tc>
        <w:tc>
          <w:tcPr>
            <w:tcW w:w="380" w:type="dxa"/>
            <w:vAlign w:val="bottom"/>
            <w:tcBorders>
              <w:lef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9920" w:type="dxa"/>
            <w:vAlign w:val="bottom"/>
            <w:gridSpan w:val="11"/>
            <w:shd w:val="clear" w:color="auto" w:fill="CCEEFF"/>
          </w:tcPr>
          <w:p>
            <w:pPr>
              <w:spacing w:after="0" w:line="181" w:lineRule="exact"/>
              <w:rPr>
                <w:sz w:val="20"/>
                <w:szCs w:val="20"/>
                <w:color w:val="auto"/>
              </w:rPr>
            </w:pPr>
            <w:r>
              <w:rPr>
                <w:rFonts w:ascii="Arial" w:cs="Arial" w:eastAsia="Arial" w:hAnsi="Arial"/>
                <w:sz w:val="17"/>
                <w:szCs w:val="17"/>
                <w:color w:val="0000FF"/>
              </w:rPr>
              <w:t>Form of employee performance-based restricted stock unit (2020 LTI Plan)</w:t>
            </w:r>
          </w:p>
        </w:tc>
        <w:tc>
          <w:tcPr>
            <w:tcW w:w="0" w:type="dxa"/>
            <w:vAlign w:val="bottom"/>
          </w:tcPr>
          <w:p>
            <w:pPr>
              <w:spacing w:after="0"/>
              <w:rPr>
                <w:sz w:val="1"/>
                <w:szCs w:val="1"/>
                <w:color w:val="auto"/>
              </w:rPr>
            </w:pPr>
          </w:p>
        </w:tc>
      </w:tr>
      <w:tr>
        <w:trPr>
          <w:trHeight w:val="190"/>
        </w:trPr>
        <w:tc>
          <w:tcPr>
            <w:tcW w:w="340" w:type="dxa"/>
            <w:vAlign w:val="bottom"/>
            <w:tcBorders>
              <w:top w:val="single" w:sz="8" w:color="CCEEFF"/>
            </w:tcBorders>
          </w:tcPr>
          <w:p>
            <w:pPr>
              <w:spacing w:after="0"/>
              <w:rPr>
                <w:sz w:val="16"/>
                <w:szCs w:val="16"/>
                <w:color w:val="auto"/>
              </w:rPr>
            </w:pPr>
          </w:p>
        </w:tc>
        <w:tc>
          <w:tcPr>
            <w:tcW w:w="460" w:type="dxa"/>
            <w:vAlign w:val="bottom"/>
            <w:tcBorders>
              <w:top w:val="single" w:sz="8" w:color="0000FF"/>
              <w:bottom w:val="single" w:sz="8" w:color="0000FF"/>
            </w:tcBorders>
            <w:gridSpan w:val="4"/>
          </w:tcPr>
          <w:p>
            <w:pPr>
              <w:jc w:val="center"/>
              <w:spacing w:after="0" w:line="181" w:lineRule="exact"/>
              <w:rPr>
                <w:sz w:val="20"/>
                <w:szCs w:val="20"/>
                <w:color w:val="auto"/>
              </w:rPr>
            </w:pPr>
            <w:r>
              <w:rPr>
                <w:rFonts w:ascii="Arial" w:cs="Arial" w:eastAsia="Arial" w:hAnsi="Arial"/>
                <w:sz w:val="17"/>
                <w:szCs w:val="17"/>
                <w:color w:val="0000FF"/>
              </w:rPr>
              <w:t>*10.</w:t>
            </w:r>
            <w:r>
              <w:rPr>
                <w:rFonts w:ascii="Arial" w:cs="Arial" w:eastAsia="Arial" w:hAnsi="Arial"/>
                <w:sz w:val="17"/>
                <w:szCs w:val="17"/>
                <w:u w:val="single" w:color="auto"/>
                <w:color w:val="0000FF"/>
              </w:rPr>
              <w:t>24</w:t>
            </w:r>
          </w:p>
        </w:tc>
        <w:tc>
          <w:tcPr>
            <w:tcW w:w="3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5360" w:type="dxa"/>
            <w:vAlign w:val="bottom"/>
            <w:tcBorders>
              <w:top w:val="single" w:sz="8" w:color="0000FF"/>
              <w:bottom w:val="single" w:sz="8" w:color="0000FF"/>
            </w:tcBorders>
            <w:gridSpan w:val="3"/>
          </w:tcPr>
          <w:p>
            <w:pPr>
              <w:spacing w:after="0" w:line="181" w:lineRule="exact"/>
              <w:rPr>
                <w:sz w:val="20"/>
                <w:szCs w:val="20"/>
                <w:color w:val="auto"/>
              </w:rPr>
            </w:pPr>
            <w:r>
              <w:rPr>
                <w:rFonts w:ascii="Arial" w:cs="Arial" w:eastAsia="Arial" w:hAnsi="Arial"/>
                <w:sz w:val="17"/>
                <w:szCs w:val="17"/>
                <w:color w:val="0000FF"/>
              </w:rPr>
              <w:t>Form of employee time-based restricted stock unit – A (2020 LTI Plan)</w:t>
            </w:r>
          </w:p>
        </w:tc>
        <w:tc>
          <w:tcPr>
            <w:tcW w:w="320" w:type="dxa"/>
            <w:vAlign w:val="bottom"/>
            <w:tcBorders>
              <w:top w:val="single" w:sz="8" w:color="0000FF"/>
            </w:tcBorders>
          </w:tcPr>
          <w:p>
            <w:pPr>
              <w:spacing w:after="0"/>
              <w:rPr>
                <w:sz w:val="16"/>
                <w:szCs w:val="16"/>
                <w:color w:val="auto"/>
              </w:rPr>
            </w:pPr>
          </w:p>
        </w:tc>
        <w:tc>
          <w:tcPr>
            <w:tcW w:w="4240" w:type="dxa"/>
            <w:vAlign w:val="bottom"/>
            <w:tcBorders>
              <w:top w:val="single" w:sz="8" w:color="CCEEFF"/>
            </w:tcBorders>
            <w:gridSpan w:val="7"/>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0000FF"/>
            </w:tcBorders>
            <w:gridSpan w:val="4"/>
            <w:shd w:val="clear" w:color="auto" w:fill="CCEEFF"/>
          </w:tcPr>
          <w:p>
            <w:pPr>
              <w:jc w:val="center"/>
              <w:spacing w:after="0" w:line="190" w:lineRule="exact"/>
              <w:rPr>
                <w:sz w:val="20"/>
                <w:szCs w:val="20"/>
                <w:color w:val="auto"/>
              </w:rPr>
            </w:pPr>
            <w:r>
              <w:rPr>
                <w:rFonts w:ascii="Arial" w:cs="Arial" w:eastAsia="Arial" w:hAnsi="Arial"/>
                <w:sz w:val="17"/>
                <w:szCs w:val="17"/>
                <w:color w:val="0000FF"/>
              </w:rPr>
              <w:t>*10.</w:t>
            </w:r>
            <w:r>
              <w:rPr>
                <w:rFonts w:ascii="Arial" w:cs="Arial" w:eastAsia="Arial" w:hAnsi="Arial"/>
                <w:sz w:val="17"/>
                <w:szCs w:val="17"/>
                <w:u w:val="single" w:color="auto"/>
                <w:color w:val="0000FF"/>
              </w:rPr>
              <w:t>25</w:t>
            </w:r>
          </w:p>
        </w:tc>
        <w:tc>
          <w:tcPr>
            <w:tcW w:w="380" w:type="dxa"/>
            <w:vAlign w:val="bottom"/>
            <w:tcBorders>
              <w:left w:val="single" w:sz="8" w:color="CCEEFF"/>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5360" w:type="dxa"/>
            <w:vAlign w:val="bottom"/>
            <w:tcBorders>
              <w:bottom w:val="single" w:sz="8" w:color="0000FF"/>
            </w:tcBorders>
            <w:gridSpan w:val="3"/>
            <w:shd w:val="clear" w:color="auto" w:fill="CCEEFF"/>
          </w:tcPr>
          <w:p>
            <w:pPr>
              <w:spacing w:after="0" w:line="190" w:lineRule="exact"/>
              <w:rPr>
                <w:sz w:val="20"/>
                <w:szCs w:val="20"/>
                <w:color w:val="auto"/>
              </w:rPr>
            </w:pPr>
            <w:r>
              <w:rPr>
                <w:rFonts w:ascii="Arial" w:cs="Arial" w:eastAsia="Arial" w:hAnsi="Arial"/>
                <w:sz w:val="17"/>
                <w:szCs w:val="17"/>
                <w:color w:val="0000FF"/>
              </w:rPr>
              <w:t>Form of employee time-based restricted stock unit – B (2020 LTI Plan)</w:t>
            </w:r>
          </w:p>
        </w:tc>
        <w:tc>
          <w:tcPr>
            <w:tcW w:w="4560" w:type="dxa"/>
            <w:vAlign w:val="bottom"/>
            <w:tcBorders>
              <w:bottom w:val="single" w:sz="8" w:color="CCEEFF"/>
            </w:tcBorders>
            <w:gridSpan w:val="8"/>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380" w:type="dxa"/>
            <w:vAlign w:val="bottom"/>
            <w:gridSpan w:val="2"/>
          </w:tcPr>
          <w:p>
            <w:pPr>
              <w:spacing w:after="0"/>
              <w:rPr>
                <w:sz w:val="15"/>
                <w:szCs w:val="15"/>
                <w:color w:val="auto"/>
              </w:rPr>
            </w:pPr>
          </w:p>
        </w:tc>
        <w:tc>
          <w:tcPr>
            <w:tcW w:w="420" w:type="dxa"/>
            <w:vAlign w:val="bottom"/>
            <w:gridSpan w:val="3"/>
          </w:tcPr>
          <w:p>
            <w:pPr>
              <w:jc w:val="center"/>
              <w:spacing w:after="0" w:line="181" w:lineRule="exact"/>
              <w:rPr>
                <w:sz w:val="20"/>
                <w:szCs w:val="20"/>
                <w:color w:val="auto"/>
              </w:rPr>
            </w:pPr>
            <w:r>
              <w:rPr>
                <w:rFonts w:ascii="Arial" w:cs="Arial" w:eastAsia="Arial" w:hAnsi="Arial"/>
                <w:sz w:val="17"/>
                <w:szCs w:val="17"/>
                <w:color w:val="0000FF"/>
              </w:rPr>
              <w:t>*31.</w:t>
            </w:r>
            <w:r>
              <w:rPr>
                <w:rFonts w:ascii="Arial" w:cs="Arial" w:eastAsia="Arial" w:hAnsi="Arial"/>
                <w:sz w:val="17"/>
                <w:szCs w:val="17"/>
                <w:u w:val="single" w:color="auto"/>
                <w:color w:val="0000FF"/>
              </w:rPr>
              <w:t>1</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20" w:type="dxa"/>
            <w:vAlign w:val="bottom"/>
            <w:gridSpan w:val="11"/>
          </w:tcPr>
          <w:p>
            <w:pPr>
              <w:spacing w:after="0" w:line="181" w:lineRule="exact"/>
              <w:rPr>
                <w:sz w:val="20"/>
                <w:szCs w:val="20"/>
                <w:color w:val="auto"/>
              </w:rPr>
            </w:pPr>
            <w:r>
              <w:rPr>
                <w:rFonts w:ascii="Arial" w:cs="Arial" w:eastAsia="Arial" w:hAnsi="Arial"/>
                <w:sz w:val="17"/>
                <w:szCs w:val="17"/>
                <w:color w:val="0000FF"/>
              </w:rPr>
              <w:t>Certification required by Rule 13a-14(a) pursuant to Section 302 of the Sarbanes-Oxley Act of 2002</w:t>
            </w: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shd w:val="clear" w:color="auto" w:fill="0000FF"/>
          </w:tcPr>
          <w:p>
            <w:pPr>
              <w:spacing w:after="0"/>
              <w:rPr>
                <w:sz w:val="2"/>
                <w:szCs w:val="2"/>
                <w:color w:val="auto"/>
              </w:rPr>
            </w:pPr>
          </w:p>
        </w:tc>
        <w:tc>
          <w:tcPr>
            <w:tcW w:w="156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24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380" w:type="dxa"/>
            <w:vAlign w:val="bottom"/>
            <w:tcBorders>
              <w:right w:val="single" w:sz="8" w:color="CCEEFF"/>
            </w:tcBorders>
            <w:gridSpan w:val="2"/>
            <w:shd w:val="clear" w:color="auto" w:fill="CCEEFF"/>
          </w:tcPr>
          <w:p>
            <w:pPr>
              <w:spacing w:after="0"/>
              <w:rPr>
                <w:sz w:val="16"/>
                <w:szCs w:val="16"/>
                <w:color w:val="auto"/>
              </w:rPr>
            </w:pPr>
          </w:p>
        </w:tc>
        <w:tc>
          <w:tcPr>
            <w:tcW w:w="420" w:type="dxa"/>
            <w:vAlign w:val="bottom"/>
            <w:gridSpan w:val="3"/>
            <w:shd w:val="clear" w:color="auto" w:fill="CCEEFF"/>
          </w:tcPr>
          <w:p>
            <w:pPr>
              <w:jc w:val="center"/>
              <w:spacing w:after="0" w:line="190" w:lineRule="exact"/>
              <w:rPr>
                <w:sz w:val="20"/>
                <w:szCs w:val="20"/>
                <w:color w:val="auto"/>
              </w:rPr>
            </w:pPr>
            <w:r>
              <w:rPr>
                <w:rFonts w:ascii="Arial" w:cs="Arial" w:eastAsia="Arial" w:hAnsi="Arial"/>
                <w:sz w:val="17"/>
                <w:szCs w:val="17"/>
                <w:color w:val="0000FF"/>
              </w:rPr>
              <w:t>*31.</w:t>
            </w:r>
            <w:r>
              <w:rPr>
                <w:rFonts w:ascii="Arial" w:cs="Arial" w:eastAsia="Arial" w:hAnsi="Arial"/>
                <w:sz w:val="17"/>
                <w:szCs w:val="17"/>
                <w:u w:val="single" w:color="auto"/>
                <w:color w:val="0000FF"/>
              </w:rPr>
              <w:t>2</w:t>
            </w:r>
          </w:p>
        </w:tc>
        <w:tc>
          <w:tcPr>
            <w:tcW w:w="380" w:type="dxa"/>
            <w:vAlign w:val="bottom"/>
            <w:tcBorders>
              <w:lef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9920" w:type="dxa"/>
            <w:vAlign w:val="bottom"/>
            <w:gridSpan w:val="11"/>
            <w:shd w:val="clear" w:color="auto" w:fill="CCEEFF"/>
          </w:tcPr>
          <w:p>
            <w:pPr>
              <w:spacing w:after="0" w:line="190" w:lineRule="exact"/>
              <w:rPr>
                <w:sz w:val="20"/>
                <w:szCs w:val="20"/>
                <w:color w:val="auto"/>
              </w:rPr>
            </w:pPr>
            <w:r>
              <w:rPr>
                <w:rFonts w:ascii="Arial" w:cs="Arial" w:eastAsia="Arial" w:hAnsi="Arial"/>
                <w:sz w:val="17"/>
                <w:szCs w:val="17"/>
                <w:color w:val="0000FF"/>
              </w:rPr>
              <w:t>Certification required by Rule 13a-14(a) pursuant to Section 302 of the Sarbanes-Oxley Act of 2002</w:t>
            </w:r>
          </w:p>
        </w:tc>
        <w:tc>
          <w:tcPr>
            <w:tcW w:w="0" w:type="dxa"/>
            <w:vAlign w:val="bottom"/>
          </w:tcPr>
          <w:p>
            <w:pPr>
              <w:spacing w:after="0"/>
              <w:rPr>
                <w:sz w:val="1"/>
                <w:szCs w:val="1"/>
                <w:color w:val="auto"/>
              </w:rPr>
            </w:pPr>
          </w:p>
        </w:tc>
      </w:tr>
      <w:tr>
        <w:trPr>
          <w:trHeight w:val="39"/>
        </w:trPr>
        <w:tc>
          <w:tcPr>
            <w:tcW w:w="34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80" w:type="dxa"/>
            <w:vAlign w:val="bottom"/>
            <w:tcBorders>
              <w:left w:val="single" w:sz="8" w:color="CCEEFF"/>
            </w:tcBorders>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2800" w:type="dxa"/>
            <w:vAlign w:val="bottom"/>
            <w:shd w:val="clear" w:color="auto" w:fill="0000FF"/>
          </w:tcPr>
          <w:p>
            <w:pPr>
              <w:spacing w:after="0"/>
              <w:rPr>
                <w:sz w:val="3"/>
                <w:szCs w:val="3"/>
                <w:color w:val="auto"/>
              </w:rPr>
            </w:pPr>
          </w:p>
        </w:tc>
        <w:tc>
          <w:tcPr>
            <w:tcW w:w="1560" w:type="dxa"/>
            <w:vAlign w:val="bottom"/>
            <w:shd w:val="clear" w:color="auto" w:fill="0000FF"/>
          </w:tcPr>
          <w:p>
            <w:pPr>
              <w:spacing w:after="0"/>
              <w:rPr>
                <w:sz w:val="3"/>
                <w:szCs w:val="3"/>
                <w:color w:val="auto"/>
              </w:rPr>
            </w:pPr>
          </w:p>
        </w:tc>
        <w:tc>
          <w:tcPr>
            <w:tcW w:w="100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124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800" w:type="dxa"/>
            <w:vAlign w:val="bottom"/>
            <w:gridSpan w:val="5"/>
          </w:tcPr>
          <w:p>
            <w:pPr>
              <w:jc w:val="center"/>
              <w:ind w:left="254"/>
              <w:spacing w:after="0" w:line="181" w:lineRule="exact"/>
              <w:rPr>
                <w:sz w:val="20"/>
                <w:szCs w:val="20"/>
                <w:color w:val="auto"/>
              </w:rPr>
            </w:pPr>
            <w:r>
              <w:rPr>
                <w:rFonts w:ascii="Arial" w:cs="Arial" w:eastAsia="Arial" w:hAnsi="Arial"/>
                <w:sz w:val="17"/>
                <w:szCs w:val="17"/>
                <w:color w:val="0000FF"/>
                <w:w w:val="99"/>
              </w:rPr>
              <w:t>**32.1</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20" w:type="dxa"/>
            <w:vAlign w:val="bottom"/>
            <w:gridSpan w:val="11"/>
          </w:tcPr>
          <w:p>
            <w:pPr>
              <w:spacing w:after="0" w:line="181" w:lineRule="exact"/>
              <w:rPr>
                <w:sz w:val="20"/>
                <w:szCs w:val="20"/>
                <w:color w:val="auto"/>
              </w:rPr>
            </w:pPr>
            <w:r>
              <w:rPr>
                <w:rFonts w:ascii="Arial" w:cs="Arial" w:eastAsia="Arial" w:hAnsi="Arial"/>
                <w:sz w:val="17"/>
                <w:szCs w:val="17"/>
                <w:color w:val="0000FF"/>
              </w:rPr>
              <w:t>Certifications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9"/>
        </w:trPr>
        <w:tc>
          <w:tcPr>
            <w:tcW w:w="340" w:type="dxa"/>
            <w:vAlign w:val="bottom"/>
          </w:tcPr>
          <w:p>
            <w:pPr>
              <w:spacing w:after="0"/>
              <w:rPr>
                <w:sz w:val="2"/>
                <w:szCs w:val="2"/>
                <w:color w:val="auto"/>
              </w:rPr>
            </w:pPr>
          </w:p>
        </w:tc>
        <w:tc>
          <w:tcPr>
            <w:tcW w:w="4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shd w:val="clear" w:color="auto" w:fill="0000FF"/>
          </w:tcPr>
          <w:p>
            <w:pPr>
              <w:spacing w:after="0"/>
              <w:rPr>
                <w:sz w:val="2"/>
                <w:szCs w:val="2"/>
                <w:color w:val="auto"/>
              </w:rPr>
            </w:pPr>
          </w:p>
        </w:tc>
        <w:tc>
          <w:tcPr>
            <w:tcW w:w="156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24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70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1300" w:type="dxa"/>
            <w:vAlign w:val="bottom"/>
            <w:tcBorders>
              <w:right w:val="single" w:sz="8" w:color="CCEEFF"/>
            </w:tcBorders>
            <w:gridSpan w:val="7"/>
            <w:shd w:val="clear" w:color="auto" w:fill="CCEEFF"/>
          </w:tcPr>
          <w:p>
            <w:pPr>
              <w:jc w:val="center"/>
              <w:ind w:right="120"/>
              <w:spacing w:after="0" w:line="177" w:lineRule="exact"/>
              <w:rPr>
                <w:sz w:val="20"/>
                <w:szCs w:val="20"/>
                <w:color w:val="auto"/>
              </w:rPr>
            </w:pPr>
            <w:r>
              <w:rPr>
                <w:rFonts w:ascii="Arial" w:cs="Arial" w:eastAsia="Arial" w:hAnsi="Arial"/>
                <w:sz w:val="17"/>
                <w:szCs w:val="17"/>
                <w:color w:val="auto"/>
                <w:w w:val="99"/>
              </w:rPr>
              <w:t>101. INS</w:t>
            </w:r>
          </w:p>
        </w:tc>
        <w:tc>
          <w:tcPr>
            <w:tcW w:w="9920" w:type="dxa"/>
            <w:vAlign w:val="bottom"/>
            <w:gridSpan w:val="11"/>
            <w:shd w:val="clear" w:color="auto" w:fill="CCEEFF"/>
          </w:tcPr>
          <w:p>
            <w:pPr>
              <w:spacing w:after="0" w:line="177" w:lineRule="exact"/>
              <w:rPr>
                <w:sz w:val="20"/>
                <w:szCs w:val="20"/>
                <w:color w:val="auto"/>
              </w:rPr>
            </w:pPr>
            <w:r>
              <w:rPr>
                <w:rFonts w:ascii="Arial" w:cs="Arial" w:eastAsia="Arial" w:hAnsi="Arial"/>
                <w:sz w:val="17"/>
                <w:szCs w:val="17"/>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3"/>
        </w:trPr>
        <w:tc>
          <w:tcPr>
            <w:tcW w:w="340" w:type="dxa"/>
            <w:vAlign w:val="bottom"/>
            <w:shd w:val="clear" w:color="auto" w:fill="CCEEFF"/>
          </w:tcPr>
          <w:p>
            <w:pPr>
              <w:spacing w:after="0"/>
              <w:rPr>
                <w:sz w:val="20"/>
                <w:szCs w:val="20"/>
                <w:color w:val="auto"/>
              </w:rPr>
            </w:pPr>
          </w:p>
        </w:tc>
        <w:tc>
          <w:tcPr>
            <w:tcW w:w="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tcBorders>
              <w:lef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9920" w:type="dxa"/>
            <w:vAlign w:val="bottom"/>
            <w:gridSpan w:val="11"/>
            <w:shd w:val="clear" w:color="auto" w:fill="CCEEFF"/>
          </w:tcPr>
          <w:p>
            <w:pPr>
              <w:spacing w:after="0"/>
              <w:rPr>
                <w:sz w:val="20"/>
                <w:szCs w:val="20"/>
                <w:color w:val="auto"/>
              </w:rPr>
            </w:pPr>
            <w:r>
              <w:rPr>
                <w:rFonts w:ascii="Arial" w:cs="Arial" w:eastAsia="Arial" w:hAnsi="Arial"/>
                <w:sz w:val="17"/>
                <w:szCs w:val="17"/>
                <w:color w:val="auto"/>
              </w:rPr>
              <w:t>embedded within the Inline XBRL document</w:t>
            </w:r>
          </w:p>
        </w:tc>
        <w:tc>
          <w:tcPr>
            <w:tcW w:w="0" w:type="dxa"/>
            <w:vAlign w:val="bottom"/>
          </w:tcPr>
          <w:p>
            <w:pPr>
              <w:spacing w:after="0"/>
              <w:rPr>
                <w:sz w:val="1"/>
                <w:szCs w:val="1"/>
                <w:color w:val="auto"/>
              </w:rPr>
            </w:pPr>
          </w:p>
        </w:tc>
      </w:tr>
      <w:tr>
        <w:trPr>
          <w:trHeight w:val="220"/>
        </w:trPr>
        <w:tc>
          <w:tcPr>
            <w:tcW w:w="1300" w:type="dxa"/>
            <w:vAlign w:val="bottom"/>
            <w:gridSpan w:val="7"/>
          </w:tcPr>
          <w:p>
            <w:pPr>
              <w:jc w:val="center"/>
              <w:ind w:right="120"/>
              <w:spacing w:after="0"/>
              <w:rPr>
                <w:sz w:val="20"/>
                <w:szCs w:val="20"/>
                <w:color w:val="auto"/>
              </w:rPr>
            </w:pPr>
            <w:r>
              <w:rPr>
                <w:rFonts w:ascii="Arial" w:cs="Arial" w:eastAsia="Arial" w:hAnsi="Arial"/>
                <w:sz w:val="17"/>
                <w:szCs w:val="17"/>
                <w:color w:val="auto"/>
              </w:rPr>
              <w:t>101. SCH</w:t>
            </w:r>
          </w:p>
        </w:tc>
        <w:tc>
          <w:tcPr>
            <w:tcW w:w="9920" w:type="dxa"/>
            <w:vAlign w:val="bottom"/>
            <w:gridSpan w:val="11"/>
          </w:tcPr>
          <w:p>
            <w:pPr>
              <w:spacing w:after="0"/>
              <w:rPr>
                <w:sz w:val="20"/>
                <w:szCs w:val="20"/>
                <w:color w:val="auto"/>
              </w:rPr>
            </w:pPr>
            <w:r>
              <w:rPr>
                <w:rFonts w:ascii="Arial" w:cs="Arial" w:eastAsia="Arial" w:hAnsi="Arial"/>
                <w:sz w:val="17"/>
                <w:szCs w:val="17"/>
                <w:color w:val="auto"/>
              </w:rPr>
              <w:t>Inline XBRL Taxonomy Extension Schema Document</w:t>
            </w:r>
          </w:p>
        </w:tc>
        <w:tc>
          <w:tcPr>
            <w:tcW w:w="0" w:type="dxa"/>
            <w:vAlign w:val="bottom"/>
          </w:tcPr>
          <w:p>
            <w:pPr>
              <w:spacing w:after="0"/>
              <w:rPr>
                <w:sz w:val="1"/>
                <w:szCs w:val="1"/>
                <w:color w:val="auto"/>
              </w:rPr>
            </w:pPr>
          </w:p>
        </w:tc>
      </w:tr>
      <w:tr>
        <w:trPr>
          <w:trHeight w:val="220"/>
        </w:trPr>
        <w:tc>
          <w:tcPr>
            <w:tcW w:w="1300" w:type="dxa"/>
            <w:vAlign w:val="bottom"/>
            <w:tcBorders>
              <w:right w:val="single" w:sz="8" w:color="CCEEFF"/>
            </w:tcBorders>
            <w:gridSpan w:val="7"/>
            <w:shd w:val="clear" w:color="auto" w:fill="CCEEFF"/>
          </w:tcPr>
          <w:p>
            <w:pPr>
              <w:jc w:val="center"/>
              <w:ind w:right="120"/>
              <w:spacing w:after="0"/>
              <w:rPr>
                <w:sz w:val="20"/>
                <w:szCs w:val="20"/>
                <w:color w:val="auto"/>
              </w:rPr>
            </w:pPr>
            <w:r>
              <w:rPr>
                <w:rFonts w:ascii="Arial" w:cs="Arial" w:eastAsia="Arial" w:hAnsi="Arial"/>
                <w:sz w:val="17"/>
                <w:szCs w:val="17"/>
                <w:color w:val="auto"/>
                <w:w w:val="98"/>
              </w:rPr>
              <w:t>101. CAL</w:t>
            </w:r>
          </w:p>
        </w:tc>
        <w:tc>
          <w:tcPr>
            <w:tcW w:w="9920" w:type="dxa"/>
            <w:vAlign w:val="bottom"/>
            <w:gridSpan w:val="11"/>
            <w:shd w:val="clear" w:color="auto" w:fill="CCEEFF"/>
          </w:tcPr>
          <w:p>
            <w:pPr>
              <w:spacing w:after="0"/>
              <w:rPr>
                <w:sz w:val="20"/>
                <w:szCs w:val="20"/>
                <w:color w:val="auto"/>
              </w:rPr>
            </w:pPr>
            <w:r>
              <w:rPr>
                <w:rFonts w:ascii="Arial" w:cs="Arial" w:eastAsia="Arial" w:hAnsi="Arial"/>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220"/>
        </w:trPr>
        <w:tc>
          <w:tcPr>
            <w:tcW w:w="1300" w:type="dxa"/>
            <w:vAlign w:val="bottom"/>
            <w:gridSpan w:val="7"/>
          </w:tcPr>
          <w:p>
            <w:pPr>
              <w:jc w:val="center"/>
              <w:ind w:right="120"/>
              <w:spacing w:after="0"/>
              <w:rPr>
                <w:sz w:val="20"/>
                <w:szCs w:val="20"/>
                <w:color w:val="auto"/>
              </w:rPr>
            </w:pPr>
            <w:r>
              <w:rPr>
                <w:rFonts w:ascii="Arial" w:cs="Arial" w:eastAsia="Arial" w:hAnsi="Arial"/>
                <w:sz w:val="17"/>
                <w:szCs w:val="17"/>
                <w:color w:val="auto"/>
              </w:rPr>
              <w:t>101. DEF</w:t>
            </w:r>
          </w:p>
        </w:tc>
        <w:tc>
          <w:tcPr>
            <w:tcW w:w="9920" w:type="dxa"/>
            <w:vAlign w:val="bottom"/>
            <w:gridSpan w:val="11"/>
          </w:tcPr>
          <w:p>
            <w:pPr>
              <w:spacing w:after="0"/>
              <w:rPr>
                <w:sz w:val="20"/>
                <w:szCs w:val="20"/>
                <w:color w:val="auto"/>
              </w:rPr>
            </w:pPr>
            <w:r>
              <w:rPr>
                <w:rFonts w:ascii="Arial" w:cs="Arial" w:eastAsia="Arial" w:hAnsi="Arial"/>
                <w:sz w:val="17"/>
                <w:szCs w:val="17"/>
                <w:color w:val="auto"/>
              </w:rPr>
              <w:t>Inline XBRL Taxonomy Extension Definition Linkbase Document</w:t>
            </w:r>
          </w:p>
        </w:tc>
        <w:tc>
          <w:tcPr>
            <w:tcW w:w="0" w:type="dxa"/>
            <w:vAlign w:val="bottom"/>
          </w:tcPr>
          <w:p>
            <w:pPr>
              <w:spacing w:after="0"/>
              <w:rPr>
                <w:sz w:val="1"/>
                <w:szCs w:val="1"/>
                <w:color w:val="auto"/>
              </w:rPr>
            </w:pPr>
          </w:p>
        </w:tc>
      </w:tr>
      <w:tr>
        <w:trPr>
          <w:trHeight w:val="220"/>
        </w:trPr>
        <w:tc>
          <w:tcPr>
            <w:tcW w:w="1300" w:type="dxa"/>
            <w:vAlign w:val="bottom"/>
            <w:tcBorders>
              <w:right w:val="single" w:sz="8" w:color="CCEEFF"/>
            </w:tcBorders>
            <w:gridSpan w:val="7"/>
            <w:shd w:val="clear" w:color="auto" w:fill="CCEEFF"/>
          </w:tcPr>
          <w:p>
            <w:pPr>
              <w:jc w:val="center"/>
              <w:ind w:right="120"/>
              <w:spacing w:after="0"/>
              <w:rPr>
                <w:sz w:val="20"/>
                <w:szCs w:val="20"/>
                <w:color w:val="auto"/>
              </w:rPr>
            </w:pPr>
            <w:r>
              <w:rPr>
                <w:rFonts w:ascii="Arial" w:cs="Arial" w:eastAsia="Arial" w:hAnsi="Arial"/>
                <w:sz w:val="17"/>
                <w:szCs w:val="17"/>
                <w:color w:val="auto"/>
              </w:rPr>
              <w:t>101. LAB</w:t>
            </w:r>
          </w:p>
        </w:tc>
        <w:tc>
          <w:tcPr>
            <w:tcW w:w="9920" w:type="dxa"/>
            <w:vAlign w:val="bottom"/>
            <w:gridSpan w:val="11"/>
            <w:shd w:val="clear" w:color="auto" w:fill="CCEEFF"/>
          </w:tcPr>
          <w:p>
            <w:pPr>
              <w:spacing w:after="0"/>
              <w:rPr>
                <w:sz w:val="20"/>
                <w:szCs w:val="20"/>
                <w:color w:val="auto"/>
              </w:rPr>
            </w:pPr>
            <w:r>
              <w:rPr>
                <w:rFonts w:ascii="Arial" w:cs="Arial" w:eastAsia="Arial" w:hAnsi="Arial"/>
                <w:sz w:val="17"/>
                <w:szCs w:val="17"/>
                <w:color w:val="auto"/>
              </w:rPr>
              <w:t>Inline XBRL Taxonomy Extension Labels Linkbase Document</w:t>
            </w:r>
          </w:p>
        </w:tc>
        <w:tc>
          <w:tcPr>
            <w:tcW w:w="0" w:type="dxa"/>
            <w:vAlign w:val="bottom"/>
          </w:tcPr>
          <w:p>
            <w:pPr>
              <w:spacing w:after="0"/>
              <w:rPr>
                <w:sz w:val="1"/>
                <w:szCs w:val="1"/>
                <w:color w:val="auto"/>
              </w:rPr>
            </w:pPr>
          </w:p>
        </w:tc>
      </w:tr>
      <w:tr>
        <w:trPr>
          <w:trHeight w:val="226"/>
        </w:trPr>
        <w:tc>
          <w:tcPr>
            <w:tcW w:w="1300" w:type="dxa"/>
            <w:vAlign w:val="bottom"/>
            <w:gridSpan w:val="7"/>
          </w:tcPr>
          <w:p>
            <w:pPr>
              <w:jc w:val="center"/>
              <w:ind w:right="120"/>
              <w:spacing w:after="0"/>
              <w:rPr>
                <w:sz w:val="20"/>
                <w:szCs w:val="20"/>
                <w:color w:val="auto"/>
              </w:rPr>
            </w:pPr>
            <w:r>
              <w:rPr>
                <w:rFonts w:ascii="Arial" w:cs="Arial" w:eastAsia="Arial" w:hAnsi="Arial"/>
                <w:sz w:val="17"/>
                <w:szCs w:val="17"/>
                <w:color w:val="auto"/>
              </w:rPr>
              <w:t>101. PRE</w:t>
            </w:r>
          </w:p>
        </w:tc>
        <w:tc>
          <w:tcPr>
            <w:tcW w:w="9920" w:type="dxa"/>
            <w:vAlign w:val="bottom"/>
            <w:gridSpan w:val="11"/>
          </w:tcPr>
          <w:p>
            <w:pPr>
              <w:spacing w:after="0"/>
              <w:rPr>
                <w:sz w:val="20"/>
                <w:szCs w:val="20"/>
                <w:color w:val="auto"/>
              </w:rPr>
            </w:pPr>
            <w:r>
              <w:rPr>
                <w:rFonts w:ascii="Arial" w:cs="Arial" w:eastAsia="Arial" w:hAnsi="Arial"/>
                <w:sz w:val="17"/>
                <w:szCs w:val="17"/>
                <w:color w:val="auto"/>
              </w:rPr>
              <w:t>Inline XBRL Taxonomy Extension Presentation Linkbase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-3175</wp:posOffset>
            </wp:positionV>
            <wp:extent cx="7121525" cy="139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21525" cy="139700"/>
                    </a:xfrm>
                    <a:prstGeom prst="rect">
                      <a:avLst/>
                    </a:prstGeom>
                    <a:noFill/>
                  </pic:spPr>
                </pic:pic>
              </a:graphicData>
            </a:graphic>
          </wp:anchor>
        </w:drawing>
      </w:r>
    </w:p>
    <w:p>
      <w:pPr>
        <w:ind w:left="1320" w:hanging="853"/>
        <w:spacing w:after="0"/>
        <w:tabs>
          <w:tab w:leader="none" w:pos="13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Exhibit 101)</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83" w:lineRule="exact"/>
        <w:rPr>
          <w:rFonts w:ascii="Arial" w:cs="Arial" w:eastAsia="Arial" w:hAnsi="Arial"/>
          <w:sz w:val="17"/>
          <w:szCs w:val="17"/>
          <w:color w:val="auto"/>
        </w:rPr>
      </w:pPr>
    </w:p>
    <w:p>
      <w:pPr>
        <w:ind w:left="5520"/>
        <w:spacing w:after="0"/>
        <w:rPr>
          <w:rFonts w:ascii="Arial" w:cs="Arial" w:eastAsia="Arial" w:hAnsi="Arial"/>
          <w:sz w:val="17"/>
          <w:szCs w:val="17"/>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136525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auto"/>
        </w:rPr>
        <w:t>SIGNATURE</w:t>
      </w:r>
    </w:p>
    <w:p>
      <w:pPr>
        <w:spacing w:after="0" w:line="362"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88" w:lineRule="exact"/>
        <w:rPr>
          <w:sz w:val="20"/>
          <w:szCs w:val="20"/>
          <w:color w:val="auto"/>
        </w:rPr>
      </w:pPr>
    </w:p>
    <w:p>
      <w:pPr>
        <w:jc w:val="right"/>
        <w:ind w:right="4260"/>
        <w:spacing w:after="0"/>
        <w:rPr>
          <w:sz w:val="20"/>
          <w:szCs w:val="20"/>
          <w:color w:val="auto"/>
        </w:rPr>
      </w:pPr>
      <w:r>
        <w:rPr>
          <w:rFonts w:ascii="Arial" w:cs="Arial" w:eastAsia="Arial" w:hAnsi="Arial"/>
          <w:sz w:val="17"/>
          <w:szCs w:val="17"/>
          <w:b w:val="1"/>
          <w:bCs w:val="1"/>
          <w:i w:val="1"/>
          <w:iCs w:val="1"/>
          <w:color w:val="auto"/>
        </w:rPr>
        <w:t>MURPHY OIL CORPORATION</w:t>
      </w:r>
    </w:p>
    <w:p>
      <w:pPr>
        <w:spacing w:after="0" w:line="40" w:lineRule="exact"/>
        <w:rPr>
          <w:sz w:val="20"/>
          <w:szCs w:val="20"/>
          <w:color w:val="auto"/>
        </w:rPr>
      </w:pPr>
    </w:p>
    <w:p>
      <w:pPr>
        <w:jc w:val="right"/>
        <w:ind w:right="4320"/>
        <w:spacing w:after="0"/>
        <w:rPr>
          <w:sz w:val="20"/>
          <w:szCs w:val="20"/>
          <w:color w:val="auto"/>
        </w:rPr>
      </w:pPr>
      <w:r>
        <w:rPr>
          <w:rFonts w:ascii="Arial" w:cs="Arial" w:eastAsia="Arial" w:hAnsi="Arial"/>
          <w:sz w:val="17"/>
          <w:szCs w:val="17"/>
          <w:i w:val="1"/>
          <w:iCs w:val="1"/>
          <w:color w:val="auto"/>
        </w:rPr>
        <w:t>(Registrant)</w:t>
      </w:r>
    </w:p>
    <w:p>
      <w:pPr>
        <w:spacing w:after="0" w:line="267" w:lineRule="exact"/>
        <w:rPr>
          <w:sz w:val="20"/>
          <w:szCs w:val="20"/>
          <w:color w:val="auto"/>
        </w:rPr>
      </w:pPr>
    </w:p>
    <w:p>
      <w:pPr>
        <w:ind w:left="4340"/>
        <w:spacing w:after="0"/>
        <w:tabs>
          <w:tab w:leader="none" w:pos="4760" w:val="left"/>
        </w:tabs>
        <w:rPr>
          <w:sz w:val="20"/>
          <w:szCs w:val="20"/>
          <w:color w:val="auto"/>
        </w:rPr>
      </w:pPr>
      <w:r>
        <w:rPr>
          <w:rFonts w:ascii="Arial" w:cs="Arial" w:eastAsia="Arial" w:hAnsi="Arial"/>
          <w:sz w:val="17"/>
          <w:szCs w:val="17"/>
          <w:color w:val="auto"/>
        </w:rPr>
        <w:t>By</w:t>
        <w:tab/>
        <w:t>/s/ PAUL D. VAUGHAN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3021330</wp:posOffset>
            </wp:positionH>
            <wp:positionV relativeFrom="paragraph">
              <wp:posOffset>17780</wp:posOffset>
            </wp:positionV>
            <wp:extent cx="41021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4102100" cy="8255"/>
                    </a:xfrm>
                    <a:prstGeom prst="rect">
                      <a:avLst/>
                    </a:prstGeom>
                    <a:noFill/>
                  </pic:spPr>
                </pic:pic>
              </a:graphicData>
            </a:graphic>
          </wp:anchor>
        </w:drawing>
      </w:r>
    </w:p>
    <w:p>
      <w:pPr>
        <w:spacing w:after="0" w:line="17" w:lineRule="exact"/>
        <w:rPr>
          <w:sz w:val="20"/>
          <w:szCs w:val="20"/>
          <w:color w:val="auto"/>
        </w:rPr>
      </w:pPr>
    </w:p>
    <w:p>
      <w:pPr>
        <w:ind w:left="4780"/>
        <w:spacing w:after="0"/>
        <w:rPr>
          <w:sz w:val="20"/>
          <w:szCs w:val="20"/>
          <w:color w:val="auto"/>
        </w:rPr>
      </w:pPr>
      <w:r>
        <w:rPr>
          <w:rFonts w:ascii="Arial" w:cs="Arial" w:eastAsia="Arial" w:hAnsi="Arial"/>
          <w:sz w:val="17"/>
          <w:szCs w:val="17"/>
          <w:color w:val="auto"/>
        </w:rPr>
        <w:t>Paul D. Vaughan</w:t>
      </w:r>
    </w:p>
    <w:p>
      <w:pPr>
        <w:spacing w:after="0" w:line="30" w:lineRule="exact"/>
        <w:rPr>
          <w:sz w:val="20"/>
          <w:szCs w:val="20"/>
          <w:color w:val="auto"/>
        </w:rPr>
      </w:pPr>
    </w:p>
    <w:p>
      <w:pPr>
        <w:ind w:left="4780"/>
        <w:spacing w:after="0"/>
        <w:rPr>
          <w:sz w:val="20"/>
          <w:szCs w:val="20"/>
          <w:color w:val="auto"/>
        </w:rPr>
      </w:pPr>
      <w:r>
        <w:rPr>
          <w:rFonts w:ascii="Arial" w:cs="Arial" w:eastAsia="Arial" w:hAnsi="Arial"/>
          <w:sz w:val="17"/>
          <w:szCs w:val="17"/>
          <w:color w:val="auto"/>
        </w:rPr>
        <w:t>Vice President and Controller</w:t>
      </w:r>
    </w:p>
    <w:p>
      <w:pPr>
        <w:spacing w:after="0" w:line="24" w:lineRule="exact"/>
        <w:rPr>
          <w:sz w:val="20"/>
          <w:szCs w:val="20"/>
          <w:color w:val="auto"/>
        </w:rPr>
      </w:pPr>
    </w:p>
    <w:p>
      <w:pPr>
        <w:ind w:left="4780"/>
        <w:spacing w:after="0"/>
        <w:rPr>
          <w:sz w:val="20"/>
          <w:szCs w:val="20"/>
          <w:color w:val="auto"/>
        </w:rPr>
      </w:pPr>
      <w:r>
        <w:rPr>
          <w:rFonts w:ascii="Arial" w:cs="Arial" w:eastAsia="Arial" w:hAnsi="Arial"/>
          <w:sz w:val="17"/>
          <w:szCs w:val="17"/>
          <w:i w:val="1"/>
          <w:iCs w:val="1"/>
          <w:color w:val="auto"/>
        </w:rPr>
        <w:t>(Chief Accounting Officer and Duly Authorized Officer)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May 7, 2025</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(Date)</w:t>
      </w:r>
    </w:p>
    <w:p>
      <w:pPr>
        <w:spacing w:after="0" w:line="200" w:lineRule="exact"/>
        <w:rPr>
          <w:sz w:val="20"/>
          <w:szCs w:val="20"/>
          <w:color w:val="auto"/>
        </w:rPr>
      </w:pPr>
    </w:p>
    <w:p>
      <w:pPr>
        <w:spacing w:after="0" w:line="380"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000"/>
          </w:cols>
          <w:pgMar w:left="320" w:top="226" w:right="579" w:bottom="1440" w:gutter="0" w:footer="0" w:header="0"/>
        </w:sectPr>
      </w:pPr>
    </w:p>
    <w:bookmarkStart w:id="43" w:name="page44"/>
    <w:bookmarkEnd w:id="43"/>
    <w:p>
      <w:pPr>
        <w:jc w:val="right"/>
        <w:spacing w:after="0"/>
        <w:rPr>
          <w:sz w:val="20"/>
          <w:szCs w:val="20"/>
          <w:color w:val="auto"/>
        </w:rPr>
      </w:pPr>
      <w:r>
        <w:rPr>
          <w:rFonts w:ascii="Arial" w:cs="Arial" w:eastAsia="Arial" w:hAnsi="Arial"/>
          <w:sz w:val="19"/>
          <w:szCs w:val="19"/>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MURPHY OIL CORPORATION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PERFORMANCE-BASED RESTRICTED STOCK UNIT GRANT AGREEMENT</w:t>
      </w:r>
    </w:p>
    <w:p>
      <w:pPr>
        <w:spacing w:after="0" w:line="31" w:lineRule="exact"/>
        <w:rPr>
          <w:sz w:val="20"/>
          <w:szCs w:val="20"/>
          <w:color w:val="auto"/>
        </w:rPr>
      </w:pPr>
    </w:p>
    <w:tbl>
      <w:tblPr>
        <w:tblLayout w:type="fixed"/>
        <w:tblInd w:w="10" w:type="dxa"/>
        <w:tblCellMar>
          <w:top w:w="0" w:type="dxa"/>
          <w:left w:w="0" w:type="dxa"/>
          <w:bottom w:w="0" w:type="dxa"/>
          <w:right w:w="0" w:type="dxa"/>
        </w:tblCellMar>
      </w:tblPr>
      <w:tr>
        <w:trPr>
          <w:trHeight w:val="435"/>
        </w:trPr>
        <w:tc>
          <w:tcPr>
            <w:tcW w:w="620" w:type="dxa"/>
            <w:vAlign w:val="bottom"/>
            <w:tcBorders>
              <w:top w:val="single" w:sz="8" w:color="auto"/>
              <w:left w:val="single" w:sz="8" w:color="auto"/>
            </w:tcBorders>
          </w:tcPr>
          <w:p>
            <w:pPr>
              <w:spacing w:after="0"/>
              <w:rPr>
                <w:sz w:val="24"/>
                <w:szCs w:val="24"/>
                <w:color w:val="auto"/>
              </w:rPr>
            </w:pPr>
          </w:p>
        </w:tc>
        <w:tc>
          <w:tcPr>
            <w:tcW w:w="2640" w:type="dxa"/>
            <w:vAlign w:val="bottom"/>
            <w:tcBorders>
              <w:top w:val="single" w:sz="8" w:color="auto"/>
              <w:right w:val="single" w:sz="8" w:color="auto"/>
            </w:tcBorders>
            <w:gridSpan w:val="2"/>
          </w:tcPr>
          <w:p>
            <w:pPr>
              <w:jc w:val="center"/>
              <w:ind w:right="620"/>
              <w:spacing w:after="0"/>
              <w:rPr>
                <w:sz w:val="20"/>
                <w:szCs w:val="20"/>
                <w:color w:val="auto"/>
              </w:rPr>
            </w:pPr>
            <w:r>
              <w:rPr>
                <w:rFonts w:ascii="Times New Roman" w:cs="Times New Roman" w:eastAsia="Times New Roman" w:hAnsi="Times New Roman"/>
                <w:sz w:val="21"/>
                <w:szCs w:val="21"/>
                <w:color w:val="auto"/>
                <w:w w:val="97"/>
              </w:rPr>
              <w:t>Performance-Based</w:t>
            </w:r>
          </w:p>
        </w:tc>
        <w:tc>
          <w:tcPr>
            <w:tcW w:w="120" w:type="dxa"/>
            <w:vAlign w:val="bottom"/>
            <w:tcBorders>
              <w:top w:val="single" w:sz="8" w:color="auto"/>
            </w:tcBorders>
          </w:tcPr>
          <w:p>
            <w:pPr>
              <w:spacing w:after="0"/>
              <w:rPr>
                <w:sz w:val="24"/>
                <w:szCs w:val="24"/>
                <w:color w:val="auto"/>
              </w:rPr>
            </w:pPr>
          </w:p>
        </w:tc>
        <w:tc>
          <w:tcPr>
            <w:tcW w:w="4300" w:type="dxa"/>
            <w:vAlign w:val="bottom"/>
            <w:tcBorders>
              <w:top w:val="single" w:sz="8" w:color="auto"/>
              <w:right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21"/>
                <w:szCs w:val="21"/>
                <w:color w:val="auto"/>
                <w:w w:val="98"/>
              </w:rPr>
              <w:t>Name of Grantee</w:t>
            </w:r>
          </w:p>
        </w:tc>
        <w:tc>
          <w:tcPr>
            <w:tcW w:w="3560" w:type="dxa"/>
            <w:vAlign w:val="bottom"/>
            <w:tcBorders>
              <w:top w:val="single" w:sz="8" w:color="auto"/>
              <w:right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21"/>
                <w:szCs w:val="21"/>
                <w:color w:val="auto"/>
                <w:w w:val="97"/>
              </w:rPr>
              <w:t>Target Number of Performance-Based</w:t>
            </w:r>
          </w:p>
        </w:tc>
        <w:tc>
          <w:tcPr>
            <w:tcW w:w="0" w:type="dxa"/>
            <w:vAlign w:val="bottom"/>
          </w:tcPr>
          <w:p>
            <w:pPr>
              <w:spacing w:after="0"/>
              <w:rPr>
                <w:sz w:val="1"/>
                <w:szCs w:val="1"/>
                <w:color w:val="auto"/>
              </w:rPr>
            </w:pPr>
          </w:p>
        </w:tc>
      </w:tr>
      <w:tr>
        <w:trPr>
          <w:trHeight w:val="207"/>
        </w:trPr>
        <w:tc>
          <w:tcPr>
            <w:tcW w:w="3260" w:type="dxa"/>
            <w:vAlign w:val="bottom"/>
            <w:tcBorders>
              <w:left w:val="single" w:sz="8" w:color="auto"/>
              <w:right w:val="single" w:sz="8" w:color="auto"/>
            </w:tcBorders>
            <w:gridSpan w:val="3"/>
          </w:tcPr>
          <w:p>
            <w:pPr>
              <w:jc w:val="center"/>
              <w:spacing w:after="0" w:line="207" w:lineRule="exact"/>
              <w:rPr>
                <w:sz w:val="20"/>
                <w:szCs w:val="20"/>
                <w:color w:val="auto"/>
              </w:rPr>
            </w:pPr>
            <w:r>
              <w:rPr>
                <w:rFonts w:ascii="Times New Roman" w:cs="Times New Roman" w:eastAsia="Times New Roman" w:hAnsi="Times New Roman"/>
                <w:sz w:val="21"/>
                <w:szCs w:val="21"/>
                <w:color w:val="auto"/>
                <w:w w:val="97"/>
              </w:rPr>
              <w:t>Restricted Stock Unit Award</w:t>
            </w:r>
          </w:p>
        </w:tc>
        <w:tc>
          <w:tcPr>
            <w:tcW w:w="1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120" w:type="dxa"/>
            <w:vAlign w:val="bottom"/>
            <w:tcBorders>
              <w:right w:val="single" w:sz="8" w:color="auto"/>
            </w:tcBorders>
          </w:tcPr>
          <w:p>
            <w:pPr>
              <w:spacing w:after="0"/>
              <w:rPr>
                <w:sz w:val="17"/>
                <w:szCs w:val="17"/>
                <w:color w:val="auto"/>
              </w:rPr>
            </w:pPr>
          </w:p>
        </w:tc>
        <w:tc>
          <w:tcPr>
            <w:tcW w:w="3560" w:type="dxa"/>
            <w:vAlign w:val="bottom"/>
            <w:tcBorders>
              <w:right w:val="single" w:sz="8" w:color="auto"/>
            </w:tcBorders>
            <w:gridSpan w:val="4"/>
          </w:tcPr>
          <w:p>
            <w:pPr>
              <w:jc w:val="center"/>
              <w:ind w:right="60"/>
              <w:spacing w:after="0" w:line="207" w:lineRule="exact"/>
              <w:rPr>
                <w:sz w:val="20"/>
                <w:szCs w:val="20"/>
                <w:color w:val="auto"/>
              </w:rPr>
            </w:pPr>
            <w:r>
              <w:rPr>
                <w:rFonts w:ascii="Times New Roman" w:cs="Times New Roman" w:eastAsia="Times New Roman" w:hAnsi="Times New Roman"/>
                <w:sz w:val="21"/>
                <w:szCs w:val="21"/>
                <w:color w:val="auto"/>
                <w:w w:val="98"/>
              </w:rPr>
              <w:t>Restricted Stock Units Subject to this</w:t>
            </w:r>
          </w:p>
        </w:tc>
        <w:tc>
          <w:tcPr>
            <w:tcW w:w="0" w:type="dxa"/>
            <w:vAlign w:val="bottom"/>
          </w:tcPr>
          <w:p>
            <w:pPr>
              <w:spacing w:after="0"/>
              <w:rPr>
                <w:sz w:val="1"/>
                <w:szCs w:val="1"/>
                <w:color w:val="auto"/>
              </w:rPr>
            </w:pPr>
          </w:p>
        </w:tc>
      </w:tr>
      <w:tr>
        <w:trPr>
          <w:trHeight w:val="207"/>
        </w:trPr>
        <w:tc>
          <w:tcPr>
            <w:tcW w:w="620" w:type="dxa"/>
            <w:vAlign w:val="bottom"/>
            <w:tcBorders>
              <w:left w:val="single" w:sz="8" w:color="auto"/>
            </w:tcBorders>
          </w:tcPr>
          <w:p>
            <w:pPr>
              <w:spacing w:after="0"/>
              <w:rPr>
                <w:sz w:val="17"/>
                <w:szCs w:val="17"/>
                <w:color w:val="auto"/>
              </w:rPr>
            </w:pPr>
          </w:p>
        </w:tc>
        <w:tc>
          <w:tcPr>
            <w:tcW w:w="2640" w:type="dxa"/>
            <w:vAlign w:val="bottom"/>
            <w:tcBorders>
              <w:right w:val="single" w:sz="8" w:color="auto"/>
            </w:tcBorders>
            <w:gridSpan w:val="2"/>
          </w:tcPr>
          <w:p>
            <w:pPr>
              <w:jc w:val="center"/>
              <w:ind w:right="600"/>
              <w:spacing w:after="0" w:line="207" w:lineRule="exact"/>
              <w:rPr>
                <w:sz w:val="20"/>
                <w:szCs w:val="20"/>
                <w:color w:val="auto"/>
              </w:rPr>
            </w:pPr>
            <w:r>
              <w:rPr>
                <w:rFonts w:ascii="Times New Roman" w:cs="Times New Roman" w:eastAsia="Times New Roman" w:hAnsi="Times New Roman"/>
                <w:sz w:val="21"/>
                <w:szCs w:val="21"/>
                <w:color w:val="auto"/>
                <w:w w:val="98"/>
              </w:rPr>
              <w:t>Number</w:t>
            </w:r>
          </w:p>
        </w:tc>
        <w:tc>
          <w:tcPr>
            <w:tcW w:w="1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12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0" w:type="dxa"/>
            <w:vAlign w:val="bottom"/>
            <w:tcBorders>
              <w:right w:val="single" w:sz="8" w:color="auto"/>
            </w:tcBorders>
            <w:gridSpan w:val="2"/>
          </w:tcPr>
          <w:p>
            <w:pPr>
              <w:jc w:val="center"/>
              <w:ind w:right="1000"/>
              <w:spacing w:after="0" w:line="207" w:lineRule="exact"/>
              <w:rPr>
                <w:sz w:val="20"/>
                <w:szCs w:val="20"/>
                <w:color w:val="auto"/>
              </w:rPr>
            </w:pPr>
            <w:r>
              <w:rPr>
                <w:rFonts w:ascii="Times New Roman" w:cs="Times New Roman" w:eastAsia="Times New Roman" w:hAnsi="Times New Roman"/>
                <w:sz w:val="21"/>
                <w:szCs w:val="21"/>
                <w:color w:val="auto"/>
              </w:rPr>
              <w:t>Grant</w:t>
            </w:r>
          </w:p>
        </w:tc>
        <w:tc>
          <w:tcPr>
            <w:tcW w:w="0" w:type="dxa"/>
            <w:vAlign w:val="bottom"/>
          </w:tcPr>
          <w:p>
            <w:pPr>
              <w:spacing w:after="0"/>
              <w:rPr>
                <w:sz w:val="1"/>
                <w:szCs w:val="1"/>
                <w:color w:val="auto"/>
              </w:rPr>
            </w:pPr>
          </w:p>
        </w:tc>
      </w:tr>
      <w:tr>
        <w:trPr>
          <w:trHeight w:val="238"/>
        </w:trPr>
        <w:tc>
          <w:tcPr>
            <w:tcW w:w="620" w:type="dxa"/>
            <w:vAlign w:val="bottom"/>
            <w:tcBorders>
              <w:left w:val="single" w:sz="8" w:color="auto"/>
            </w:tcBorders>
          </w:tcPr>
          <w:p>
            <w:pPr>
              <w:spacing w:after="0"/>
              <w:rPr>
                <w:sz w:val="20"/>
                <w:szCs w:val="20"/>
                <w:color w:val="auto"/>
              </w:rPr>
            </w:pPr>
          </w:p>
        </w:tc>
        <w:tc>
          <w:tcPr>
            <w:tcW w:w="20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300" w:type="dxa"/>
            <w:vAlign w:val="bottom"/>
            <w:tcBorders>
              <w:right w:val="single" w:sz="8" w:color="auto"/>
            </w:tcBorders>
            <w:gridSpan w:val="2"/>
          </w:tcPr>
          <w:p>
            <w:pPr>
              <w:jc w:val="center"/>
              <w:ind w:right="160"/>
              <w:spacing w:after="0" w:line="238" w:lineRule="exact"/>
              <w:rPr>
                <w:sz w:val="20"/>
                <w:szCs w:val="20"/>
                <w:color w:val="auto"/>
              </w:rPr>
            </w:pPr>
            <w:r>
              <w:rPr>
                <w:rFonts w:ascii="Times New Roman" w:cs="Times New Roman" w:eastAsia="Times New Roman" w:hAnsi="Times New Roman"/>
                <w:sz w:val="21"/>
                <w:szCs w:val="21"/>
                <w:color w:val="auto"/>
                <w:w w:val="98"/>
              </w:rPr>
              <w:t>[[FIRSTNAME]] [[MIDDLENAME]]</w:t>
            </w:r>
          </w:p>
        </w:tc>
        <w:tc>
          <w:tcPr>
            <w:tcW w:w="620" w:type="dxa"/>
            <w:vAlign w:val="bottom"/>
          </w:tcPr>
          <w:p>
            <w:pPr>
              <w:spacing w:after="0"/>
              <w:rPr>
                <w:sz w:val="20"/>
                <w:szCs w:val="20"/>
                <w:color w:val="auto"/>
              </w:rPr>
            </w:pPr>
          </w:p>
        </w:tc>
        <w:tc>
          <w:tcPr>
            <w:tcW w:w="34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21"/>
                <w:szCs w:val="21"/>
                <w:color w:val="auto"/>
              </w:rPr>
              <w:t>[[</w:t>
            </w:r>
          </w:p>
        </w:tc>
        <w:tc>
          <w:tcPr>
            <w:tcW w:w="1920" w:type="dxa"/>
            <w:vAlign w:val="bottom"/>
            <w:tcBorders>
              <w:bottom w:val="single" w:sz="8" w:color="2B2105"/>
            </w:tcBorders>
          </w:tcPr>
          <w:p>
            <w:pPr>
              <w:spacing w:after="0" w:line="199" w:lineRule="exact"/>
              <w:rPr>
                <w:sz w:val="20"/>
                <w:szCs w:val="20"/>
                <w:color w:val="auto"/>
              </w:rPr>
            </w:pPr>
            <w:r>
              <w:rPr>
                <w:rFonts w:ascii="Times New Roman" w:cs="Times New Roman" w:eastAsia="Times New Roman" w:hAnsi="Times New Roman"/>
                <w:sz w:val="21"/>
                <w:szCs w:val="21"/>
                <w:color w:val="2B2105"/>
                <w:w w:val="97"/>
              </w:rPr>
              <w:t>SHARESGRANTED]]</w:t>
            </w: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2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21"/>
                <w:szCs w:val="21"/>
                <w:color w:val="auto"/>
              </w:rPr>
              <w:t>[[GRANTNUMBER]]</w:t>
            </w:r>
          </w:p>
        </w:tc>
        <w:tc>
          <w:tcPr>
            <w:tcW w:w="120" w:type="dxa"/>
            <w:vAlign w:val="bottom"/>
          </w:tcPr>
          <w:p>
            <w:pPr>
              <w:spacing w:after="0"/>
              <w:rPr>
                <w:sz w:val="19"/>
                <w:szCs w:val="19"/>
                <w:color w:val="auto"/>
              </w:rPr>
            </w:pPr>
          </w:p>
        </w:tc>
        <w:tc>
          <w:tcPr>
            <w:tcW w:w="4300" w:type="dxa"/>
            <w:vAlign w:val="bottom"/>
            <w:tcBorders>
              <w:right w:val="single" w:sz="8" w:color="auto"/>
            </w:tcBorders>
            <w:gridSpan w:val="2"/>
          </w:tcPr>
          <w:p>
            <w:pPr>
              <w:ind w:left="780"/>
              <w:spacing w:after="0" w:line="219" w:lineRule="exact"/>
              <w:rPr>
                <w:sz w:val="20"/>
                <w:szCs w:val="20"/>
                <w:color w:val="auto"/>
              </w:rPr>
            </w:pPr>
            <w:r>
              <w:rPr>
                <w:rFonts w:ascii="Times New Roman" w:cs="Times New Roman" w:eastAsia="Times New Roman" w:hAnsi="Times New Roman"/>
                <w:sz w:val="21"/>
                <w:szCs w:val="21"/>
                <w:color w:val="auto"/>
              </w:rPr>
              <w:t>[[LASTNAME]]</w:t>
            </w: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620" w:type="dxa"/>
            <w:vAlign w:val="bottom"/>
            <w:tcBorders>
              <w:left w:val="single" w:sz="8" w:color="auto"/>
            </w:tcBorders>
          </w:tcPr>
          <w:p>
            <w:pPr>
              <w:spacing w:after="0"/>
              <w:rPr>
                <w:sz w:val="16"/>
                <w:szCs w:val="16"/>
                <w:color w:val="auto"/>
              </w:rPr>
            </w:pPr>
          </w:p>
        </w:tc>
        <w:tc>
          <w:tcPr>
            <w:tcW w:w="2640" w:type="dxa"/>
            <w:vAlign w:val="bottom"/>
            <w:tcBorders>
              <w:right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tcBorders>
              <w:top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620" w:type="dxa"/>
            <w:vAlign w:val="bottom"/>
            <w:tcBorders>
              <w:left w:val="single" w:sz="8" w:color="auto"/>
              <w:bottom w:val="single" w:sz="8" w:color="auto"/>
            </w:tcBorders>
          </w:tcPr>
          <w:p>
            <w:pPr>
              <w:spacing w:after="0"/>
              <w:rPr>
                <w:sz w:val="3"/>
                <w:szCs w:val="3"/>
                <w:color w:val="auto"/>
              </w:rPr>
            </w:pPr>
          </w:p>
        </w:tc>
        <w:tc>
          <w:tcPr>
            <w:tcW w:w="2020" w:type="dxa"/>
            <w:vAlign w:val="bottom"/>
            <w:tcBorders>
              <w:top w:val="single" w:sz="8" w:color="auto"/>
              <w:bottom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85"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This Performance-Based Restricted Stock Unit Award (this “</w:t>
      </w:r>
      <w:r>
        <w:rPr>
          <w:rFonts w:ascii="Times New Roman" w:cs="Times New Roman" w:eastAsia="Times New Roman" w:hAnsi="Times New Roman"/>
          <w:sz w:val="21"/>
          <w:szCs w:val="21"/>
          <w:u w:val="single" w:color="auto"/>
          <w:color w:val="auto"/>
        </w:rPr>
        <w:t>Award</w:t>
      </w:r>
      <w:r>
        <w:rPr>
          <w:rFonts w:ascii="Times New Roman" w:cs="Times New Roman" w:eastAsia="Times New Roman" w:hAnsi="Times New Roman"/>
          <w:sz w:val="21"/>
          <w:szCs w:val="21"/>
          <w:color w:val="auto"/>
        </w:rPr>
        <w:t>”) is granted on and dated [[GRANTDATE]] (the “</w:t>
      </w:r>
      <w:r>
        <w:rPr>
          <w:rFonts w:ascii="Times New Roman" w:cs="Times New Roman" w:eastAsia="Times New Roman" w:hAnsi="Times New Roman"/>
          <w:sz w:val="21"/>
          <w:szCs w:val="21"/>
          <w:u w:val="single" w:color="auto"/>
          <w:color w:val="auto"/>
        </w:rPr>
        <w:t>Grant Date</w:t>
      </w:r>
      <w:r>
        <w:rPr>
          <w:rFonts w:ascii="Times New Roman" w:cs="Times New Roman" w:eastAsia="Times New Roman" w:hAnsi="Times New Roman"/>
          <w:sz w:val="21"/>
          <w:szCs w:val="21"/>
          <w:color w:val="auto"/>
        </w:rPr>
        <w:t>”), by Murphy Oil Corporation,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pursuant to and for the purposes of the 2020 Long-Term Incentive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Any terms used herein and not otherwise defined shall have the meanings set forth in the Plan.</w:t>
      </w:r>
    </w:p>
    <w:p>
      <w:pPr>
        <w:spacing w:after="0" w:line="174"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This Agreement is subject to the following terms and provisions. In addition, certain terms and provisions applicable to this Award may be communicated to you in a separate brochure (the “</w:t>
      </w:r>
      <w:r>
        <w:rPr>
          <w:rFonts w:ascii="Times New Roman" w:cs="Times New Roman" w:eastAsia="Times New Roman" w:hAnsi="Times New Roman"/>
          <w:sz w:val="21"/>
          <w:szCs w:val="21"/>
          <w:u w:val="single" w:color="auto"/>
          <w:color w:val="auto"/>
        </w:rPr>
        <w:t>Brochure</w:t>
      </w:r>
      <w:r>
        <w:rPr>
          <w:rFonts w:ascii="Times New Roman" w:cs="Times New Roman" w:eastAsia="Times New Roman" w:hAnsi="Times New Roman"/>
          <w:sz w:val="21"/>
          <w:szCs w:val="21"/>
          <w:color w:val="auto"/>
        </w:rPr>
        <w:t>”). By accepting this Agreement, you agree to the terms and provisions set forth below, in the Plan and in the Brochure.</w:t>
      </w:r>
    </w:p>
    <w:p>
      <w:pPr>
        <w:spacing w:after="0" w:line="174" w:lineRule="exact"/>
        <w:rPr>
          <w:sz w:val="20"/>
          <w:szCs w:val="20"/>
          <w:color w:val="auto"/>
        </w:rPr>
      </w:pPr>
    </w:p>
    <w:p>
      <w:pPr>
        <w:ind w:left="320" w:hanging="317"/>
        <w:spacing w:after="0" w:line="236" w:lineRule="auto"/>
        <w:tabs>
          <w:tab w:leader="none" w:pos="3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hereby grants to the employee named above (the “</w:t>
      </w:r>
      <w:r>
        <w:rPr>
          <w:rFonts w:ascii="Times New Roman" w:cs="Times New Roman" w:eastAsia="Times New Roman" w:hAnsi="Times New Roman"/>
          <w:sz w:val="21"/>
          <w:szCs w:val="21"/>
          <w:u w:val="single" w:color="auto"/>
          <w:color w:val="auto"/>
        </w:rPr>
        <w:t>Grantee</w:t>
      </w:r>
      <w:r>
        <w:rPr>
          <w:rFonts w:ascii="Times New Roman" w:cs="Times New Roman" w:eastAsia="Times New Roman" w:hAnsi="Times New Roman"/>
          <w:sz w:val="21"/>
          <w:szCs w:val="21"/>
          <w:color w:val="auto"/>
        </w:rPr>
        <w:t>”) the target number of Performance-Based Restricted Stock Units set forth above (“</w:t>
      </w:r>
      <w:r>
        <w:rPr>
          <w:rFonts w:ascii="Times New Roman" w:cs="Times New Roman" w:eastAsia="Times New Roman" w:hAnsi="Times New Roman"/>
          <w:sz w:val="21"/>
          <w:szCs w:val="21"/>
          <w:u w:val="single" w:color="auto"/>
          <w:color w:val="auto"/>
        </w:rPr>
        <w:t>Target RSUs</w:t>
      </w:r>
      <w:r>
        <w:rPr>
          <w:rFonts w:ascii="Times New Roman" w:cs="Times New Roman" w:eastAsia="Times New Roman" w:hAnsi="Times New Roman"/>
          <w:sz w:val="21"/>
          <w:szCs w:val="21"/>
          <w:color w:val="auto"/>
        </w:rPr>
        <w:t>”), each equal in value to one share of Common Stock.</w:t>
      </w:r>
    </w:p>
    <w:p>
      <w:pPr>
        <w:spacing w:after="0" w:line="171" w:lineRule="exact"/>
        <w:rPr>
          <w:rFonts w:ascii="Times New Roman" w:cs="Times New Roman" w:eastAsia="Times New Roman" w:hAnsi="Times New Roman"/>
          <w:sz w:val="21"/>
          <w:szCs w:val="21"/>
          <w:color w:val="auto"/>
        </w:rPr>
      </w:pPr>
    </w:p>
    <w:p>
      <w:pPr>
        <w:ind w:left="220" w:hanging="217"/>
        <w:spacing w:after="0"/>
        <w:tabs>
          <w:tab w:leader="none" w:pos="2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Award is subject to the following vesting and time lapse restrictions:</w:t>
      </w:r>
    </w:p>
    <w:p>
      <w:pPr>
        <w:spacing w:after="0" w:line="197" w:lineRule="exact"/>
        <w:rPr>
          <w:rFonts w:ascii="Times New Roman" w:cs="Times New Roman" w:eastAsia="Times New Roman" w:hAnsi="Times New Roman"/>
          <w:sz w:val="21"/>
          <w:szCs w:val="21"/>
          <w:color w:val="auto"/>
        </w:rPr>
      </w:pPr>
    </w:p>
    <w:p>
      <w:pPr>
        <w:jc w:val="both"/>
        <w:ind w:left="1240" w:right="620" w:hanging="306"/>
        <w:spacing w:after="0" w:line="215" w:lineRule="auto"/>
        <w:tabs>
          <w:tab w:leader="none" w:pos="1237"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the Performance Measures as set forth in Section 3 below are satisfied in accordance with the Plan, the size of this Award will be determined by the Committee, and the Grantee will be paid the value of his or her earned Target RSUs in Shares during the first quarter of the fiscal year immediately following the completion of the Performance Measurement Period (as defined below); provided that, except as set forth in Sections 2(c), 2(d) and 2(e) below, the Grantee is employed by the Company on both the last day of the Performance Measurement Period and the date that the Committee determines the size of this Award.</w:t>
      </w:r>
    </w:p>
    <w:p>
      <w:pPr>
        <w:spacing w:after="0" w:line="149" w:lineRule="exact"/>
        <w:rPr>
          <w:rFonts w:ascii="Times New Roman" w:cs="Times New Roman" w:eastAsia="Times New Roman" w:hAnsi="Times New Roman"/>
          <w:sz w:val="21"/>
          <w:szCs w:val="21"/>
          <w:color w:val="auto"/>
        </w:rPr>
      </w:pPr>
    </w:p>
    <w:p>
      <w:pPr>
        <w:jc w:val="both"/>
        <w:ind w:left="1240" w:right="620" w:hanging="306"/>
        <w:spacing w:after="0" w:line="225" w:lineRule="auto"/>
        <w:tabs>
          <w:tab w:leader="none" w:pos="1236"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the Grantee’s employment terminates any time prior to the date that the Committee determines the size of this Award, except as set forth in Sections 2(c), 2(d) and 2(e) below, he or she will forfeit all Target RSUs pursuant to this Award.</w:t>
      </w:r>
    </w:p>
    <w:p>
      <w:pPr>
        <w:spacing w:after="0" w:line="147" w:lineRule="exact"/>
        <w:rPr>
          <w:rFonts w:ascii="Times New Roman" w:cs="Times New Roman" w:eastAsia="Times New Roman" w:hAnsi="Times New Roman"/>
          <w:sz w:val="21"/>
          <w:szCs w:val="21"/>
          <w:color w:val="auto"/>
        </w:rPr>
      </w:pPr>
    </w:p>
    <w:p>
      <w:pPr>
        <w:jc w:val="both"/>
        <w:ind w:left="1240" w:right="620" w:hanging="306"/>
        <w:spacing w:after="0" w:line="214" w:lineRule="auto"/>
        <w:tabs>
          <w:tab w:leader="none" w:pos="1237"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the Grantee’s death, disability, or retirement (as determined in accordance with the Plan), the Grantee will receive the pro-rata number of Target RSUs earned for performance completed based upon the number of months worked pursuant to this Award up to the time of the death, disability, or retirement event. In the event that the Performance Measures are satisfied in accordance with the Plan and, as set forth in Section 3 below, and the size of this Award is determined by the Committee, the Grantee will be paid his or her Shares during the first quarter of the fiscal year immediately following the completion of the Performance Measurement Period.</w:t>
      </w:r>
    </w:p>
    <w:p>
      <w:pPr>
        <w:spacing w:after="0" w:line="146" w:lineRule="exact"/>
        <w:rPr>
          <w:rFonts w:ascii="Times New Roman" w:cs="Times New Roman" w:eastAsia="Times New Roman" w:hAnsi="Times New Roman"/>
          <w:sz w:val="21"/>
          <w:szCs w:val="21"/>
          <w:color w:val="auto"/>
        </w:rPr>
      </w:pPr>
    </w:p>
    <w:p>
      <w:pPr>
        <w:jc w:val="both"/>
        <w:ind w:left="1240" w:right="620" w:hanging="306"/>
        <w:spacing w:after="0" w:line="215" w:lineRule="auto"/>
        <w:tabs>
          <w:tab w:leader="none" w:pos="1236"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 is not an Executive or a party to a Severance Protection Agreement with the Company at any time during the period beginning on the Grant Date and ending on the date on which a Change in Control occurs, this Award will fully vest and one hundred percent (100%) of the Target RSUs granted will be deemed to be earned at the target level of performance and will be paid in full, without restrictions, upon such Change in Control; provided, however, that no payment will be made until the first quarter of 2028 unless such Change in Control also qualifies as a “change in control event” as determined under Section 409A.</w:t>
      </w:r>
    </w:p>
    <w:p>
      <w:pPr>
        <w:spacing w:after="0" w:line="149" w:lineRule="exact"/>
        <w:rPr>
          <w:rFonts w:ascii="Times New Roman" w:cs="Times New Roman" w:eastAsia="Times New Roman" w:hAnsi="Times New Roman"/>
          <w:sz w:val="21"/>
          <w:szCs w:val="21"/>
          <w:color w:val="auto"/>
        </w:rPr>
      </w:pPr>
    </w:p>
    <w:p>
      <w:pPr>
        <w:jc w:val="both"/>
        <w:ind w:left="1240" w:right="620" w:hanging="306"/>
        <w:spacing w:after="0" w:line="220" w:lineRule="auto"/>
        <w:tabs>
          <w:tab w:leader="none" w:pos="1237"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 is an Executive or is otherwise a party to a Severance Protection Agreement with the Company at any time during the period beginning on the Grant Date and ending on the date on which a Change in Control occurs, this Award will fully vest and one hundred percent (100%) of the Target RSUs granted will be deemed to be earned at the target level of performance and will be paid in full, without restrictions, upon the</w:t>
      </w:r>
    </w:p>
    <w:p>
      <w:pPr>
        <w:sectPr>
          <w:pgSz w:w="11900" w:h="16838" w:orient="portrait"/>
          <w:cols w:equalWidth="0" w:num="1">
            <w:col w:w="11240"/>
          </w:cols>
          <w:pgMar w:left="320" w:top="44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9"/>
          <w:szCs w:val="19"/>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306" w:right="620"/>
        <w:spacing w:after="0" w:line="215" w:lineRule="auto"/>
        <w:rPr>
          <w:sz w:val="20"/>
          <w:szCs w:val="20"/>
          <w:color w:val="auto"/>
        </w:rPr>
      </w:pPr>
      <w:r>
        <w:rPr>
          <w:rFonts w:ascii="Times New Roman" w:cs="Times New Roman" w:eastAsia="Times New Roman" w:hAnsi="Times New Roman"/>
          <w:sz w:val="21"/>
          <w:szCs w:val="21"/>
          <w:color w:val="auto"/>
        </w:rPr>
        <w:t>occurrence of the Grantee’s Qualifying Termination of Employment. “Qualifying Termination of Employment” means the termination of the Grantee’s employment within the two-year period immediately following a Change in Control (x) by the Company or any of its affiliates without Cause or (y) by the Grantee for Good Reason. Upon a Qualifying Termination of Employment, payment will be made as soon as reasonably practicable following the date of the Qualifying Termination of Employment, less any Shares or amounts deducted for applicable withholding taxes.</w:t>
      </w:r>
    </w:p>
    <w:p>
      <w:pPr>
        <w:spacing w:after="0" w:line="149" w:lineRule="exact"/>
        <w:rPr>
          <w:sz w:val="20"/>
          <w:szCs w:val="20"/>
          <w:color w:val="auto"/>
        </w:rPr>
      </w:pPr>
    </w:p>
    <w:p>
      <w:pPr>
        <w:ind w:left="306" w:hanging="306"/>
        <w:spacing w:after="0"/>
        <w:tabs>
          <w:tab w:leader="none" w:pos="306"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means the occurrence of any of the following:</w:t>
      </w:r>
    </w:p>
    <w:p>
      <w:pPr>
        <w:spacing w:after="0" w:line="171" w:lineRule="exact"/>
        <w:rPr>
          <w:rFonts w:ascii="Times New Roman" w:cs="Times New Roman" w:eastAsia="Times New Roman" w:hAnsi="Times New Roman"/>
          <w:sz w:val="21"/>
          <w:szCs w:val="21"/>
          <w:color w:val="auto"/>
        </w:rPr>
      </w:pPr>
    </w:p>
    <w:p>
      <w:pPr>
        <w:jc w:val="both"/>
        <w:ind w:left="926" w:right="620" w:firstLine="4"/>
        <w:spacing w:after="0" w:line="211" w:lineRule="auto"/>
        <w:tabs>
          <w:tab w:leader="none" w:pos="1212"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act or omission by the Grantee which constitutes a material willful breach of the Grantee’s obligations to the Company or any of its affiliates or the Grantee’s continued and willful refusal to substantially perform satisfactorily any duties reasonably required of the Grantee, which results in material injury to the interest or business reputation of the Company or any of its affiliates and which breach, failure or refusal (if susceptible to cure) is not corrected (other than failure to correct by reason of the Grantee’s incapacity due to physical or mental illness) within thirty (30) days after written notification thereof to the Grantee by the Company;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act or failure to act on the Grantee’s part shall be deemed willful unless done or omitted to be done by the Grantee not in good faith and without reasonable belief that the Grantee’s action or omission was in the best interest of the Company or its affiliates;</w:t>
      </w:r>
    </w:p>
    <w:p>
      <w:pPr>
        <w:spacing w:after="0" w:line="176" w:lineRule="exact"/>
        <w:rPr>
          <w:rFonts w:ascii="Times New Roman" w:cs="Times New Roman" w:eastAsia="Times New Roman" w:hAnsi="Times New Roman"/>
          <w:sz w:val="21"/>
          <w:szCs w:val="21"/>
          <w:color w:val="auto"/>
        </w:rPr>
      </w:pPr>
    </w:p>
    <w:p>
      <w:pPr>
        <w:jc w:val="both"/>
        <w:ind w:left="926" w:right="620" w:firstLine="4"/>
        <w:spacing w:after="0" w:line="225" w:lineRule="auto"/>
        <w:tabs>
          <w:tab w:leader="none" w:pos="1233"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Grantee’s commission of any dishonest or fraudulent act, which has caused or may reasonably be expected to cause a material injury to the interest or business reputation of the Company or any of its affiliates;</w:t>
      </w:r>
    </w:p>
    <w:p>
      <w:pPr>
        <w:spacing w:after="0" w:line="169" w:lineRule="exact"/>
        <w:rPr>
          <w:rFonts w:ascii="Times New Roman" w:cs="Times New Roman" w:eastAsia="Times New Roman" w:hAnsi="Times New Roman"/>
          <w:sz w:val="21"/>
          <w:szCs w:val="21"/>
          <w:color w:val="auto"/>
        </w:rPr>
      </w:pPr>
    </w:p>
    <w:p>
      <w:pPr>
        <w:jc w:val="both"/>
        <w:ind w:left="926" w:right="620" w:firstLine="4"/>
        <w:spacing w:after="0" w:line="227" w:lineRule="auto"/>
        <w:tabs>
          <w:tab w:leader="none" w:pos="1307"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Grantee’s plea of guilty or </w:t>
      </w:r>
      <w:r>
        <w:rPr>
          <w:rFonts w:ascii="Times New Roman" w:cs="Times New Roman" w:eastAsia="Times New Roman" w:hAnsi="Times New Roman"/>
          <w:sz w:val="21"/>
          <w:szCs w:val="21"/>
          <w:i w:val="1"/>
          <w:iCs w:val="1"/>
          <w:color w:val="auto"/>
        </w:rPr>
        <w:t>nolo contendere</w:t>
      </w:r>
      <w:r>
        <w:rPr>
          <w:rFonts w:ascii="Times New Roman" w:cs="Times New Roman" w:eastAsia="Times New Roman" w:hAnsi="Times New Roman"/>
          <w:sz w:val="21"/>
          <w:szCs w:val="21"/>
          <w:color w:val="auto"/>
        </w:rPr>
        <w:t xml:space="preserve"> to or conviction of a felony under the laws of the United States or any state thereof or any other plea or confession of a similar crime in a jurisdiction in which the Company or any of its affiliates conducts business; or</w:t>
      </w:r>
    </w:p>
    <w:p>
      <w:pPr>
        <w:spacing w:after="0" w:line="171" w:lineRule="exact"/>
        <w:rPr>
          <w:rFonts w:ascii="Times New Roman" w:cs="Times New Roman" w:eastAsia="Times New Roman" w:hAnsi="Times New Roman"/>
          <w:sz w:val="21"/>
          <w:szCs w:val="21"/>
          <w:color w:val="auto"/>
        </w:rPr>
      </w:pPr>
    </w:p>
    <w:p>
      <w:pPr>
        <w:ind w:left="926" w:right="620" w:firstLine="4"/>
        <w:spacing w:after="0" w:line="236" w:lineRule="auto"/>
        <w:tabs>
          <w:tab w:leader="none" w:pos="1323"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Grantee’s commission of a fraudulent act or participation in misconduct which leads to a material restatement of the Company’s financial statements</w:t>
      </w:r>
    </w:p>
    <w:p>
      <w:pPr>
        <w:spacing w:after="0" w:line="171" w:lineRule="exact"/>
        <w:rPr>
          <w:rFonts w:ascii="Times New Roman" w:cs="Times New Roman" w:eastAsia="Times New Roman" w:hAnsi="Times New Roman"/>
          <w:sz w:val="21"/>
          <w:szCs w:val="21"/>
          <w:color w:val="auto"/>
        </w:rPr>
      </w:pPr>
    </w:p>
    <w:p>
      <w:pPr>
        <w:ind w:left="306" w:hanging="306"/>
        <w:spacing w:after="0" w:line="236" w:lineRule="auto"/>
        <w:tabs>
          <w:tab w:leader="none" w:pos="302"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w:t>
      </w:r>
      <w:r>
        <w:rPr>
          <w:rFonts w:ascii="Times New Roman" w:cs="Times New Roman" w:eastAsia="Times New Roman" w:hAnsi="Times New Roman"/>
          <w:sz w:val="21"/>
          <w:szCs w:val="21"/>
          <w:u w:val="single" w:color="auto"/>
          <w:color w:val="auto"/>
        </w:rPr>
        <w:t>Executive</w:t>
      </w:r>
      <w:r>
        <w:rPr>
          <w:rFonts w:ascii="Times New Roman" w:cs="Times New Roman" w:eastAsia="Times New Roman" w:hAnsi="Times New Roman"/>
          <w:sz w:val="21"/>
          <w:szCs w:val="21"/>
          <w:color w:val="auto"/>
        </w:rPr>
        <w:t>” means the Company’s Chief Executive Officer and any other employee with a title of Vice President or above.</w:t>
      </w:r>
    </w:p>
    <w:p>
      <w:pPr>
        <w:spacing w:after="0" w:line="171" w:lineRule="exact"/>
        <w:rPr>
          <w:rFonts w:ascii="Times New Roman" w:cs="Times New Roman" w:eastAsia="Times New Roman" w:hAnsi="Times New Roman"/>
          <w:sz w:val="21"/>
          <w:szCs w:val="21"/>
          <w:color w:val="auto"/>
        </w:rPr>
      </w:pPr>
    </w:p>
    <w:p>
      <w:pPr>
        <w:ind w:left="306" w:hanging="306"/>
        <w:spacing w:after="0"/>
        <w:tabs>
          <w:tab w:leader="none" w:pos="306"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“Good Reason” means the occurrence of any of the following:</w:t>
      </w:r>
    </w:p>
    <w:p>
      <w:pPr>
        <w:spacing w:after="0" w:line="171" w:lineRule="exact"/>
        <w:rPr>
          <w:rFonts w:ascii="Times New Roman" w:cs="Times New Roman" w:eastAsia="Times New Roman" w:hAnsi="Times New Roman"/>
          <w:sz w:val="21"/>
          <w:szCs w:val="21"/>
          <w:color w:val="auto"/>
        </w:rPr>
      </w:pPr>
    </w:p>
    <w:p>
      <w:pPr>
        <w:jc w:val="both"/>
        <w:ind w:left="926" w:right="620" w:firstLine="4"/>
        <w:spacing w:after="0" w:line="220" w:lineRule="auto"/>
        <w:tabs>
          <w:tab w:leader="none" w:pos="1239"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material diminution in the Grantee’s title, status, position, the scope of duties assigned, responsibilities or authority, including the assignment to the Grantee of any duties, responsibilities or authority in any manner adverse to the Grantee or inconsistent with the duties, responsibilities and authority assigned to the Grantee prior to a Change in Control;</w:t>
      </w:r>
    </w:p>
    <w:p>
      <w:pPr>
        <w:spacing w:after="0" w:line="174" w:lineRule="exact"/>
        <w:rPr>
          <w:rFonts w:ascii="Times New Roman" w:cs="Times New Roman" w:eastAsia="Times New Roman" w:hAnsi="Times New Roman"/>
          <w:sz w:val="21"/>
          <w:szCs w:val="21"/>
          <w:color w:val="auto"/>
        </w:rPr>
      </w:pPr>
    </w:p>
    <w:p>
      <w:pPr>
        <w:ind w:left="926" w:right="620" w:firstLine="4"/>
        <w:spacing w:after="0" w:line="236" w:lineRule="auto"/>
        <w:tabs>
          <w:tab w:leader="none" w:pos="1281"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reduction in the Grantee’s base salary, annual target cash bonus opportunity or long-term incentive award opportunity immediately prior to a Change in Control;</w:t>
      </w:r>
    </w:p>
    <w:p>
      <w:pPr>
        <w:spacing w:after="0" w:line="158" w:lineRule="exact"/>
        <w:rPr>
          <w:rFonts w:ascii="Times New Roman" w:cs="Times New Roman" w:eastAsia="Times New Roman" w:hAnsi="Times New Roman"/>
          <w:sz w:val="21"/>
          <w:szCs w:val="21"/>
          <w:color w:val="auto"/>
        </w:rPr>
      </w:pPr>
    </w:p>
    <w:p>
      <w:pPr>
        <w:ind w:left="1286" w:hanging="356"/>
        <w:spacing w:after="0"/>
        <w:tabs>
          <w:tab w:leader="none" w:pos="1286"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relocation of more than fifty (50) miles from the location of the Grantee’s principal job location or</w:t>
      </w:r>
    </w:p>
    <w:p>
      <w:pPr>
        <w:ind w:left="926"/>
        <w:spacing w:after="0"/>
        <w:rPr>
          <w:sz w:val="20"/>
          <w:szCs w:val="20"/>
          <w:color w:val="auto"/>
        </w:rPr>
      </w:pPr>
      <w:r>
        <w:rPr>
          <w:rFonts w:ascii="Times New Roman" w:cs="Times New Roman" w:eastAsia="Times New Roman" w:hAnsi="Times New Roman"/>
          <w:sz w:val="21"/>
          <w:szCs w:val="21"/>
          <w:color w:val="auto"/>
        </w:rPr>
        <w:t>office prior to a Change in Control; or</w:t>
      </w:r>
    </w:p>
    <w:p>
      <w:pPr>
        <w:spacing w:after="0" w:line="176" w:lineRule="exact"/>
        <w:rPr>
          <w:sz w:val="20"/>
          <w:szCs w:val="20"/>
          <w:color w:val="auto"/>
        </w:rPr>
      </w:pPr>
    </w:p>
    <w:p>
      <w:pPr>
        <w:jc w:val="both"/>
        <w:ind w:left="926" w:right="620" w:firstLine="4"/>
        <w:spacing w:after="0" w:line="225" w:lineRule="auto"/>
        <w:tabs>
          <w:tab w:leader="none" w:pos="128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action or inaction that constitutes a material breach by the Company or any of its affiliates of any employment or similar agreement pursuant to which the Grantee provides services to the Company or any of its affiliates;</w:t>
      </w:r>
    </w:p>
    <w:p>
      <w:pPr>
        <w:spacing w:after="0" w:line="170" w:lineRule="exact"/>
        <w:rPr>
          <w:sz w:val="20"/>
          <w:szCs w:val="20"/>
          <w:color w:val="auto"/>
        </w:rPr>
      </w:pPr>
    </w:p>
    <w:p>
      <w:pPr>
        <w:ind w:left="306"/>
        <w:spacing w:after="0" w:line="237" w:lineRule="auto"/>
        <w:rPr>
          <w:sz w:val="20"/>
          <w:szCs w:val="20"/>
          <w:color w:val="auto"/>
        </w:rPr>
      </w:pP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the Grantee provides the Company with a written notice of termination indicating the Grantee’s intent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terminate his or her employment for</w:t>
      </w:r>
    </w:p>
    <w:p>
      <w:pPr>
        <w:sectPr>
          <w:pgSz w:w="11900" w:h="16838" w:orient="portrait"/>
          <w:cols w:equalWidth="0" w:num="1">
            <w:col w:w="10306"/>
          </w:cols>
          <w:pgMar w:left="1254" w:top="544"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9"/>
          <w:szCs w:val="19"/>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240"/>
        <w:spacing w:after="0" w:line="220" w:lineRule="auto"/>
        <w:rPr>
          <w:sz w:val="20"/>
          <w:szCs w:val="20"/>
          <w:color w:val="auto"/>
        </w:rPr>
      </w:pPr>
      <w:r>
        <w:rPr>
          <w:rFonts w:ascii="Times New Roman" w:cs="Times New Roman" w:eastAsia="Times New Roman" w:hAnsi="Times New Roman"/>
          <w:sz w:val="21"/>
          <w:szCs w:val="21"/>
          <w:color w:val="auto"/>
        </w:rPr>
        <w:t>Good Reason within ninety (90) days after the Grantee becoming aware of any circumstances set forth above, that the Grantee provides the Company with at least thirty (30) days following receipt of such notice to remedy such circumstances, and, if the Company fails to remedy such circumstances during such thirty (30) day period, that the Grantee terminates his or her employment no later than sixty (60) days after the end of such thirty (30) day period.</w:t>
      </w:r>
    </w:p>
    <w:p>
      <w:pPr>
        <w:spacing w:after="0" w:line="381" w:lineRule="exact"/>
        <w:rPr>
          <w:sz w:val="20"/>
          <w:szCs w:val="20"/>
          <w:color w:val="auto"/>
        </w:rPr>
      </w:pPr>
    </w:p>
    <w:p>
      <w:pPr>
        <w:jc w:val="both"/>
        <w:ind w:left="320" w:hanging="317"/>
        <w:spacing w:after="0" w:line="214" w:lineRule="auto"/>
        <w:tabs>
          <w:tab w:leader="none" w:pos="317"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u w:val="single" w:color="auto"/>
          <w:color w:val="auto"/>
        </w:rPr>
        <w:t>Performance Measures</w:t>
      </w:r>
      <w:r>
        <w:rPr>
          <w:rFonts w:ascii="Times New Roman" w:cs="Times New Roman" w:eastAsia="Times New Roman" w:hAnsi="Times New Roman"/>
          <w:sz w:val="21"/>
          <w:szCs w:val="21"/>
          <w:color w:val="auto"/>
        </w:rPr>
        <w:t>” for this Award are: (i) 80% of the Target RSUs (the “</w:t>
      </w:r>
      <w:r>
        <w:rPr>
          <w:rFonts w:ascii="Times New Roman" w:cs="Times New Roman" w:eastAsia="Times New Roman" w:hAnsi="Times New Roman"/>
          <w:sz w:val="21"/>
          <w:szCs w:val="21"/>
          <w:u w:val="single" w:color="auto"/>
          <w:color w:val="auto"/>
        </w:rPr>
        <w:t>TSR Units</w:t>
      </w:r>
      <w:r>
        <w:rPr>
          <w:rFonts w:ascii="Times New Roman" w:cs="Times New Roman" w:eastAsia="Times New Roman" w:hAnsi="Times New Roman"/>
          <w:sz w:val="21"/>
          <w:szCs w:val="21"/>
          <w:color w:val="auto"/>
        </w:rPr>
        <w:t>”) shall be based on and subject to the achievement of the Company’s total shareholder return (“</w:t>
      </w:r>
      <w:r>
        <w:rPr>
          <w:rFonts w:ascii="Times New Roman" w:cs="Times New Roman" w:eastAsia="Times New Roman" w:hAnsi="Times New Roman"/>
          <w:sz w:val="21"/>
          <w:szCs w:val="21"/>
          <w:u w:val="single" w:color="auto"/>
          <w:color w:val="auto"/>
        </w:rPr>
        <w:t>TSR</w:t>
      </w:r>
      <w:r>
        <w:rPr>
          <w:rFonts w:ascii="Times New Roman" w:cs="Times New Roman" w:eastAsia="Times New Roman" w:hAnsi="Times New Roman"/>
          <w:sz w:val="21"/>
          <w:szCs w:val="21"/>
          <w:color w:val="auto"/>
        </w:rPr>
        <w:t>”) over the Performance Measurement Period compared to the TSR of the Company’s peer group, and (ii) 20% of the Target RSUs (the “</w:t>
      </w:r>
      <w:r>
        <w:rPr>
          <w:rFonts w:ascii="Times New Roman" w:cs="Times New Roman" w:eastAsia="Times New Roman" w:hAnsi="Times New Roman"/>
          <w:sz w:val="21"/>
          <w:szCs w:val="21"/>
          <w:u w:val="single" w:color="auto"/>
          <w:color w:val="auto"/>
        </w:rPr>
        <w:t>EBITDA/ACE Units</w:t>
      </w:r>
      <w:r>
        <w:rPr>
          <w:rFonts w:ascii="Times New Roman" w:cs="Times New Roman" w:eastAsia="Times New Roman" w:hAnsi="Times New Roman"/>
          <w:sz w:val="21"/>
          <w:szCs w:val="21"/>
          <w:color w:val="auto"/>
        </w:rPr>
        <w:t>”) shall be based on and subject to the achievement of the amount determined by dividing (a) the sum of the Company’s cumulative earnings before interest, tax, depreciation and amortization for each of the three years in the Performance Measurement Period (Cumulative EBITDA), by (b) the sum of the Company’s average capital employed for each of the three years in the Performance Measurement Period (ACE). The number of Target RSUs earned (the “</w:t>
      </w:r>
      <w:r>
        <w:rPr>
          <w:rFonts w:ascii="Times New Roman" w:cs="Times New Roman" w:eastAsia="Times New Roman" w:hAnsi="Times New Roman"/>
          <w:sz w:val="21"/>
          <w:szCs w:val="21"/>
          <w:u w:val="single" w:color="auto"/>
          <w:color w:val="auto"/>
        </w:rPr>
        <w:t>Payout Percentage</w:t>
      </w:r>
      <w:r>
        <w:rPr>
          <w:rFonts w:ascii="Times New Roman" w:cs="Times New Roman" w:eastAsia="Times New Roman" w:hAnsi="Times New Roman"/>
          <w:sz w:val="21"/>
          <w:szCs w:val="21"/>
          <w:color w:val="auto"/>
        </w:rPr>
        <w:t>”) is detailed in the tables below.</w:t>
      </w:r>
    </w:p>
    <w:p>
      <w:pPr>
        <w:spacing w:after="0" w:line="172" w:lineRule="exact"/>
        <w:rPr>
          <w:rFonts w:ascii="Arial" w:cs="Arial" w:eastAsia="Arial" w:hAnsi="Arial"/>
          <w:sz w:val="20"/>
          <w:szCs w:val="20"/>
          <w:color w:val="auto"/>
        </w:rPr>
      </w:pPr>
    </w:p>
    <w:p>
      <w:pPr>
        <w:ind w:left="940" w:hanging="316"/>
        <w:spacing w:after="0" w:line="236" w:lineRule="auto"/>
        <w:tabs>
          <w:tab w:leader="none" w:pos="937" w:val="left"/>
        </w:tabs>
        <w:numPr>
          <w:ilvl w:val="1"/>
          <w:numId w:val="30"/>
        </w:numPr>
        <w:rPr>
          <w:rFonts w:ascii="Arial" w:cs="Arial" w:eastAsia="Arial" w:hAnsi="Arial"/>
          <w:sz w:val="20"/>
          <w:szCs w:val="20"/>
          <w:color w:val="auto"/>
        </w:rPr>
      </w:pPr>
      <w:r>
        <w:rPr>
          <w:rFonts w:ascii="Times New Roman" w:cs="Times New Roman" w:eastAsia="Times New Roman" w:hAnsi="Times New Roman"/>
          <w:sz w:val="21"/>
          <w:szCs w:val="21"/>
          <w:u w:val="single" w:color="auto"/>
          <w:color w:val="auto"/>
        </w:rPr>
        <w:t>TSR Performance Measure</w:t>
      </w:r>
      <w:r>
        <w:rPr>
          <w:rFonts w:ascii="Times New Roman" w:cs="Times New Roman" w:eastAsia="Times New Roman" w:hAnsi="Times New Roman"/>
          <w:sz w:val="21"/>
          <w:szCs w:val="21"/>
          <w:color w:val="auto"/>
        </w:rPr>
        <w:t>. The number of TSR Units earned will be based on the Company’s percentile ranking in TSR over the Performance Measurement Period compared to that of the Company’s peer group, as set forth in the table below:</w:t>
      </w:r>
    </w:p>
    <w:p>
      <w:pPr>
        <w:spacing w:after="0" w:line="254" w:lineRule="exact"/>
        <w:rPr>
          <w:sz w:val="20"/>
          <w:szCs w:val="20"/>
          <w:color w:val="auto"/>
        </w:rPr>
      </w:pPr>
    </w:p>
    <w:tbl>
      <w:tblPr>
        <w:tblLayout w:type="fixed"/>
        <w:tblInd w:w="1110" w:type="dxa"/>
        <w:tblCellMar>
          <w:top w:w="0" w:type="dxa"/>
          <w:left w:w="0" w:type="dxa"/>
          <w:bottom w:w="0" w:type="dxa"/>
          <w:right w:w="0" w:type="dxa"/>
        </w:tblCellMar>
      </w:tblPr>
      <w:tr>
        <w:trPr>
          <w:trHeight w:val="271"/>
        </w:trPr>
        <w:tc>
          <w:tcPr>
            <w:tcW w:w="4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w w:val="98"/>
              </w:rPr>
              <w:t>TSR Percentile Rank</w:t>
            </w:r>
          </w:p>
        </w:tc>
        <w:tc>
          <w:tcPr>
            <w:tcW w:w="188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Payout Percentage</w:t>
            </w:r>
          </w:p>
        </w:tc>
      </w:tr>
      <w:tr>
        <w:trPr>
          <w:trHeight w:val="251"/>
        </w:trPr>
        <w:tc>
          <w:tcPr>
            <w:tcW w:w="4920" w:type="dxa"/>
            <w:vAlign w:val="bottom"/>
            <w:tcBorders>
              <w:left w:val="single" w:sz="8" w:color="auto"/>
              <w:bottom w:val="single" w:sz="8" w:color="auto"/>
              <w:right w:val="single" w:sz="8" w:color="auto"/>
            </w:tcBorders>
          </w:tcPr>
          <w:p>
            <w:pPr>
              <w:jc w:val="center"/>
              <w:spacing w:after="0" w:line="251" w:lineRule="exact"/>
              <w:rPr>
                <w:sz w:val="20"/>
                <w:szCs w:val="20"/>
                <w:color w:val="auto"/>
              </w:rPr>
            </w:pPr>
            <w:r>
              <w:rPr>
                <w:rFonts w:ascii="Times New Roman" w:cs="Times New Roman" w:eastAsia="Times New Roman" w:hAnsi="Times New Roman"/>
                <w:sz w:val="21"/>
                <w:szCs w:val="21"/>
                <w:color w:val="auto"/>
                <w:w w:val="96"/>
              </w:rPr>
              <w:t>Below 25</w:t>
            </w:r>
            <w:r>
              <w:rPr>
                <w:rFonts w:ascii="Times New Roman" w:cs="Times New Roman" w:eastAsia="Times New Roman" w:hAnsi="Times New Roman"/>
                <w:sz w:val="26"/>
                <w:szCs w:val="26"/>
                <w:color w:val="auto"/>
                <w:w w:val="96"/>
                <w:vertAlign w:val="superscript"/>
              </w:rPr>
              <w:t>th</w:t>
            </w:r>
            <w:r>
              <w:rPr>
                <w:rFonts w:ascii="Times New Roman" w:cs="Times New Roman" w:eastAsia="Times New Roman" w:hAnsi="Times New Roman"/>
                <w:sz w:val="21"/>
                <w:szCs w:val="21"/>
                <w:color w:val="auto"/>
                <w:w w:val="96"/>
              </w:rPr>
              <w:t xml:space="preserve"> Percentile</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2"/>
              </w:rPr>
              <w:t>0%</w:t>
            </w:r>
          </w:p>
        </w:tc>
      </w:tr>
      <w:tr>
        <w:trPr>
          <w:trHeight w:val="251"/>
        </w:trPr>
        <w:tc>
          <w:tcPr>
            <w:tcW w:w="4920" w:type="dxa"/>
            <w:vAlign w:val="bottom"/>
            <w:tcBorders>
              <w:left w:val="single" w:sz="8" w:color="auto"/>
              <w:bottom w:val="single" w:sz="8" w:color="auto"/>
              <w:right w:val="single" w:sz="8" w:color="auto"/>
            </w:tcBorders>
          </w:tcPr>
          <w:p>
            <w:pPr>
              <w:jc w:val="center"/>
              <w:spacing w:after="0" w:line="251" w:lineRule="exact"/>
              <w:rPr>
                <w:sz w:val="20"/>
                <w:szCs w:val="20"/>
                <w:color w:val="auto"/>
              </w:rPr>
            </w:pPr>
            <w:r>
              <w:rPr>
                <w:rFonts w:ascii="Times New Roman" w:cs="Times New Roman" w:eastAsia="Times New Roman" w:hAnsi="Times New Roman"/>
                <w:sz w:val="21"/>
                <w:szCs w:val="21"/>
                <w:color w:val="auto"/>
                <w:w w:val="96"/>
              </w:rPr>
              <w:t>25</w:t>
            </w:r>
            <w:r>
              <w:rPr>
                <w:rFonts w:ascii="Times New Roman" w:cs="Times New Roman" w:eastAsia="Times New Roman" w:hAnsi="Times New Roman"/>
                <w:sz w:val="26"/>
                <w:szCs w:val="26"/>
                <w:color w:val="auto"/>
                <w:w w:val="96"/>
                <w:vertAlign w:val="superscript"/>
              </w:rPr>
              <w:t>th</w:t>
            </w:r>
            <w:r>
              <w:rPr>
                <w:rFonts w:ascii="Times New Roman" w:cs="Times New Roman" w:eastAsia="Times New Roman" w:hAnsi="Times New Roman"/>
                <w:sz w:val="21"/>
                <w:szCs w:val="21"/>
                <w:color w:val="auto"/>
                <w:w w:val="96"/>
              </w:rPr>
              <w:t xml:space="preserve"> Percentile (Threshold)</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8"/>
              </w:rPr>
              <w:t>50%</w:t>
            </w:r>
          </w:p>
        </w:tc>
      </w:tr>
      <w:tr>
        <w:trPr>
          <w:trHeight w:val="251"/>
        </w:trPr>
        <w:tc>
          <w:tcPr>
            <w:tcW w:w="4920" w:type="dxa"/>
            <w:vAlign w:val="bottom"/>
            <w:tcBorders>
              <w:left w:val="single" w:sz="8" w:color="auto"/>
              <w:bottom w:val="single" w:sz="8" w:color="auto"/>
              <w:right w:val="single" w:sz="8" w:color="auto"/>
            </w:tcBorders>
          </w:tcPr>
          <w:p>
            <w:pPr>
              <w:jc w:val="center"/>
              <w:spacing w:after="0" w:line="251" w:lineRule="exact"/>
              <w:rPr>
                <w:sz w:val="20"/>
                <w:szCs w:val="20"/>
                <w:color w:val="auto"/>
              </w:rPr>
            </w:pPr>
            <w:r>
              <w:rPr>
                <w:rFonts w:ascii="Times New Roman" w:cs="Times New Roman" w:eastAsia="Times New Roman" w:hAnsi="Times New Roman"/>
                <w:sz w:val="21"/>
                <w:szCs w:val="21"/>
                <w:color w:val="auto"/>
                <w:w w:val="96"/>
              </w:rPr>
              <w:t>50</w:t>
            </w:r>
            <w:r>
              <w:rPr>
                <w:rFonts w:ascii="Times New Roman" w:cs="Times New Roman" w:eastAsia="Times New Roman" w:hAnsi="Times New Roman"/>
                <w:sz w:val="26"/>
                <w:szCs w:val="26"/>
                <w:color w:val="auto"/>
                <w:w w:val="96"/>
                <w:vertAlign w:val="superscript"/>
              </w:rPr>
              <w:t>th</w:t>
            </w:r>
            <w:r>
              <w:rPr>
                <w:rFonts w:ascii="Times New Roman" w:cs="Times New Roman" w:eastAsia="Times New Roman" w:hAnsi="Times New Roman"/>
                <w:sz w:val="21"/>
                <w:szCs w:val="21"/>
                <w:color w:val="auto"/>
                <w:w w:val="96"/>
              </w:rPr>
              <w:t xml:space="preserve"> Percentile (Target)</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100%</w:t>
            </w:r>
          </w:p>
        </w:tc>
      </w:tr>
      <w:tr>
        <w:trPr>
          <w:trHeight w:val="251"/>
        </w:trPr>
        <w:tc>
          <w:tcPr>
            <w:tcW w:w="4920" w:type="dxa"/>
            <w:vAlign w:val="bottom"/>
            <w:tcBorders>
              <w:left w:val="single" w:sz="8" w:color="auto"/>
              <w:bottom w:val="single" w:sz="8" w:color="auto"/>
              <w:right w:val="single" w:sz="8" w:color="auto"/>
            </w:tcBorders>
          </w:tcPr>
          <w:p>
            <w:pPr>
              <w:jc w:val="center"/>
              <w:spacing w:after="0" w:line="251" w:lineRule="exact"/>
              <w:rPr>
                <w:sz w:val="20"/>
                <w:szCs w:val="20"/>
                <w:color w:val="auto"/>
              </w:rPr>
            </w:pPr>
            <w:r>
              <w:rPr>
                <w:rFonts w:ascii="Times New Roman" w:cs="Times New Roman" w:eastAsia="Times New Roman" w:hAnsi="Times New Roman"/>
                <w:sz w:val="21"/>
                <w:szCs w:val="21"/>
                <w:color w:val="auto"/>
                <w:w w:val="97"/>
              </w:rPr>
              <w:t>At or Above 90</w:t>
            </w:r>
            <w:r>
              <w:rPr>
                <w:rFonts w:ascii="Times New Roman" w:cs="Times New Roman" w:eastAsia="Times New Roman" w:hAnsi="Times New Roman"/>
                <w:sz w:val="26"/>
                <w:szCs w:val="26"/>
                <w:color w:val="auto"/>
                <w:w w:val="97"/>
                <w:vertAlign w:val="superscript"/>
              </w:rPr>
              <w:t>th</w:t>
            </w:r>
            <w:r>
              <w:rPr>
                <w:rFonts w:ascii="Times New Roman" w:cs="Times New Roman" w:eastAsia="Times New Roman" w:hAnsi="Times New Roman"/>
                <w:sz w:val="21"/>
                <w:szCs w:val="21"/>
                <w:color w:val="auto"/>
                <w:w w:val="97"/>
              </w:rPr>
              <w:t xml:space="preserve"> Percentile (Maximum)</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200%</w:t>
            </w:r>
          </w:p>
        </w:tc>
      </w:tr>
    </w:tbl>
    <w:p>
      <w:pPr>
        <w:spacing w:after="0" w:line="285" w:lineRule="exact"/>
        <w:rPr>
          <w:sz w:val="20"/>
          <w:szCs w:val="20"/>
          <w:color w:val="auto"/>
        </w:rPr>
      </w:pPr>
    </w:p>
    <w:p>
      <w:pPr>
        <w:jc w:val="both"/>
        <w:ind w:left="940"/>
        <w:spacing w:after="0" w:line="225" w:lineRule="auto"/>
        <w:rPr>
          <w:sz w:val="20"/>
          <w:szCs w:val="20"/>
          <w:color w:val="auto"/>
        </w:rPr>
      </w:pPr>
      <w:r>
        <w:rPr>
          <w:rFonts w:ascii="Times New Roman" w:cs="Times New Roman" w:eastAsia="Times New Roman" w:hAnsi="Times New Roman"/>
          <w:sz w:val="21"/>
          <w:szCs w:val="21"/>
          <w:color w:val="auto"/>
        </w:rPr>
        <w:t>The Payout Percentage in respect of the TSR Units will be interpolated for points between the Threshold and Maximum performance levels. Notwithstanding the foregoing, if the Company’s TSR over the Performance Measurement Period is less than 0%, the Payout Percentage shall not exceed 100%.</w:t>
      </w:r>
    </w:p>
    <w:p>
      <w:pPr>
        <w:spacing w:after="0" w:line="174" w:lineRule="exact"/>
        <w:rPr>
          <w:sz w:val="20"/>
          <w:szCs w:val="20"/>
          <w:color w:val="auto"/>
        </w:rPr>
      </w:pPr>
    </w:p>
    <w:p>
      <w:pPr>
        <w:jc w:val="both"/>
        <w:ind w:left="940" w:hanging="316"/>
        <w:spacing w:after="0" w:line="225" w:lineRule="auto"/>
        <w:tabs>
          <w:tab w:leader="none" w:pos="94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EBITDA/ACE Performance Measure</w:t>
      </w:r>
      <w:r>
        <w:rPr>
          <w:rFonts w:ascii="Times New Roman" w:cs="Times New Roman" w:eastAsia="Times New Roman" w:hAnsi="Times New Roman"/>
          <w:sz w:val="21"/>
          <w:szCs w:val="21"/>
          <w:color w:val="auto"/>
        </w:rPr>
        <w:t>. The number of EBITDA/ACE Units earned will be based on the Company’s achievement of the amount determined by dividing the Cumulative EBITDA by the ACE, as defined above, for the Performance Measurement Period, as set forth in the table below:</w:t>
      </w:r>
    </w:p>
    <w:p>
      <w:pPr>
        <w:spacing w:after="0" w:line="231" w:lineRule="exact"/>
        <w:rPr>
          <w:sz w:val="20"/>
          <w:szCs w:val="20"/>
          <w:color w:val="auto"/>
        </w:rPr>
      </w:pPr>
    </w:p>
    <w:tbl>
      <w:tblPr>
        <w:tblLayout w:type="fixed"/>
        <w:tblInd w:w="1110" w:type="dxa"/>
        <w:tblCellMar>
          <w:top w:w="0" w:type="dxa"/>
          <w:left w:w="0" w:type="dxa"/>
          <w:bottom w:w="0" w:type="dxa"/>
          <w:right w:w="0" w:type="dxa"/>
        </w:tblCellMar>
      </w:tblPr>
      <w:tr>
        <w:trPr>
          <w:trHeight w:val="271"/>
        </w:trPr>
        <w:tc>
          <w:tcPr>
            <w:tcW w:w="43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w w:val="98"/>
              </w:rPr>
              <w:t>EBITDA/ACE Performance Level</w:t>
            </w:r>
          </w:p>
        </w:tc>
        <w:tc>
          <w:tcPr>
            <w:tcW w:w="2360" w:type="dxa"/>
            <w:vAlign w:val="bottom"/>
            <w:tcBorders>
              <w:top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21"/>
                <w:szCs w:val="21"/>
                <w:b w:val="1"/>
                <w:bCs w:val="1"/>
                <w:color w:val="auto"/>
              </w:rPr>
              <w:t>Payout Percentage</w:t>
            </w:r>
          </w:p>
        </w:tc>
      </w:tr>
      <w:tr>
        <w:trPr>
          <w:trHeight w:val="251"/>
        </w:trPr>
        <w:tc>
          <w:tcPr>
            <w:tcW w:w="43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9"/>
              </w:rPr>
              <w:t>Below [</w:t>
            </w:r>
            <w:r>
              <w:rPr>
                <w:rFonts w:ascii="Times New Roman" w:cs="Times New Roman" w:eastAsia="Times New Roman" w:hAnsi="Times New Roman"/>
                <w:sz w:val="21"/>
                <w:szCs w:val="21"/>
                <w:b w:val="1"/>
                <w:bCs w:val="1"/>
                <w:color w:val="auto"/>
                <w:w w:val="99"/>
              </w:rPr>
              <w:t>•</w:t>
            </w:r>
            <w:r>
              <w:rPr>
                <w:rFonts w:ascii="Times New Roman" w:cs="Times New Roman" w:eastAsia="Times New Roman" w:hAnsi="Times New Roman"/>
                <w:sz w:val="21"/>
                <w:szCs w:val="21"/>
                <w:color w:val="auto"/>
                <w:w w:val="99"/>
              </w:rPr>
              <w:t>]%</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2"/>
              </w:rPr>
              <w:t>0%</w:t>
            </w:r>
          </w:p>
        </w:tc>
      </w:tr>
      <w:tr>
        <w:trPr>
          <w:trHeight w:val="251"/>
        </w:trPr>
        <w:tc>
          <w:tcPr>
            <w:tcW w:w="43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9"/>
              </w:rPr>
              <w:t>[•]% (Threshold)</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8"/>
              </w:rPr>
              <w:t>50%</w:t>
            </w:r>
          </w:p>
        </w:tc>
      </w:tr>
      <w:tr>
        <w:trPr>
          <w:trHeight w:val="251"/>
        </w:trPr>
        <w:tc>
          <w:tcPr>
            <w:tcW w:w="43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 (Target)</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100%</w:t>
            </w:r>
          </w:p>
        </w:tc>
      </w:tr>
      <w:tr>
        <w:trPr>
          <w:trHeight w:val="251"/>
        </w:trPr>
        <w:tc>
          <w:tcPr>
            <w:tcW w:w="43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8"/>
              </w:rPr>
              <w:t>[•]% or Above (Maximum)</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200%</w:t>
            </w:r>
          </w:p>
        </w:tc>
      </w:tr>
    </w:tbl>
    <w:p>
      <w:pPr>
        <w:spacing w:after="0" w:line="272" w:lineRule="exact"/>
        <w:rPr>
          <w:sz w:val="20"/>
          <w:szCs w:val="20"/>
          <w:color w:val="auto"/>
        </w:rPr>
      </w:pPr>
    </w:p>
    <w:p>
      <w:pPr>
        <w:ind w:left="940"/>
        <w:spacing w:after="0" w:line="236" w:lineRule="auto"/>
        <w:rPr>
          <w:sz w:val="20"/>
          <w:szCs w:val="20"/>
          <w:color w:val="auto"/>
        </w:rPr>
      </w:pPr>
      <w:r>
        <w:rPr>
          <w:rFonts w:ascii="Times New Roman" w:cs="Times New Roman" w:eastAsia="Times New Roman" w:hAnsi="Times New Roman"/>
          <w:sz w:val="21"/>
          <w:szCs w:val="21"/>
          <w:color w:val="auto"/>
        </w:rPr>
        <w:t>The Payout Percentage in respect of the EBITDA/ACE Units will be interpolated for points between the Threshold and Maximum performance levels.</w:t>
      </w:r>
    </w:p>
    <w:p>
      <w:pPr>
        <w:spacing w:after="0" w:line="171" w:lineRule="exact"/>
        <w:rPr>
          <w:sz w:val="20"/>
          <w:szCs w:val="20"/>
          <w:color w:val="auto"/>
        </w:rPr>
      </w:pPr>
    </w:p>
    <w:p>
      <w:pPr>
        <w:ind w:left="940" w:hanging="316"/>
        <w:spacing w:after="0" w:line="239" w:lineRule="auto"/>
        <w:tabs>
          <w:tab w:leader="none" w:pos="928" w:val="left"/>
        </w:tabs>
        <w:numPr>
          <w:ilvl w:val="2"/>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Performance Measurement Period</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u w:val="single" w:color="auto"/>
          <w:color w:val="auto"/>
        </w:rPr>
        <w:t>Performance Measurement Period</w:t>
      </w:r>
      <w:r>
        <w:rPr>
          <w:rFonts w:ascii="Times New Roman" w:cs="Times New Roman" w:eastAsia="Times New Roman" w:hAnsi="Times New Roman"/>
          <w:sz w:val="21"/>
          <w:szCs w:val="21"/>
          <w:color w:val="auto"/>
        </w:rPr>
        <w:t>” under this Award is January 1, 202</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Times New Roman" w:cs="Times New Roman" w:eastAsia="Times New Roman" w:hAnsi="Times New Roman"/>
          <w:sz w:val="21"/>
          <w:szCs w:val="21"/>
          <w:color w:val="auto"/>
        </w:rPr>
        <w:t xml:space="preserve"> through December 31, 202</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Times New Roman" w:cs="Times New Roman" w:eastAsia="Times New Roman" w:hAnsi="Times New Roman"/>
          <w:sz w:val="21"/>
          <w:szCs w:val="21"/>
          <w:color w:val="auto"/>
        </w:rPr>
        <w:t>.</w:t>
      </w:r>
    </w:p>
    <w:p>
      <w:pPr>
        <w:spacing w:after="0" w:line="165" w:lineRule="exact"/>
        <w:rPr>
          <w:rFonts w:ascii="Times New Roman" w:cs="Times New Roman" w:eastAsia="Times New Roman" w:hAnsi="Times New Roman"/>
          <w:sz w:val="21"/>
          <w:szCs w:val="21"/>
          <w:color w:val="auto"/>
        </w:rPr>
      </w:pPr>
    </w:p>
    <w:p>
      <w:pPr>
        <w:jc w:val="both"/>
        <w:ind w:left="320" w:hanging="317"/>
        <w:spacing w:after="0" w:line="225" w:lineRule="auto"/>
        <w:tabs>
          <w:tab w:leader="none" w:pos="317"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1"/>
          <w:szCs w:val="21"/>
          <w:color w:val="auto"/>
        </w:rPr>
        <w:t>Provided that the Performance Measures as set forth in Section 3 above are satisfied and Shares are to be paid to the Grantee without restriction, such Shares paid will be the net Shares earned pursuant to Section 3 above less the number of Shares which must be withheld to satisfy the tax withholding requirements applicable to such payment of Shares.</w:t>
      </w:r>
    </w:p>
    <w:p>
      <w:pPr>
        <w:spacing w:after="0" w:line="173" w:lineRule="exact"/>
        <w:rPr>
          <w:rFonts w:ascii="Arial" w:cs="Arial" w:eastAsia="Arial" w:hAnsi="Arial"/>
          <w:sz w:val="20"/>
          <w:szCs w:val="20"/>
          <w:color w:val="auto"/>
        </w:rPr>
      </w:pPr>
    </w:p>
    <w:p>
      <w:pPr>
        <w:jc w:val="both"/>
        <w:ind w:left="320" w:hanging="317"/>
        <w:spacing w:after="0" w:line="223" w:lineRule="auto"/>
        <w:tabs>
          <w:tab w:leader="none" w:pos="3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in no event will Grantee be entitled to receive Shares pursuant to this Award that would result in a violation of the individual limits imposed by Section 5(c) of the Plan. In the event the number of Shares that become issuable pursuant to this Award (determined based on the achievement of the Performance Measures in Section</w:t>
      </w:r>
    </w:p>
    <w:p>
      <w:pPr>
        <w:spacing w:after="0" w:line="1" w:lineRule="exact"/>
        <w:rPr>
          <w:rFonts w:ascii="Times New Roman" w:cs="Times New Roman" w:eastAsia="Times New Roman" w:hAnsi="Times New Roman"/>
          <w:sz w:val="20"/>
          <w:szCs w:val="20"/>
          <w:color w:val="auto"/>
        </w:rPr>
      </w:pPr>
    </w:p>
    <w:p>
      <w:pPr>
        <w:jc w:val="both"/>
        <w:ind w:left="320" w:hanging="7"/>
        <w:spacing w:after="0" w:line="218" w:lineRule="auto"/>
        <w:tabs>
          <w:tab w:leader="none" w:pos="566"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would otherwise violate the individual limits set forth in Section 5(c) of the Plan, the Committee shall reduce the number of Shares issuable to the Grantee under this Award such that no such violation will occur, and the number of Shares subject to the portion of the Award that is so reduced will be deemed automatically forfeited and canceled for no consideration</w:t>
      </w:r>
    </w:p>
    <w:p>
      <w:pPr>
        <w:sectPr>
          <w:pgSz w:w="11900" w:h="16838" w:orient="portrait"/>
          <w:cols w:equalWidth="0" w:num="1">
            <w:col w:w="11240"/>
          </w:cols>
          <w:pgMar w:left="320" w:top="545"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9"/>
          <w:szCs w:val="19"/>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20" w:hanging="317"/>
        <w:spacing w:after="0" w:line="236" w:lineRule="auto"/>
        <w:tabs>
          <w:tab w:leader="none" w:pos="317"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1"/>
          <w:szCs w:val="21"/>
          <w:color w:val="auto"/>
        </w:rPr>
        <w:t>In the event of any relevant change in the capitalization of the Company prior to the issuance of Shares underlying the Target RSUs, the number of Target RSUs may be equitably adjusted pursuant to the Plan to reflect that change.</w:t>
      </w:r>
    </w:p>
    <w:p>
      <w:pPr>
        <w:spacing w:after="0" w:line="171" w:lineRule="exact"/>
        <w:rPr>
          <w:rFonts w:ascii="Arial" w:cs="Arial" w:eastAsia="Arial" w:hAnsi="Arial"/>
          <w:sz w:val="20"/>
          <w:szCs w:val="20"/>
          <w:color w:val="auto"/>
        </w:rPr>
      </w:pPr>
    </w:p>
    <w:p>
      <w:pPr>
        <w:ind w:left="320" w:hanging="317"/>
        <w:spacing w:after="0" w:line="236" w:lineRule="auto"/>
        <w:tabs>
          <w:tab w:leader="none" w:pos="317"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1"/>
          <w:szCs w:val="21"/>
          <w:color w:val="auto"/>
        </w:rPr>
        <w:t>This Award is not assignable except as provided under the Plan in the case of death and is not subject in whole or in part to attachment, execution, or levy of any kind.</w:t>
      </w:r>
    </w:p>
    <w:p>
      <w:pPr>
        <w:spacing w:after="0" w:line="171" w:lineRule="exact"/>
        <w:rPr>
          <w:rFonts w:ascii="Arial" w:cs="Arial" w:eastAsia="Arial" w:hAnsi="Arial"/>
          <w:sz w:val="20"/>
          <w:szCs w:val="20"/>
          <w:color w:val="auto"/>
        </w:rPr>
      </w:pPr>
    </w:p>
    <w:p>
      <w:pPr>
        <w:ind w:left="320" w:hanging="317"/>
        <w:spacing w:after="0" w:line="236" w:lineRule="auto"/>
        <w:tabs>
          <w:tab w:leader="none" w:pos="32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Grantee shall have no voting rights with respect to Shares underlying the Target RSUs unless and until such Shares are reflected as issued and outstanding shares on the Company’s stock ledger.</w:t>
      </w:r>
    </w:p>
    <w:p>
      <w:pPr>
        <w:spacing w:after="0" w:line="171" w:lineRule="exact"/>
        <w:rPr>
          <w:rFonts w:ascii="Times New Roman" w:cs="Times New Roman" w:eastAsia="Times New Roman" w:hAnsi="Times New Roman"/>
          <w:sz w:val="21"/>
          <w:szCs w:val="21"/>
          <w:color w:val="auto"/>
        </w:rPr>
      </w:pPr>
    </w:p>
    <w:p>
      <w:pPr>
        <w:jc w:val="both"/>
        <w:ind w:left="320" w:hanging="317"/>
        <w:spacing w:after="0" w:line="220" w:lineRule="auto"/>
        <w:tabs>
          <w:tab w:leader="none" w:pos="32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Grantee is eligible to receive a payment equivalent to the dividends paid on shares of Common Stock equal in number to the Target RSUs granted hereunder. These dividend equivalents will be accrued over the performance period and included in any Shares issued at the end of the period. In the event that Shares are not earned, the accompanying accrued dividend equivalents will be forfeited.</w:t>
      </w:r>
    </w:p>
    <w:p>
      <w:pPr>
        <w:spacing w:after="0" w:line="174" w:lineRule="exact"/>
        <w:rPr>
          <w:rFonts w:ascii="Times New Roman" w:cs="Times New Roman" w:eastAsia="Times New Roman" w:hAnsi="Times New Roman"/>
          <w:sz w:val="21"/>
          <w:szCs w:val="21"/>
          <w:color w:val="auto"/>
        </w:rPr>
      </w:pPr>
    </w:p>
    <w:p>
      <w:pPr>
        <w:jc w:val="both"/>
        <w:ind w:left="320" w:hanging="317"/>
        <w:spacing w:after="0" w:line="221" w:lineRule="auto"/>
        <w:tabs>
          <w:tab w:leader="none" w:pos="3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Grantee hereby acknowledges and agrees that the Grantee and the Award are subject to the terms and conditions of Section 21 (Clawback) of the Plan. Without limiting the foregoing sentence, by accepting this Award and the benefits provided hereunder, the Grantee hereby acknowledges and agrees that the Grantee, this Award, any other award granted to the Grantee under the Plan and any other incentive-based compensation (including any equity-based awards or cash-based awards) provided to the Grantee shall be subject to the Murphy Oil Corporation Compensation Recoupment Policy (as may be amended from time to time, the “</w:t>
      </w:r>
      <w:r>
        <w:rPr>
          <w:rFonts w:ascii="Times New Roman" w:cs="Times New Roman" w:eastAsia="Times New Roman" w:hAnsi="Times New Roman"/>
          <w:sz w:val="20"/>
          <w:szCs w:val="20"/>
          <w:u w:val="single" w:color="auto"/>
          <w:color w:val="auto"/>
        </w:rPr>
        <w:t>Recoupment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 or any other clawback or recoupment arrangements or policies the Company has in place from time to time, in each case, subject to the terms and conditions thereof. Accordingly, the Grantee agrees and acknowledges that this Award, any other award granted to the Grantee under the Plan and any other incentive-based compensation provided to the Grantee (as well as any other payments or benefits derived from such amounts, including any Shares issued or cash received upon vesting, exercise or settlement of any such awards or sale of Shares underlying such awards), which may include awards and other incentive-based compensation provided to the Grantee prior to the date of this Agreement, may be subject to forfeiture and/or recoupment in accordance with the terms of the Recoupment Policy or such other applicable clawback or recoupment arrangements or policies.</w:t>
      </w:r>
    </w:p>
    <w:p>
      <w:pPr>
        <w:spacing w:after="0" w:line="172" w:lineRule="exact"/>
        <w:rPr>
          <w:rFonts w:ascii="Times New Roman" w:cs="Times New Roman" w:eastAsia="Times New Roman" w:hAnsi="Times New Roman"/>
          <w:sz w:val="20"/>
          <w:szCs w:val="20"/>
          <w:color w:val="auto"/>
        </w:rPr>
      </w:pPr>
    </w:p>
    <w:p>
      <w:pPr>
        <w:jc w:val="both"/>
        <w:ind w:left="320" w:hanging="317"/>
        <w:spacing w:after="0" w:line="237" w:lineRule="auto"/>
        <w:tabs>
          <w:tab w:leader="none" w:pos="312"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this Agreement and the Brochure are administered by the Committee. In the event of any conflict between the terms and provisions of the Plan, this Agreement and/or the Brochure, the terms and provisions of the Plan shall control. The Committee has the full authority and discretion to interpret and administer the Plan consistent with the terms and provisions of the Plan.</w:t>
      </w:r>
    </w:p>
    <w:p>
      <w:pPr>
        <w:spacing w:after="0" w:line="200" w:lineRule="exact"/>
        <w:rPr>
          <w:sz w:val="20"/>
          <w:szCs w:val="20"/>
          <w:color w:val="auto"/>
        </w:rPr>
      </w:pPr>
    </w:p>
    <w:p>
      <w:pPr>
        <w:spacing w:after="0" w:line="209"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9"/>
          <w:szCs w:val="19"/>
          <w:color w:val="auto"/>
        </w:rPr>
        <w:t>Attest:</w:t>
      </w:r>
      <w:r>
        <w:rPr>
          <w:sz w:val="20"/>
          <w:szCs w:val="20"/>
          <w:color w:val="auto"/>
        </w:rPr>
        <w:tab/>
      </w:r>
      <w:r>
        <w:rPr>
          <w:rFonts w:ascii="Times New Roman" w:cs="Times New Roman" w:eastAsia="Times New Roman" w:hAnsi="Times New Roman"/>
          <w:sz w:val="19"/>
          <w:szCs w:val="19"/>
          <w:color w:val="auto"/>
        </w:rPr>
        <w:t>Murphy Oil Corporation</w:t>
      </w:r>
    </w:p>
    <w:p>
      <w:pPr>
        <w:spacing w:after="0" w:line="200" w:lineRule="exact"/>
        <w:rPr>
          <w:sz w:val="20"/>
          <w:szCs w:val="20"/>
          <w:color w:val="auto"/>
        </w:rPr>
      </w:pPr>
    </w:p>
    <w:p>
      <w:pPr>
        <w:spacing w:after="0" w:line="383" w:lineRule="exact"/>
        <w:rPr>
          <w:sz w:val="20"/>
          <w:szCs w:val="20"/>
          <w:color w:val="auto"/>
        </w:rPr>
      </w:pPr>
    </w:p>
    <w:p>
      <w:pPr>
        <w:spacing w:after="0"/>
        <w:tabs>
          <w:tab w:leader="none" w:pos="3920" w:val="left"/>
        </w:tabs>
        <w:rPr>
          <w:sz w:val="20"/>
          <w:szCs w:val="20"/>
          <w:color w:val="auto"/>
        </w:rPr>
      </w:pPr>
      <w:r>
        <w:rPr>
          <w:rFonts w:ascii="Times New Roman" w:cs="Times New Roman" w:eastAsia="Times New Roman" w:hAnsi="Times New Roman"/>
          <w:sz w:val="19"/>
          <w:szCs w:val="19"/>
          <w:color w:val="auto"/>
        </w:rPr>
        <w:t>_______________________________________</w:t>
        <w:tab/>
        <w:t>By _____________________________________</w:t>
      </w:r>
    </w:p>
    <w:p>
      <w:pPr>
        <w:sectPr>
          <w:pgSz w:w="11900" w:h="16838" w:orient="portrait"/>
          <w:cols w:equalWidth="0" w:num="1">
            <w:col w:w="11240"/>
          </w:cols>
          <w:pgMar w:left="320" w:top="545"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9"/>
          <w:szCs w:val="19"/>
          <w:b w:val="1"/>
          <w:bCs w:val="1"/>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MURPHY OIL CORPORATION</w:t>
      </w:r>
    </w:p>
    <w:p>
      <w:pPr>
        <w:jc w:val="center"/>
        <w:spacing w:after="0"/>
        <w:rPr>
          <w:sz w:val="20"/>
          <w:szCs w:val="20"/>
          <w:color w:val="auto"/>
        </w:rPr>
      </w:pPr>
      <w:r>
        <w:rPr>
          <w:rFonts w:ascii="Times New Roman" w:cs="Times New Roman" w:eastAsia="Times New Roman" w:hAnsi="Times New Roman"/>
          <w:sz w:val="21"/>
          <w:szCs w:val="21"/>
          <w:b w:val="1"/>
          <w:bCs w:val="1"/>
          <w:color w:val="auto"/>
        </w:rPr>
        <w:t>TIME-BASED RESTRICTED STOCK UNIT GRANT AGREEMENT</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461"/>
        </w:trPr>
        <w:tc>
          <w:tcPr>
            <w:tcW w:w="560" w:type="dxa"/>
            <w:vAlign w:val="bottom"/>
            <w:tcBorders>
              <w:top w:val="single" w:sz="8" w:color="auto"/>
              <w:left w:val="single" w:sz="8" w:color="auto"/>
            </w:tcBorders>
          </w:tcPr>
          <w:p>
            <w:pPr>
              <w:spacing w:after="0"/>
              <w:rPr>
                <w:sz w:val="24"/>
                <w:szCs w:val="24"/>
                <w:color w:val="auto"/>
              </w:rPr>
            </w:pPr>
          </w:p>
        </w:tc>
        <w:tc>
          <w:tcPr>
            <w:tcW w:w="2480" w:type="dxa"/>
            <w:vAlign w:val="bottom"/>
            <w:tcBorders>
              <w:top w:val="single" w:sz="8" w:color="auto"/>
              <w:right w:val="single" w:sz="8" w:color="auto"/>
            </w:tcBorders>
            <w:gridSpan w:val="2"/>
          </w:tcPr>
          <w:p>
            <w:pPr>
              <w:jc w:val="center"/>
              <w:ind w:right="560"/>
              <w:spacing w:after="0"/>
              <w:rPr>
                <w:sz w:val="20"/>
                <w:szCs w:val="20"/>
                <w:color w:val="auto"/>
              </w:rPr>
            </w:pPr>
            <w:r>
              <w:rPr>
                <w:rFonts w:ascii="Times New Roman" w:cs="Times New Roman" w:eastAsia="Times New Roman" w:hAnsi="Times New Roman"/>
                <w:sz w:val="21"/>
                <w:szCs w:val="21"/>
                <w:color w:val="auto"/>
                <w:w w:val="97"/>
              </w:rPr>
              <w:t>Time-Based</w:t>
            </w:r>
          </w:p>
        </w:tc>
        <w:tc>
          <w:tcPr>
            <w:tcW w:w="100" w:type="dxa"/>
            <w:vAlign w:val="bottom"/>
            <w:tcBorders>
              <w:top w:val="single" w:sz="8" w:color="auto"/>
            </w:tcBorders>
          </w:tcPr>
          <w:p>
            <w:pPr>
              <w:spacing w:after="0"/>
              <w:rPr>
                <w:sz w:val="24"/>
                <w:szCs w:val="24"/>
                <w:color w:val="auto"/>
              </w:rPr>
            </w:pPr>
          </w:p>
        </w:tc>
        <w:tc>
          <w:tcPr>
            <w:tcW w:w="4740" w:type="dxa"/>
            <w:vAlign w:val="bottom"/>
            <w:tcBorders>
              <w:top w:val="single" w:sz="8" w:color="auto"/>
              <w:right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21"/>
                <w:szCs w:val="21"/>
                <w:color w:val="auto"/>
                <w:w w:val="98"/>
              </w:rPr>
              <w:t>Name of Grantee</w:t>
            </w:r>
          </w:p>
        </w:tc>
        <w:tc>
          <w:tcPr>
            <w:tcW w:w="60" w:type="dxa"/>
            <w:vAlign w:val="bottom"/>
            <w:tcBorders>
              <w:top w:val="single" w:sz="8" w:color="auto"/>
            </w:tcBorders>
          </w:tcPr>
          <w:p>
            <w:pPr>
              <w:spacing w:after="0"/>
              <w:rPr>
                <w:sz w:val="24"/>
                <w:szCs w:val="24"/>
                <w:color w:val="auto"/>
              </w:rPr>
            </w:pPr>
          </w:p>
        </w:tc>
        <w:tc>
          <w:tcPr>
            <w:tcW w:w="3240" w:type="dxa"/>
            <w:vAlign w:val="bottom"/>
            <w:tcBorders>
              <w:top w:val="single" w:sz="8" w:color="auto"/>
              <w:right w:val="single" w:sz="8" w:color="auto"/>
            </w:tcBorders>
            <w:gridSpan w:val="2"/>
            <w:vMerge w:val="restart"/>
          </w:tcPr>
          <w:p>
            <w:pPr>
              <w:jc w:val="center"/>
              <w:ind w:right="80"/>
              <w:spacing w:after="0"/>
              <w:rPr>
                <w:sz w:val="20"/>
                <w:szCs w:val="20"/>
                <w:color w:val="auto"/>
              </w:rPr>
            </w:pPr>
            <w:r>
              <w:rPr>
                <w:rFonts w:ascii="Times New Roman" w:cs="Times New Roman" w:eastAsia="Times New Roman" w:hAnsi="Times New Roman"/>
                <w:sz w:val="21"/>
                <w:szCs w:val="21"/>
                <w:color w:val="auto"/>
                <w:w w:val="97"/>
              </w:rPr>
              <w:t>Number of Restricted Stock Units</w:t>
            </w:r>
          </w:p>
        </w:tc>
        <w:tc>
          <w:tcPr>
            <w:tcW w:w="0" w:type="dxa"/>
            <w:vAlign w:val="bottom"/>
          </w:tcPr>
          <w:p>
            <w:pPr>
              <w:spacing w:after="0"/>
              <w:rPr>
                <w:sz w:val="1"/>
                <w:szCs w:val="1"/>
                <w:color w:val="auto"/>
              </w:rPr>
            </w:pPr>
          </w:p>
        </w:tc>
      </w:tr>
      <w:tr>
        <w:trPr>
          <w:trHeight w:val="207"/>
        </w:trPr>
        <w:tc>
          <w:tcPr>
            <w:tcW w:w="3040" w:type="dxa"/>
            <w:vAlign w:val="bottom"/>
            <w:tcBorders>
              <w:left w:val="single" w:sz="8" w:color="auto"/>
              <w:right w:val="single" w:sz="8" w:color="auto"/>
            </w:tcBorders>
            <w:gridSpan w:val="3"/>
          </w:tcPr>
          <w:p>
            <w:pPr>
              <w:jc w:val="center"/>
              <w:ind w:right="20"/>
              <w:spacing w:after="0" w:line="207" w:lineRule="exact"/>
              <w:rPr>
                <w:sz w:val="20"/>
                <w:szCs w:val="20"/>
                <w:color w:val="auto"/>
              </w:rPr>
            </w:pPr>
            <w:r>
              <w:rPr>
                <w:rFonts w:ascii="Times New Roman" w:cs="Times New Roman" w:eastAsia="Times New Roman" w:hAnsi="Times New Roman"/>
                <w:sz w:val="21"/>
                <w:szCs w:val="21"/>
                <w:color w:val="auto"/>
                <w:w w:val="97"/>
              </w:rPr>
              <w:t>Restricted Stock Unit Award</w:t>
            </w:r>
          </w:p>
        </w:tc>
        <w:tc>
          <w:tcPr>
            <w:tcW w:w="1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4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240" w:type="dxa"/>
            <w:vAlign w:val="bottom"/>
            <w:tcBorders>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560" w:type="dxa"/>
            <w:vAlign w:val="bottom"/>
            <w:tcBorders>
              <w:left w:val="single" w:sz="8" w:color="auto"/>
            </w:tcBorders>
          </w:tcPr>
          <w:p>
            <w:pPr>
              <w:spacing w:after="0"/>
              <w:rPr>
                <w:sz w:val="23"/>
                <w:szCs w:val="23"/>
                <w:color w:val="auto"/>
              </w:rPr>
            </w:pPr>
          </w:p>
        </w:tc>
        <w:tc>
          <w:tcPr>
            <w:tcW w:w="2480" w:type="dxa"/>
            <w:vAlign w:val="bottom"/>
            <w:tcBorders>
              <w:right w:val="single" w:sz="8" w:color="auto"/>
            </w:tcBorders>
            <w:gridSpan w:val="2"/>
          </w:tcPr>
          <w:p>
            <w:pPr>
              <w:jc w:val="center"/>
              <w:ind w:right="560"/>
              <w:spacing w:after="0"/>
              <w:rPr>
                <w:sz w:val="20"/>
                <w:szCs w:val="20"/>
                <w:color w:val="auto"/>
              </w:rPr>
            </w:pPr>
            <w:r>
              <w:rPr>
                <w:rFonts w:ascii="Times New Roman" w:cs="Times New Roman" w:eastAsia="Times New Roman" w:hAnsi="Times New Roman"/>
                <w:sz w:val="21"/>
                <w:szCs w:val="21"/>
                <w:color w:val="auto"/>
                <w:w w:val="98"/>
              </w:rPr>
              <w:t>Number</w:t>
            </w:r>
          </w:p>
        </w:tc>
        <w:tc>
          <w:tcPr>
            <w:tcW w:w="100" w:type="dxa"/>
            <w:vAlign w:val="bottom"/>
          </w:tcPr>
          <w:p>
            <w:pPr>
              <w:spacing w:after="0"/>
              <w:rPr>
                <w:sz w:val="23"/>
                <w:szCs w:val="23"/>
                <w:color w:val="auto"/>
              </w:rPr>
            </w:pPr>
          </w:p>
        </w:tc>
        <w:tc>
          <w:tcPr>
            <w:tcW w:w="4740" w:type="dxa"/>
            <w:vAlign w:val="bottom"/>
            <w:tcBorders>
              <w:right w:val="single" w:sz="8" w:color="auto"/>
            </w:tcBorders>
            <w:gridSpan w:val="2"/>
            <w:vMerge w:val="restart"/>
          </w:tcPr>
          <w:p>
            <w:pPr>
              <w:jc w:val="center"/>
              <w:ind w:right="160"/>
              <w:spacing w:after="0"/>
              <w:rPr>
                <w:sz w:val="20"/>
                <w:szCs w:val="20"/>
                <w:color w:val="auto"/>
              </w:rPr>
            </w:pPr>
            <w:r>
              <w:rPr>
                <w:rFonts w:ascii="Times New Roman" w:cs="Times New Roman" w:eastAsia="Times New Roman" w:hAnsi="Times New Roman"/>
                <w:sz w:val="21"/>
                <w:szCs w:val="21"/>
                <w:color w:val="auto"/>
                <w:w w:val="98"/>
              </w:rPr>
              <w:t>[[FIRSTNAME]] [[MIDDLENAME]]</w:t>
            </w:r>
          </w:p>
        </w:tc>
        <w:tc>
          <w:tcPr>
            <w:tcW w:w="60" w:type="dxa"/>
            <w:vAlign w:val="bottom"/>
          </w:tcPr>
          <w:p>
            <w:pPr>
              <w:spacing w:after="0"/>
              <w:rPr>
                <w:sz w:val="23"/>
                <w:szCs w:val="23"/>
                <w:color w:val="auto"/>
              </w:rPr>
            </w:pPr>
          </w:p>
        </w:tc>
        <w:tc>
          <w:tcPr>
            <w:tcW w:w="3240" w:type="dxa"/>
            <w:vAlign w:val="bottom"/>
            <w:tcBorders>
              <w:right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21"/>
                <w:szCs w:val="21"/>
                <w:color w:val="auto"/>
                <w:w w:val="99"/>
              </w:rPr>
              <w:t>Subject to this Grant</w:t>
            </w:r>
          </w:p>
        </w:tc>
        <w:tc>
          <w:tcPr>
            <w:tcW w:w="0" w:type="dxa"/>
            <w:vAlign w:val="bottom"/>
          </w:tcPr>
          <w:p>
            <w:pPr>
              <w:spacing w:after="0"/>
              <w:rPr>
                <w:sz w:val="1"/>
                <w:szCs w:val="1"/>
                <w:color w:val="auto"/>
              </w:rPr>
            </w:pPr>
          </w:p>
        </w:tc>
      </w:tr>
      <w:tr>
        <w:trPr>
          <w:trHeight w:val="171"/>
        </w:trPr>
        <w:tc>
          <w:tcPr>
            <w:tcW w:w="560" w:type="dxa"/>
            <w:vAlign w:val="bottom"/>
            <w:tcBorders>
              <w:left w:val="single" w:sz="8" w:color="auto"/>
            </w:tcBorders>
          </w:tcPr>
          <w:p>
            <w:pPr>
              <w:spacing w:after="0"/>
              <w:rPr>
                <w:sz w:val="14"/>
                <w:szCs w:val="14"/>
                <w:color w:val="auto"/>
              </w:rPr>
            </w:pPr>
          </w:p>
        </w:tc>
        <w:tc>
          <w:tcPr>
            <w:tcW w:w="2480" w:type="dxa"/>
            <w:vAlign w:val="bottom"/>
            <w:tcBorders>
              <w:right w:val="single" w:sz="8" w:color="auto"/>
            </w:tcBorders>
            <w:gridSpan w:val="2"/>
            <w:vMerge w:val="restart"/>
          </w:tcPr>
          <w:p>
            <w:pPr>
              <w:jc w:val="center"/>
              <w:ind w:right="520"/>
              <w:spacing w:after="0"/>
              <w:rPr>
                <w:sz w:val="20"/>
                <w:szCs w:val="20"/>
                <w:color w:val="auto"/>
              </w:rPr>
            </w:pPr>
            <w:r>
              <w:rPr>
                <w:rFonts w:ascii="Times New Roman" w:cs="Times New Roman" w:eastAsia="Times New Roman" w:hAnsi="Times New Roman"/>
                <w:sz w:val="21"/>
                <w:szCs w:val="21"/>
                <w:color w:val="auto"/>
                <w:w w:val="98"/>
              </w:rPr>
              <w:t>[[GRANTNUMBER]]</w:t>
            </w:r>
          </w:p>
        </w:tc>
        <w:tc>
          <w:tcPr>
            <w:tcW w:w="100" w:type="dxa"/>
            <w:vAlign w:val="bottom"/>
          </w:tcPr>
          <w:p>
            <w:pPr>
              <w:spacing w:after="0"/>
              <w:rPr>
                <w:sz w:val="14"/>
                <w:szCs w:val="14"/>
                <w:color w:val="auto"/>
              </w:rPr>
            </w:pPr>
          </w:p>
        </w:tc>
        <w:tc>
          <w:tcPr>
            <w:tcW w:w="474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324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21"/>
                <w:szCs w:val="21"/>
                <w:color w:val="auto"/>
              </w:rPr>
              <w:t>[[SHARESGRANTED]]</w:t>
            </w:r>
          </w:p>
        </w:tc>
        <w:tc>
          <w:tcPr>
            <w:tcW w:w="0" w:type="dxa"/>
            <w:vAlign w:val="bottom"/>
          </w:tcPr>
          <w:p>
            <w:pPr>
              <w:spacing w:after="0"/>
              <w:rPr>
                <w:sz w:val="1"/>
                <w:szCs w:val="1"/>
                <w:color w:val="auto"/>
              </w:rPr>
            </w:pPr>
          </w:p>
        </w:tc>
      </w:tr>
      <w:tr>
        <w:trPr>
          <w:trHeight w:val="219"/>
        </w:trPr>
        <w:tc>
          <w:tcPr>
            <w:tcW w:w="560" w:type="dxa"/>
            <w:vAlign w:val="bottom"/>
            <w:tcBorders>
              <w:left w:val="single" w:sz="8" w:color="auto"/>
            </w:tcBorders>
          </w:tcPr>
          <w:p>
            <w:pPr>
              <w:spacing w:after="0"/>
              <w:rPr>
                <w:sz w:val="19"/>
                <w:szCs w:val="19"/>
                <w:color w:val="auto"/>
              </w:rPr>
            </w:pPr>
          </w:p>
        </w:tc>
        <w:tc>
          <w:tcPr>
            <w:tcW w:w="2480" w:type="dxa"/>
            <w:vAlign w:val="bottom"/>
            <w:tcBorders>
              <w:right w:val="single" w:sz="8" w:color="auto"/>
            </w:tcBorders>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740" w:type="dxa"/>
            <w:vAlign w:val="bottom"/>
            <w:tcBorders>
              <w:right w:val="single" w:sz="8" w:color="auto"/>
            </w:tcBorders>
            <w:gridSpan w:val="2"/>
          </w:tcPr>
          <w:p>
            <w:pPr>
              <w:ind w:left="880"/>
              <w:spacing w:after="0" w:line="219" w:lineRule="exact"/>
              <w:rPr>
                <w:sz w:val="20"/>
                <w:szCs w:val="20"/>
                <w:color w:val="auto"/>
              </w:rPr>
            </w:pPr>
            <w:r>
              <w:rPr>
                <w:rFonts w:ascii="Times New Roman" w:cs="Times New Roman" w:eastAsia="Times New Roman" w:hAnsi="Times New Roman"/>
                <w:sz w:val="21"/>
                <w:szCs w:val="21"/>
                <w:color w:val="auto"/>
              </w:rPr>
              <w:t>[[LASTNAME]]</w:t>
            </w:r>
          </w:p>
        </w:tc>
        <w:tc>
          <w:tcPr>
            <w:tcW w:w="60" w:type="dxa"/>
            <w:vAlign w:val="bottom"/>
          </w:tcPr>
          <w:p>
            <w:pPr>
              <w:spacing w:after="0"/>
              <w:rPr>
                <w:sz w:val="19"/>
                <w:szCs w:val="19"/>
                <w:color w:val="auto"/>
              </w:rPr>
            </w:pPr>
          </w:p>
        </w:tc>
        <w:tc>
          <w:tcPr>
            <w:tcW w:w="3240" w:type="dxa"/>
            <w:vAlign w:val="bottom"/>
            <w:tcBorders>
              <w:right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560" w:type="dxa"/>
            <w:vAlign w:val="bottom"/>
            <w:tcBorders>
              <w:left w:val="single" w:sz="8" w:color="auto"/>
              <w:bottom w:val="single" w:sz="8" w:color="auto"/>
            </w:tcBorders>
          </w:tcPr>
          <w:p>
            <w:pPr>
              <w:spacing w:after="0"/>
              <w:rPr>
                <w:sz w:val="3"/>
                <w:szCs w:val="3"/>
                <w:color w:val="auto"/>
              </w:rPr>
            </w:pPr>
          </w:p>
        </w:tc>
        <w:tc>
          <w:tcPr>
            <w:tcW w:w="1920" w:type="dxa"/>
            <w:vAlign w:val="bottom"/>
            <w:tcBorders>
              <w:top w:val="single" w:sz="8" w:color="auto"/>
              <w:bottom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80" w:type="dxa"/>
            <w:vAlign w:val="bottom"/>
            <w:tcBorders>
              <w:top w:val="single" w:sz="8" w:color="auto"/>
              <w:bottom w:val="single" w:sz="8" w:color="auto"/>
            </w:tcBorders>
          </w:tcPr>
          <w:p>
            <w:pPr>
              <w:spacing w:after="0"/>
              <w:rPr>
                <w:sz w:val="3"/>
                <w:szCs w:val="3"/>
                <w:color w:val="auto"/>
              </w:rPr>
            </w:pPr>
          </w:p>
        </w:tc>
        <w:tc>
          <w:tcPr>
            <w:tcW w:w="246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160" w:type="dxa"/>
            <w:vAlign w:val="bottom"/>
            <w:tcBorders>
              <w:top w:val="single" w:sz="8" w:color="auto"/>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85"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color w:val="auto"/>
        </w:rPr>
        <w:t>This Time-Based Restricted Stock Unit Award (this “</w:t>
      </w:r>
      <w:r>
        <w:rPr>
          <w:rFonts w:ascii="Times New Roman" w:cs="Times New Roman" w:eastAsia="Times New Roman" w:hAnsi="Times New Roman"/>
          <w:sz w:val="21"/>
          <w:szCs w:val="21"/>
          <w:u w:val="single" w:color="auto"/>
          <w:color w:val="auto"/>
        </w:rPr>
        <w:t>Award</w:t>
      </w:r>
      <w:r>
        <w:rPr>
          <w:rFonts w:ascii="Times New Roman" w:cs="Times New Roman" w:eastAsia="Times New Roman" w:hAnsi="Times New Roman"/>
          <w:sz w:val="21"/>
          <w:szCs w:val="21"/>
          <w:color w:val="auto"/>
        </w:rPr>
        <w:t>”) is granted on and dated [[GRANTDATE]] (the “</w:t>
      </w:r>
      <w:r>
        <w:rPr>
          <w:rFonts w:ascii="Times New Roman" w:cs="Times New Roman" w:eastAsia="Times New Roman" w:hAnsi="Times New Roman"/>
          <w:sz w:val="21"/>
          <w:szCs w:val="21"/>
          <w:u w:val="single" w:color="auto"/>
          <w:color w:val="auto"/>
        </w:rPr>
        <w:t>Grant Date</w:t>
      </w:r>
      <w:r>
        <w:rPr>
          <w:rFonts w:ascii="Times New Roman" w:cs="Times New Roman" w:eastAsia="Times New Roman" w:hAnsi="Times New Roman"/>
          <w:sz w:val="21"/>
          <w:szCs w:val="21"/>
          <w:color w:val="auto"/>
        </w:rPr>
        <w:t>”), by Murphy Oil Corporation,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pursuant to and for the purposes of the 2020 Long-Term Incentive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subject to the provisions set forth herein and in the Plan. Any terms used herein and not otherwise defined shall have the meanings set forth in the Plan.</w:t>
      </w:r>
    </w:p>
    <w:p>
      <w:pPr>
        <w:spacing w:after="0" w:line="174" w:lineRule="exact"/>
        <w:rPr>
          <w:sz w:val="20"/>
          <w:szCs w:val="20"/>
          <w:color w:val="auto"/>
        </w:rPr>
      </w:pPr>
    </w:p>
    <w:p>
      <w:pPr>
        <w:ind w:left="320" w:hanging="317"/>
        <w:spacing w:after="0" w:line="225" w:lineRule="auto"/>
        <w:tabs>
          <w:tab w:leader="none" w:pos="23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hereby grants to the individual named above (the “</w:t>
      </w:r>
      <w:r>
        <w:rPr>
          <w:rFonts w:ascii="Times New Roman" w:cs="Times New Roman" w:eastAsia="Times New Roman" w:hAnsi="Times New Roman"/>
          <w:sz w:val="21"/>
          <w:szCs w:val="21"/>
          <w:u w:val="single" w:color="auto"/>
          <w:color w:val="auto"/>
        </w:rPr>
        <w:t>Grantee</w:t>
      </w:r>
      <w:r>
        <w:rPr>
          <w:rFonts w:ascii="Times New Roman" w:cs="Times New Roman" w:eastAsia="Times New Roman" w:hAnsi="Times New Roman"/>
          <w:sz w:val="21"/>
          <w:szCs w:val="21"/>
          <w:color w:val="auto"/>
        </w:rPr>
        <w:t>”) an Award of Time-Based Restricted Stock Units each equal in value to one share of Common Stock (collectively, the “</w:t>
      </w:r>
      <w:r>
        <w:rPr>
          <w:rFonts w:ascii="Times New Roman" w:cs="Times New Roman" w:eastAsia="Times New Roman" w:hAnsi="Times New Roman"/>
          <w:sz w:val="21"/>
          <w:szCs w:val="21"/>
          <w:u w:val="single" w:color="auto"/>
          <w:color w:val="auto"/>
        </w:rPr>
        <w:t>Units</w:t>
      </w:r>
      <w:r>
        <w:rPr>
          <w:rFonts w:ascii="Times New Roman" w:cs="Times New Roman" w:eastAsia="Times New Roman" w:hAnsi="Times New Roman"/>
          <w:sz w:val="21"/>
          <w:szCs w:val="21"/>
          <w:color w:val="auto"/>
        </w:rPr>
        <w:t>”). This Award constitutes a right to receive Shares in the future and does not represent any current interest in the Shares subject to this Award.</w:t>
      </w:r>
    </w:p>
    <w:p>
      <w:pPr>
        <w:spacing w:after="0" w:line="173" w:lineRule="exact"/>
        <w:rPr>
          <w:rFonts w:ascii="Times New Roman" w:cs="Times New Roman" w:eastAsia="Times New Roman" w:hAnsi="Times New Roman"/>
          <w:sz w:val="21"/>
          <w:szCs w:val="21"/>
          <w:color w:val="auto"/>
        </w:rPr>
      </w:pPr>
    </w:p>
    <w:p>
      <w:pPr>
        <w:ind w:left="220" w:hanging="217"/>
        <w:spacing w:after="0"/>
        <w:tabs>
          <w:tab w:leader="none" w:pos="22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Award is subject to the following vesting and time lapse restrictions:</w:t>
      </w:r>
    </w:p>
    <w:p>
      <w:pPr>
        <w:spacing w:after="0" w:line="197" w:lineRule="exact"/>
        <w:rPr>
          <w:rFonts w:ascii="Times New Roman" w:cs="Times New Roman" w:eastAsia="Times New Roman" w:hAnsi="Times New Roman"/>
          <w:sz w:val="21"/>
          <w:szCs w:val="21"/>
          <w:color w:val="auto"/>
        </w:rPr>
      </w:pPr>
    </w:p>
    <w:p>
      <w:pPr>
        <w:jc w:val="both"/>
        <w:ind w:left="1240" w:right="620" w:hanging="306"/>
        <w:spacing w:after="0" w:line="217" w:lineRule="auto"/>
        <w:tabs>
          <w:tab w:leader="none" w:pos="1224"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accordance with the Plan, this Award will fully vest on the third anniversary of the Grant Date (the “</w:t>
      </w:r>
      <w:r>
        <w:rPr>
          <w:rFonts w:ascii="Times New Roman" w:cs="Times New Roman" w:eastAsia="Times New Roman" w:hAnsi="Times New Roman"/>
          <w:sz w:val="21"/>
          <w:szCs w:val="21"/>
          <w:u w:val="single" w:color="auto"/>
          <w:color w:val="auto"/>
        </w:rPr>
        <w:t>Vesting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Date</w:t>
      </w:r>
      <w:r>
        <w:rPr>
          <w:rFonts w:ascii="Times New Roman" w:cs="Times New Roman" w:eastAsia="Times New Roman" w:hAnsi="Times New Roman"/>
          <w:sz w:val="21"/>
          <w:szCs w:val="21"/>
          <w:color w:val="auto"/>
        </w:rPr>
        <w:t xml:space="preserve">”) and Shares will be issued, less any Shares deducted for applicable withholding taxes;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except as set forth in Sections 2(c), 2(d) and 2(e) below, the Grantee is employed by the Company on the Vesting Date;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that this Award shall not vest whenever the delivery of Shares under it would be a violation of any applicable law, rule or regulation.</w:t>
      </w:r>
    </w:p>
    <w:p>
      <w:pPr>
        <w:spacing w:after="0" w:line="174" w:lineRule="exact"/>
        <w:rPr>
          <w:rFonts w:ascii="Times New Roman" w:cs="Times New Roman" w:eastAsia="Times New Roman" w:hAnsi="Times New Roman"/>
          <w:sz w:val="21"/>
          <w:szCs w:val="21"/>
          <w:color w:val="auto"/>
        </w:rPr>
      </w:pPr>
    </w:p>
    <w:p>
      <w:pPr>
        <w:ind w:left="1240" w:right="620" w:hanging="306"/>
        <w:spacing w:after="0" w:line="236" w:lineRule="auto"/>
        <w:tabs>
          <w:tab w:leader="none" w:pos="1235"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the Grantee’s employment terminates any time prior to the Vesting Date, except as set forth in Sections 2(c), 2(d) and 2(e) below, he or she will forfeit this Award.</w:t>
      </w:r>
    </w:p>
    <w:p>
      <w:pPr>
        <w:spacing w:after="0" w:line="171" w:lineRule="exact"/>
        <w:rPr>
          <w:rFonts w:ascii="Times New Roman" w:cs="Times New Roman" w:eastAsia="Times New Roman" w:hAnsi="Times New Roman"/>
          <w:sz w:val="21"/>
          <w:szCs w:val="21"/>
          <w:color w:val="auto"/>
        </w:rPr>
      </w:pPr>
    </w:p>
    <w:p>
      <w:pPr>
        <w:jc w:val="both"/>
        <w:ind w:left="1240" w:right="620" w:hanging="306"/>
        <w:spacing w:after="0" w:line="213" w:lineRule="auto"/>
        <w:tabs>
          <w:tab w:leader="none" w:pos="1222"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the Grantee’s death, disability or retirement (as determined in accordance with the Plan) prior to the Vesting Date, any then outstanding Units pursuant to this Award shall vest on the date of the Grantee’s termination of employment in a pro-rated amount determined by multiplying the number of Units granted by a fraction, the numerator of which is the number of months in the period beginning on the Grant Date and ending on the last day of the month in which the Grantee terminates employment, and the denominator of which is the total number of months in the Restricted Period. The Grantee (or his/her beneficiary) will be paid his/her Shares, less any Shares deducted for applicable withholding taxes, as soon as reasonably practicable following the date of the Grantee’s termination of employment.</w:t>
      </w:r>
    </w:p>
    <w:p>
      <w:pPr>
        <w:spacing w:after="0" w:line="171" w:lineRule="exact"/>
        <w:rPr>
          <w:rFonts w:ascii="Times New Roman" w:cs="Times New Roman" w:eastAsia="Times New Roman" w:hAnsi="Times New Roman"/>
          <w:sz w:val="21"/>
          <w:szCs w:val="21"/>
          <w:color w:val="auto"/>
        </w:rPr>
      </w:pPr>
    </w:p>
    <w:p>
      <w:pPr>
        <w:jc w:val="both"/>
        <w:ind w:left="1240" w:right="620" w:hanging="306"/>
        <w:spacing w:after="0" w:line="215" w:lineRule="auto"/>
        <w:tabs>
          <w:tab w:leader="none" w:pos="1223"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Grantee is not an Executive or otherwise a party to a Severance Protection Agreement with the Company at any time during the period beginning on the Grant Date and ending on the date on which a Change in Control occurs, this Award will fully vest and one hundred percent (100%) of the Units granted will be deemed to be earned upon such Change in Control;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no payment will be made until the first quarter of 202[•] unless such Change in Control also qualifies as a “change in control event” as determined under Section 409A.</w:t>
      </w:r>
    </w:p>
    <w:p>
      <w:pPr>
        <w:spacing w:after="0" w:line="162" w:lineRule="exact"/>
        <w:rPr>
          <w:rFonts w:ascii="Times New Roman" w:cs="Times New Roman" w:eastAsia="Times New Roman" w:hAnsi="Times New Roman"/>
          <w:sz w:val="21"/>
          <w:szCs w:val="21"/>
          <w:color w:val="auto"/>
        </w:rPr>
      </w:pPr>
    </w:p>
    <w:p>
      <w:pPr>
        <w:ind w:left="1220" w:hanging="286"/>
        <w:spacing w:after="0"/>
        <w:tabs>
          <w:tab w:leader="none" w:pos="1220"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 is an Executive or is otherwise a party to a Severance Protection Agreement with the Company at</w:t>
      </w:r>
    </w:p>
    <w:p>
      <w:pPr>
        <w:jc w:val="both"/>
        <w:ind w:left="1240" w:right="620"/>
        <w:spacing w:after="0" w:line="211" w:lineRule="auto"/>
        <w:rPr>
          <w:sz w:val="20"/>
          <w:szCs w:val="20"/>
          <w:color w:val="auto"/>
        </w:rPr>
      </w:pPr>
      <w:r>
        <w:rPr>
          <w:rFonts w:ascii="Times New Roman" w:cs="Times New Roman" w:eastAsia="Times New Roman" w:hAnsi="Times New Roman"/>
          <w:sz w:val="21"/>
          <w:szCs w:val="21"/>
          <w:color w:val="auto"/>
        </w:rPr>
        <w:t>any time during the period beginning on the Grant Date and ending on the date on which a Change in Control occurs, this Award will fully vest and one hundred percent (100%) of the Units granted will be deemed to be earned as of the date of the Grantee’s Qualifying Termination of Employment. “Qualifying Termination of Employment” means the termination of the Grantee’s employment within the two-year period immediately following a Change in Control (x) by the Company or any of its affiliates without Cause or (y) by the Grantee for Good Reason. Shares will be issued as soon as reasonably practicable following the date of the Qualifying Termination of Employment, less any Shares deducted for applicable withholding taxes.</w:t>
      </w:r>
    </w:p>
    <w:p>
      <w:pPr>
        <w:sectPr>
          <w:pgSz w:w="11900" w:h="16838" w:orient="portrait"/>
          <w:cols w:equalWidth="0" w:num="1">
            <w:col w:w="11240"/>
          </w:cols>
          <w:pgMar w:left="320" w:top="44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9"/>
          <w:szCs w:val="19"/>
          <w:b w:val="1"/>
          <w:bCs w:val="1"/>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66" w:hanging="266"/>
        <w:spacing w:after="0"/>
        <w:tabs>
          <w:tab w:leader="none" w:pos="266"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means the occurrence of any of the following:</w:t>
      </w:r>
    </w:p>
    <w:p>
      <w:pPr>
        <w:spacing w:after="0" w:line="197" w:lineRule="exact"/>
        <w:rPr>
          <w:rFonts w:ascii="Times New Roman" w:cs="Times New Roman" w:eastAsia="Times New Roman" w:hAnsi="Times New Roman"/>
          <w:sz w:val="21"/>
          <w:szCs w:val="21"/>
          <w:color w:val="auto"/>
        </w:rPr>
      </w:pPr>
    </w:p>
    <w:p>
      <w:pPr>
        <w:jc w:val="both"/>
        <w:ind w:left="926" w:right="620" w:firstLine="4"/>
        <w:spacing w:after="0" w:line="211" w:lineRule="auto"/>
        <w:tabs>
          <w:tab w:leader="none" w:pos="1212"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act or omission by the Grantee which constitutes a material willful breach of the Grantee’s obligations to the Company or any of its affiliates or the Grantee’s continued and willful refusal to substantially perform satisfactorily any duties reasonably required of the Grantee, which results in material injury to the interest or business reputation of the Company or any of its affiliates and which breach, failure or refusal (if susceptible to cure) is not corrected (other than failure to correct by reason of the Grantee’s incapacity due to physical or mental illness) within thirty (30) days after written notification thereof to the Grantee by the Company;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act or failure to act on the Grantee’s part shall be deemed willful unless done or omitted to be done by the Grantee not in good faith and without reasonable belief that the Grantee’s action or omission was in the best interest of the Company or its affiliates;</w:t>
      </w:r>
    </w:p>
    <w:p>
      <w:pPr>
        <w:spacing w:after="0" w:line="176" w:lineRule="exact"/>
        <w:rPr>
          <w:rFonts w:ascii="Times New Roman" w:cs="Times New Roman" w:eastAsia="Times New Roman" w:hAnsi="Times New Roman"/>
          <w:sz w:val="21"/>
          <w:szCs w:val="21"/>
          <w:color w:val="auto"/>
        </w:rPr>
      </w:pPr>
    </w:p>
    <w:p>
      <w:pPr>
        <w:jc w:val="both"/>
        <w:ind w:left="926" w:right="620" w:firstLine="4"/>
        <w:spacing w:after="0" w:line="225" w:lineRule="auto"/>
        <w:tabs>
          <w:tab w:leader="none" w:pos="1233"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Grantee’s commission of any dishonest or fraudulent act, which has caused or may reasonably be expected to cause a material injury to the interest or business reputation of the Company or any of its affiliates;</w:t>
      </w:r>
    </w:p>
    <w:p>
      <w:pPr>
        <w:spacing w:after="0" w:line="169" w:lineRule="exact"/>
        <w:rPr>
          <w:rFonts w:ascii="Times New Roman" w:cs="Times New Roman" w:eastAsia="Times New Roman" w:hAnsi="Times New Roman"/>
          <w:sz w:val="21"/>
          <w:szCs w:val="21"/>
          <w:color w:val="auto"/>
        </w:rPr>
      </w:pPr>
    </w:p>
    <w:p>
      <w:pPr>
        <w:jc w:val="both"/>
        <w:ind w:left="926" w:right="620" w:firstLine="4"/>
        <w:spacing w:after="0" w:line="227" w:lineRule="auto"/>
        <w:tabs>
          <w:tab w:leader="none" w:pos="1307"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Grantee’s plea of guilty or </w:t>
      </w:r>
      <w:r>
        <w:rPr>
          <w:rFonts w:ascii="Times New Roman" w:cs="Times New Roman" w:eastAsia="Times New Roman" w:hAnsi="Times New Roman"/>
          <w:sz w:val="21"/>
          <w:szCs w:val="21"/>
          <w:i w:val="1"/>
          <w:iCs w:val="1"/>
          <w:color w:val="auto"/>
        </w:rPr>
        <w:t>nolo contendere</w:t>
      </w:r>
      <w:r>
        <w:rPr>
          <w:rFonts w:ascii="Times New Roman" w:cs="Times New Roman" w:eastAsia="Times New Roman" w:hAnsi="Times New Roman"/>
          <w:sz w:val="21"/>
          <w:szCs w:val="21"/>
          <w:color w:val="auto"/>
        </w:rPr>
        <w:t xml:space="preserve"> to or conviction of a felony under the laws of the United States or any state thereof or any other plea or confession of a similar crime in a jurisdiction in which the Company or any of its affiliates conducts business; or</w:t>
      </w:r>
    </w:p>
    <w:p>
      <w:pPr>
        <w:spacing w:after="0" w:line="171" w:lineRule="exact"/>
        <w:rPr>
          <w:rFonts w:ascii="Times New Roman" w:cs="Times New Roman" w:eastAsia="Times New Roman" w:hAnsi="Times New Roman"/>
          <w:sz w:val="21"/>
          <w:szCs w:val="21"/>
          <w:color w:val="auto"/>
        </w:rPr>
      </w:pPr>
    </w:p>
    <w:p>
      <w:pPr>
        <w:ind w:left="926" w:right="620" w:firstLine="4"/>
        <w:spacing w:after="0" w:line="236" w:lineRule="auto"/>
        <w:tabs>
          <w:tab w:leader="none" w:pos="1323"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Grantee’s commission of a fraudulent act or participation in misconduct which leads to a material restatement of the Company’s financial statements.</w:t>
      </w:r>
    </w:p>
    <w:p>
      <w:pPr>
        <w:spacing w:after="0" w:line="171" w:lineRule="exact"/>
        <w:rPr>
          <w:rFonts w:ascii="Times New Roman" w:cs="Times New Roman" w:eastAsia="Times New Roman" w:hAnsi="Times New Roman"/>
          <w:sz w:val="21"/>
          <w:szCs w:val="21"/>
          <w:color w:val="auto"/>
        </w:rPr>
      </w:pPr>
    </w:p>
    <w:p>
      <w:pPr>
        <w:ind w:left="306" w:right="620" w:hanging="306"/>
        <w:spacing w:after="0" w:line="236" w:lineRule="auto"/>
        <w:tabs>
          <w:tab w:leader="none" w:pos="326"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w:t>
      </w:r>
      <w:r>
        <w:rPr>
          <w:rFonts w:ascii="Times New Roman" w:cs="Times New Roman" w:eastAsia="Times New Roman" w:hAnsi="Times New Roman"/>
          <w:sz w:val="21"/>
          <w:szCs w:val="21"/>
          <w:u w:val="single" w:color="auto"/>
          <w:color w:val="auto"/>
        </w:rPr>
        <w:t>Executive</w:t>
      </w:r>
      <w:r>
        <w:rPr>
          <w:rFonts w:ascii="Times New Roman" w:cs="Times New Roman" w:eastAsia="Times New Roman" w:hAnsi="Times New Roman"/>
          <w:sz w:val="21"/>
          <w:szCs w:val="21"/>
          <w:color w:val="auto"/>
        </w:rPr>
        <w:t>” means the Company’s Chief Executive Officer and any other employee with a title of Vice President or above.</w:t>
      </w:r>
    </w:p>
    <w:p>
      <w:pPr>
        <w:spacing w:after="0" w:line="171" w:lineRule="exact"/>
        <w:rPr>
          <w:rFonts w:ascii="Times New Roman" w:cs="Times New Roman" w:eastAsia="Times New Roman" w:hAnsi="Times New Roman"/>
          <w:sz w:val="21"/>
          <w:szCs w:val="21"/>
          <w:color w:val="auto"/>
        </w:rPr>
      </w:pPr>
    </w:p>
    <w:p>
      <w:pPr>
        <w:ind w:left="286" w:hanging="286"/>
        <w:spacing w:after="0"/>
        <w:tabs>
          <w:tab w:leader="none" w:pos="286"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means the occurrence of any of the following:</w:t>
      </w:r>
    </w:p>
    <w:p>
      <w:pPr>
        <w:spacing w:after="0" w:line="197" w:lineRule="exact"/>
        <w:rPr>
          <w:rFonts w:ascii="Times New Roman" w:cs="Times New Roman" w:eastAsia="Times New Roman" w:hAnsi="Times New Roman"/>
          <w:sz w:val="21"/>
          <w:szCs w:val="21"/>
          <w:color w:val="auto"/>
        </w:rPr>
      </w:pPr>
    </w:p>
    <w:p>
      <w:pPr>
        <w:jc w:val="both"/>
        <w:ind w:left="926" w:right="620" w:firstLine="4"/>
        <w:spacing w:after="0" w:line="220" w:lineRule="auto"/>
        <w:tabs>
          <w:tab w:leader="none" w:pos="1239"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material diminution in the Grantee’s title, status, position, the scope of duties assigned, responsibilities or authority, including the assignment to the Grantee of any duties, responsibilities or authority in any manner adverse to the Grantee or inconsistent with the duties, responsibilities and authority assigned to the Grantee prior to a Change in Control;</w:t>
      </w:r>
    </w:p>
    <w:p>
      <w:pPr>
        <w:spacing w:after="0" w:line="174" w:lineRule="exact"/>
        <w:rPr>
          <w:rFonts w:ascii="Times New Roman" w:cs="Times New Roman" w:eastAsia="Times New Roman" w:hAnsi="Times New Roman"/>
          <w:sz w:val="21"/>
          <w:szCs w:val="21"/>
          <w:color w:val="auto"/>
        </w:rPr>
      </w:pPr>
    </w:p>
    <w:p>
      <w:pPr>
        <w:ind w:left="926" w:right="620" w:firstLine="4"/>
        <w:spacing w:after="0" w:line="236" w:lineRule="auto"/>
        <w:tabs>
          <w:tab w:leader="none" w:pos="1281"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reduction in the Grantee’s base salary, annual target cash bonus opportunity or long-term incentive award opportunity immediately prior to a Change in Control;</w:t>
      </w:r>
    </w:p>
    <w:p>
      <w:pPr>
        <w:spacing w:after="0" w:line="171" w:lineRule="exact"/>
        <w:rPr>
          <w:rFonts w:ascii="Times New Roman" w:cs="Times New Roman" w:eastAsia="Times New Roman" w:hAnsi="Times New Roman"/>
          <w:sz w:val="21"/>
          <w:szCs w:val="21"/>
          <w:color w:val="auto"/>
        </w:rPr>
      </w:pPr>
    </w:p>
    <w:p>
      <w:pPr>
        <w:ind w:left="926" w:right="620" w:firstLine="4"/>
        <w:spacing w:after="0" w:line="236" w:lineRule="auto"/>
        <w:tabs>
          <w:tab w:leader="none" w:pos="1292"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relocation of more than fifty (50) miles from the location of the Grantee’s principal job location or office prior to a Change in Control; or</w:t>
      </w:r>
    </w:p>
    <w:p>
      <w:pPr>
        <w:spacing w:after="0" w:line="171" w:lineRule="exact"/>
        <w:rPr>
          <w:rFonts w:ascii="Times New Roman" w:cs="Times New Roman" w:eastAsia="Times New Roman" w:hAnsi="Times New Roman"/>
          <w:sz w:val="21"/>
          <w:szCs w:val="21"/>
          <w:color w:val="auto"/>
        </w:rPr>
      </w:pPr>
    </w:p>
    <w:p>
      <w:pPr>
        <w:jc w:val="both"/>
        <w:ind w:left="926" w:right="620" w:firstLine="4"/>
        <w:spacing w:after="0" w:line="225" w:lineRule="auto"/>
        <w:tabs>
          <w:tab w:leader="none" w:pos="1280"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action or inaction that constitutes a material breach by the Company or any of its affiliates of any employment or similar agreement pursuant to which the Grantee provides services to the Company or any of its affiliates;</w:t>
      </w:r>
    </w:p>
    <w:p>
      <w:pPr>
        <w:spacing w:after="0" w:line="170" w:lineRule="exact"/>
        <w:rPr>
          <w:sz w:val="20"/>
          <w:szCs w:val="20"/>
          <w:color w:val="auto"/>
        </w:rPr>
      </w:pPr>
    </w:p>
    <w:p>
      <w:pPr>
        <w:jc w:val="both"/>
        <w:ind w:left="306" w:right="620"/>
        <w:spacing w:after="0" w:line="216" w:lineRule="auto"/>
        <w:rPr>
          <w:sz w:val="20"/>
          <w:szCs w:val="20"/>
          <w:color w:val="auto"/>
        </w:rPr>
      </w:pP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the Grantee provides the Company with a written notice of termination indicating the Grantee’s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intent to terminate his or her employment for Good Reason within ninety (90) days after the Grantee becoming aware of any circumstances set forth above, that the Grantee provides the Company with at least thirty (30) days following receipt of such notice to remedy such circumstances, and, if the Company fails to remedy such circumstances during such thirty (30) day period, that the Grantee terminates his or her employment no later than sixty (60) days after the end of such thirty (30) day period.</w:t>
      </w:r>
    </w:p>
    <w:p>
      <w:pPr>
        <w:sectPr>
          <w:pgSz w:w="11900" w:h="16838" w:orient="portrait"/>
          <w:cols w:equalWidth="0" w:num="1">
            <w:col w:w="10306"/>
          </w:cols>
          <w:pgMar w:left="1254" w:top="544"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9"/>
          <w:szCs w:val="19"/>
          <w:b w:val="1"/>
          <w:bCs w:val="1"/>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20" w:hanging="317"/>
        <w:spacing w:after="0" w:line="236" w:lineRule="auto"/>
        <w:tabs>
          <w:tab w:leader="none" w:pos="23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any relevant change in the capitalization of the Company subsequent to the Grant Date and prior to the issuance of Shares underlying the Units, the number of Units may be equitably adjusted pursuant to the Plan to reflect that change.</w:t>
      </w:r>
    </w:p>
    <w:p>
      <w:pPr>
        <w:spacing w:after="0" w:line="171" w:lineRule="exact"/>
        <w:rPr>
          <w:rFonts w:ascii="Times New Roman" w:cs="Times New Roman" w:eastAsia="Times New Roman" w:hAnsi="Times New Roman"/>
          <w:sz w:val="21"/>
          <w:szCs w:val="21"/>
          <w:color w:val="auto"/>
        </w:rPr>
      </w:pPr>
    </w:p>
    <w:p>
      <w:pPr>
        <w:ind w:left="320" w:hanging="317"/>
        <w:spacing w:after="0" w:line="236" w:lineRule="auto"/>
        <w:tabs>
          <w:tab w:leader="none" w:pos="243"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Award is not assignable except as provided under the Plan in the case of death and is not subject in whole or in part to attachment, execution or levy of any kind.</w:t>
      </w:r>
    </w:p>
    <w:p>
      <w:pPr>
        <w:spacing w:after="0" w:line="171" w:lineRule="exact"/>
        <w:rPr>
          <w:rFonts w:ascii="Times New Roman" w:cs="Times New Roman" w:eastAsia="Times New Roman" w:hAnsi="Times New Roman"/>
          <w:sz w:val="21"/>
          <w:szCs w:val="21"/>
          <w:color w:val="auto"/>
        </w:rPr>
      </w:pPr>
    </w:p>
    <w:p>
      <w:pPr>
        <w:ind w:left="320" w:hanging="317"/>
        <w:spacing w:after="0" w:line="236" w:lineRule="auto"/>
        <w:tabs>
          <w:tab w:leader="none" w:pos="23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Grantee shall have no voting rights with respect to Shares underlying the Units unless and until such Shares are reflected as issued and outstanding shares on the Company’s stock ledger.</w:t>
      </w:r>
    </w:p>
    <w:p>
      <w:pPr>
        <w:spacing w:after="0" w:line="171" w:lineRule="exact"/>
        <w:rPr>
          <w:rFonts w:ascii="Times New Roman" w:cs="Times New Roman" w:eastAsia="Times New Roman" w:hAnsi="Times New Roman"/>
          <w:sz w:val="21"/>
          <w:szCs w:val="21"/>
          <w:color w:val="auto"/>
        </w:rPr>
      </w:pPr>
    </w:p>
    <w:p>
      <w:pPr>
        <w:ind w:left="320" w:hanging="317"/>
        <w:spacing w:after="0" w:line="220" w:lineRule="auto"/>
        <w:tabs>
          <w:tab w:leader="none" w:pos="217"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Grantee shall not be eligible to receive any dividends or other distributions paid with respect to the Units during the Restricted Period. An amount equivalent to these dividends and/or other distributions shall be paid to the Grantee upon the issuance of Shares and payment of this Award. Any such payment (unadjusted for interest) shall be made in whole Shares, valued as of the date that this Award vests in accordance with Section 2 above, subject to applicable withholding taxes.</w:t>
      </w:r>
    </w:p>
    <w:p>
      <w:pPr>
        <w:spacing w:after="0" w:line="174" w:lineRule="exact"/>
        <w:rPr>
          <w:rFonts w:ascii="Times New Roman" w:cs="Times New Roman" w:eastAsia="Times New Roman" w:hAnsi="Times New Roman"/>
          <w:sz w:val="21"/>
          <w:szCs w:val="21"/>
          <w:color w:val="auto"/>
        </w:rPr>
      </w:pPr>
    </w:p>
    <w:p>
      <w:pPr>
        <w:ind w:left="320" w:hanging="317"/>
        <w:spacing w:after="0" w:line="221" w:lineRule="auto"/>
        <w:tabs>
          <w:tab w:leader="none" w:pos="217"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Grantee hereby acknowledges and agrees that the Grantee and the Award are subject to the terms and conditions of Section 21 (Clawback) of the Plan. Without limiting the foregoing sentence, by accepting this Award and the benefits provided hereunder, the Grantee hereby acknowledges and agrees that the Grantee, this Award, any other award granted to the Grantee under the Plan and any other incentive-based compensation (including any equity-based awards or cash-based awards) provided to the Grantee shall be subject to the Murphy Oil Corporation Compensation Recoupment Policy (as may be amended from time to time, the “</w:t>
      </w:r>
      <w:r>
        <w:rPr>
          <w:rFonts w:ascii="Times New Roman" w:cs="Times New Roman" w:eastAsia="Times New Roman" w:hAnsi="Times New Roman"/>
          <w:sz w:val="20"/>
          <w:szCs w:val="20"/>
          <w:u w:val="single" w:color="auto"/>
          <w:color w:val="auto"/>
        </w:rPr>
        <w:t>Recoupment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 or any other clawback or recoupment arrangements or policies the Company has in place from time to time, in each case, subject to the terms and conditions thereof. Accordingly, the Grantee agrees and acknowledges that this Award, any other award granted to the Grantee under the Plan and any other incentive-based compensation provided to the Grantee (as well as any other payments or benefits derived from such amounts, including any Shares issued or cash received upon vesting, exercise or settlement of any such awards or sale of Shares underlying such awards), which may include awards and other incentive-based compensation provided to the Grantee prior to the date of this Agreement, may be subject to forfeiture and/or recoupment in accordance with the terms of the Recoupment Policy or such other applicable clawback or recoupment arrangements or policies.</w:t>
      </w:r>
    </w:p>
    <w:p>
      <w:pPr>
        <w:spacing w:after="0" w:line="172" w:lineRule="exact"/>
        <w:rPr>
          <w:rFonts w:ascii="Times New Roman" w:cs="Times New Roman" w:eastAsia="Times New Roman" w:hAnsi="Times New Roman"/>
          <w:sz w:val="20"/>
          <w:szCs w:val="20"/>
          <w:color w:val="auto"/>
        </w:rPr>
      </w:pPr>
    </w:p>
    <w:p>
      <w:pPr>
        <w:ind w:left="320" w:hanging="317"/>
        <w:spacing w:after="0" w:line="225" w:lineRule="auto"/>
        <w:tabs>
          <w:tab w:leader="none" w:pos="23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and this Agreement are administered by the Committee. In the event of any conflict between the terms and provisions of the Plan and this Agreement, the terms and provisions of the Plan shall control. The Committee has the full authority and discretion to interpret and administer the Plan consistent with the terms and provisions of the Plan.</w:t>
      </w:r>
    </w:p>
    <w:p>
      <w:pPr>
        <w:spacing w:after="0" w:line="200" w:lineRule="exact"/>
        <w:rPr>
          <w:sz w:val="20"/>
          <w:szCs w:val="20"/>
          <w:color w:val="auto"/>
        </w:rPr>
      </w:pPr>
    </w:p>
    <w:p>
      <w:pPr>
        <w:spacing w:after="0" w:line="206"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21"/>
          <w:szCs w:val="21"/>
          <w:color w:val="auto"/>
        </w:rPr>
        <w:t>Attest:</w:t>
      </w:r>
      <w:r>
        <w:rPr>
          <w:sz w:val="20"/>
          <w:szCs w:val="20"/>
          <w:color w:val="auto"/>
        </w:rPr>
        <w:tab/>
      </w:r>
      <w:r>
        <w:rPr>
          <w:rFonts w:ascii="Times New Roman" w:cs="Times New Roman" w:eastAsia="Times New Roman" w:hAnsi="Times New Roman"/>
          <w:sz w:val="21"/>
          <w:szCs w:val="21"/>
          <w:color w:val="auto"/>
        </w:rPr>
        <w:t>Murphy Oil Corporation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___________________________________ By___________________________________</w:t>
      </w:r>
    </w:p>
    <w:p>
      <w:pPr>
        <w:sectPr>
          <w:pgSz w:w="11900" w:h="16838" w:orient="portrait"/>
          <w:cols w:equalWidth="0" w:num="1">
            <w:col w:w="11240"/>
          </w:cols>
          <w:pgMar w:left="320" w:top="544"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9"/>
          <w:szCs w:val="19"/>
          <w:b w:val="1"/>
          <w:bCs w:val="1"/>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1"/>
          <w:szCs w:val="21"/>
          <w:b w:val="1"/>
          <w:bCs w:val="1"/>
          <w:color w:val="auto"/>
        </w:rPr>
        <w:t>MURPHY OIL CORPORATION</w:t>
      </w:r>
    </w:p>
    <w:p>
      <w:pPr>
        <w:spacing w:after="0" w:line="18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b w:val="1"/>
          <w:bCs w:val="1"/>
          <w:color w:val="auto"/>
        </w:rPr>
        <w:t>TIME-BASED RESTRICTED STOCK UNIT - STOCK SETTLED</w:t>
      </w:r>
    </w:p>
    <w:p>
      <w:pPr>
        <w:jc w:val="center"/>
        <w:spacing w:after="0"/>
        <w:rPr>
          <w:sz w:val="20"/>
          <w:szCs w:val="20"/>
          <w:color w:val="auto"/>
        </w:rPr>
      </w:pPr>
      <w:r>
        <w:rPr>
          <w:rFonts w:ascii="Times New Roman" w:cs="Times New Roman" w:eastAsia="Times New Roman" w:hAnsi="Times New Roman"/>
          <w:sz w:val="21"/>
          <w:szCs w:val="21"/>
          <w:b w:val="1"/>
          <w:bCs w:val="1"/>
          <w:color w:val="auto"/>
        </w:rPr>
        <w:t>GRANT AGREEMENT</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482"/>
        </w:trPr>
        <w:tc>
          <w:tcPr>
            <w:tcW w:w="640" w:type="dxa"/>
            <w:vAlign w:val="bottom"/>
            <w:tcBorders>
              <w:top w:val="single" w:sz="8" w:color="auto"/>
              <w:left w:val="single" w:sz="8" w:color="auto"/>
            </w:tcBorders>
          </w:tcPr>
          <w:p>
            <w:pPr>
              <w:spacing w:after="0"/>
              <w:rPr>
                <w:sz w:val="24"/>
                <w:szCs w:val="24"/>
                <w:color w:val="auto"/>
              </w:rPr>
            </w:pPr>
          </w:p>
        </w:tc>
        <w:tc>
          <w:tcPr>
            <w:tcW w:w="2400" w:type="dxa"/>
            <w:vAlign w:val="bottom"/>
            <w:tcBorders>
              <w:top w:val="single" w:sz="8" w:color="auto"/>
              <w:right w:val="single" w:sz="8" w:color="auto"/>
            </w:tcBorders>
            <w:gridSpan w:val="2"/>
            <w:vMerge w:val="restart"/>
          </w:tcPr>
          <w:p>
            <w:pPr>
              <w:jc w:val="center"/>
              <w:ind w:right="640"/>
              <w:spacing w:after="0"/>
              <w:rPr>
                <w:sz w:val="20"/>
                <w:szCs w:val="20"/>
                <w:color w:val="auto"/>
              </w:rPr>
            </w:pPr>
            <w:r>
              <w:rPr>
                <w:rFonts w:ascii="Times New Roman" w:cs="Times New Roman" w:eastAsia="Times New Roman" w:hAnsi="Times New Roman"/>
                <w:sz w:val="19"/>
                <w:szCs w:val="19"/>
                <w:color w:val="auto"/>
                <w:w w:val="99"/>
              </w:rPr>
              <w:t>Time-Based</w:t>
            </w:r>
          </w:p>
        </w:tc>
        <w:tc>
          <w:tcPr>
            <w:tcW w:w="100" w:type="dxa"/>
            <w:vAlign w:val="bottom"/>
            <w:tcBorders>
              <w:top w:val="single" w:sz="8" w:color="auto"/>
            </w:tcBorders>
          </w:tcPr>
          <w:p>
            <w:pPr>
              <w:spacing w:after="0"/>
              <w:rPr>
                <w:sz w:val="24"/>
                <w:szCs w:val="24"/>
                <w:color w:val="auto"/>
              </w:rPr>
            </w:pPr>
          </w:p>
        </w:tc>
        <w:tc>
          <w:tcPr>
            <w:tcW w:w="4740" w:type="dxa"/>
            <w:vAlign w:val="bottom"/>
            <w:tcBorders>
              <w:top w:val="single" w:sz="8" w:color="auto"/>
              <w:right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9"/>
                <w:szCs w:val="19"/>
                <w:color w:val="auto"/>
                <w:w w:val="99"/>
              </w:rPr>
              <w:t>Name of Grantee</w:t>
            </w:r>
          </w:p>
        </w:tc>
        <w:tc>
          <w:tcPr>
            <w:tcW w:w="3300" w:type="dxa"/>
            <w:vAlign w:val="bottom"/>
            <w:tcBorders>
              <w:top w:val="single" w:sz="8" w:color="auto"/>
              <w:right w:val="single" w:sz="8" w:color="auto"/>
            </w:tcBorders>
            <w:gridSpan w:val="3"/>
            <w:vMerge w:val="restart"/>
          </w:tcPr>
          <w:p>
            <w:pPr>
              <w:jc w:val="center"/>
              <w:ind w:right="20"/>
              <w:spacing w:after="0"/>
              <w:rPr>
                <w:sz w:val="20"/>
                <w:szCs w:val="20"/>
                <w:color w:val="auto"/>
              </w:rPr>
            </w:pPr>
            <w:r>
              <w:rPr>
                <w:rFonts w:ascii="Times New Roman" w:cs="Times New Roman" w:eastAsia="Times New Roman" w:hAnsi="Times New Roman"/>
                <w:sz w:val="19"/>
                <w:szCs w:val="19"/>
                <w:color w:val="auto"/>
                <w:w w:val="98"/>
              </w:rPr>
              <w:t>Number of Restricted Stock Units</w:t>
            </w:r>
          </w:p>
        </w:tc>
        <w:tc>
          <w:tcPr>
            <w:tcW w:w="0" w:type="dxa"/>
            <w:vAlign w:val="bottom"/>
          </w:tcPr>
          <w:p>
            <w:pPr>
              <w:spacing w:after="0"/>
              <w:rPr>
                <w:sz w:val="1"/>
                <w:szCs w:val="1"/>
                <w:color w:val="auto"/>
              </w:rPr>
            </w:pPr>
          </w:p>
        </w:tc>
      </w:tr>
      <w:tr>
        <w:trPr>
          <w:trHeight w:val="65"/>
        </w:trPr>
        <w:tc>
          <w:tcPr>
            <w:tcW w:w="640" w:type="dxa"/>
            <w:vAlign w:val="bottom"/>
            <w:tcBorders>
              <w:left w:val="single" w:sz="8" w:color="auto"/>
            </w:tcBorders>
          </w:tcPr>
          <w:p>
            <w:pPr>
              <w:spacing w:after="0"/>
              <w:rPr>
                <w:sz w:val="5"/>
                <w:szCs w:val="5"/>
                <w:color w:val="auto"/>
              </w:rPr>
            </w:pPr>
          </w:p>
        </w:tc>
        <w:tc>
          <w:tcPr>
            <w:tcW w:w="2400" w:type="dxa"/>
            <w:vAlign w:val="bottom"/>
            <w:tcBorders>
              <w:right w:val="single" w:sz="8" w:color="auto"/>
            </w:tcBorders>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2080" w:type="dxa"/>
            <w:vAlign w:val="bottom"/>
          </w:tcPr>
          <w:p>
            <w:pPr>
              <w:spacing w:after="0"/>
              <w:rPr>
                <w:sz w:val="5"/>
                <w:szCs w:val="5"/>
                <w:color w:val="auto"/>
              </w:rPr>
            </w:pPr>
          </w:p>
        </w:tc>
        <w:tc>
          <w:tcPr>
            <w:tcW w:w="2660" w:type="dxa"/>
            <w:vAlign w:val="bottom"/>
            <w:tcBorders>
              <w:right w:val="single" w:sz="8" w:color="auto"/>
            </w:tcBorders>
          </w:tcPr>
          <w:p>
            <w:pPr>
              <w:spacing w:after="0"/>
              <w:rPr>
                <w:sz w:val="5"/>
                <w:szCs w:val="5"/>
                <w:color w:val="auto"/>
              </w:rPr>
            </w:pPr>
          </w:p>
        </w:tc>
        <w:tc>
          <w:tcPr>
            <w:tcW w:w="330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30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9"/>
                <w:szCs w:val="19"/>
                <w:color w:val="auto"/>
                <w:w w:val="98"/>
              </w:rPr>
              <w:t>Restricted Stock Unit Award Number</w:t>
            </w:r>
          </w:p>
        </w:tc>
        <w:tc>
          <w:tcPr>
            <w:tcW w:w="1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660" w:type="dxa"/>
            <w:vAlign w:val="bottom"/>
          </w:tcPr>
          <w:p>
            <w:pPr>
              <w:spacing w:after="0"/>
              <w:rPr>
                <w:sz w:val="21"/>
                <w:szCs w:val="21"/>
                <w:color w:val="auto"/>
              </w:rPr>
            </w:pPr>
          </w:p>
        </w:tc>
        <w:tc>
          <w:tcPr>
            <w:tcW w:w="2640" w:type="dxa"/>
            <w:vAlign w:val="bottom"/>
            <w:tcBorders>
              <w:right w:val="single" w:sz="8" w:color="auto"/>
            </w:tcBorders>
            <w:gridSpan w:val="2"/>
          </w:tcPr>
          <w:p>
            <w:pPr>
              <w:jc w:val="center"/>
              <w:ind w:right="680"/>
              <w:spacing w:after="0"/>
              <w:rPr>
                <w:sz w:val="20"/>
                <w:szCs w:val="20"/>
                <w:color w:val="auto"/>
              </w:rPr>
            </w:pPr>
            <w:r>
              <w:rPr>
                <w:rFonts w:ascii="Times New Roman" w:cs="Times New Roman" w:eastAsia="Times New Roman" w:hAnsi="Times New Roman"/>
                <w:sz w:val="19"/>
                <w:szCs w:val="19"/>
                <w:color w:val="auto"/>
                <w:w w:val="99"/>
              </w:rPr>
              <w:t>Subject to this Grant</w:t>
            </w:r>
          </w:p>
        </w:tc>
        <w:tc>
          <w:tcPr>
            <w:tcW w:w="0" w:type="dxa"/>
            <w:vAlign w:val="bottom"/>
          </w:tcPr>
          <w:p>
            <w:pPr>
              <w:spacing w:after="0"/>
              <w:rPr>
                <w:sz w:val="1"/>
                <w:szCs w:val="1"/>
                <w:color w:val="auto"/>
              </w:rPr>
            </w:pPr>
          </w:p>
        </w:tc>
      </w:tr>
      <w:tr>
        <w:trPr>
          <w:trHeight w:val="293"/>
        </w:trPr>
        <w:tc>
          <w:tcPr>
            <w:tcW w:w="640" w:type="dxa"/>
            <w:vAlign w:val="bottom"/>
            <w:tcBorders>
              <w:left w:val="single" w:sz="8" w:color="auto"/>
            </w:tcBorders>
          </w:tcPr>
          <w:p>
            <w:pPr>
              <w:spacing w:after="0"/>
              <w:rPr>
                <w:sz w:val="24"/>
                <w:szCs w:val="24"/>
                <w:color w:val="auto"/>
              </w:rPr>
            </w:pPr>
          </w:p>
        </w:tc>
        <w:tc>
          <w:tcPr>
            <w:tcW w:w="2400" w:type="dxa"/>
            <w:vAlign w:val="bottom"/>
            <w:tcBorders>
              <w:right w:val="single" w:sz="8" w:color="auto"/>
            </w:tcBorders>
            <w:gridSpan w:val="2"/>
            <w:vMerge w:val="restart"/>
          </w:tcPr>
          <w:p>
            <w:pPr>
              <w:jc w:val="center"/>
              <w:ind w:right="600"/>
              <w:spacing w:after="0"/>
              <w:rPr>
                <w:sz w:val="20"/>
                <w:szCs w:val="20"/>
                <w:color w:val="auto"/>
              </w:rPr>
            </w:pPr>
            <w:r>
              <w:rPr>
                <w:rFonts w:ascii="Times New Roman" w:cs="Times New Roman" w:eastAsia="Times New Roman" w:hAnsi="Times New Roman"/>
                <w:sz w:val="19"/>
                <w:szCs w:val="19"/>
                <w:color w:val="auto"/>
                <w:w w:val="99"/>
              </w:rPr>
              <w:t>[[GRANTNUMBER]]</w:t>
            </w:r>
          </w:p>
        </w:tc>
        <w:tc>
          <w:tcPr>
            <w:tcW w:w="100" w:type="dxa"/>
            <w:vAlign w:val="bottom"/>
          </w:tcPr>
          <w:p>
            <w:pPr>
              <w:spacing w:after="0"/>
              <w:rPr>
                <w:sz w:val="24"/>
                <w:szCs w:val="24"/>
                <w:color w:val="auto"/>
              </w:rPr>
            </w:pPr>
          </w:p>
        </w:tc>
        <w:tc>
          <w:tcPr>
            <w:tcW w:w="4740" w:type="dxa"/>
            <w:vAlign w:val="bottom"/>
            <w:tcBorders>
              <w:right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9"/>
                <w:szCs w:val="19"/>
                <w:color w:val="auto"/>
                <w:w w:val="99"/>
              </w:rPr>
              <w:t>[[FIRSTNAME]] [[MIDDLENAME]]</w:t>
            </w:r>
          </w:p>
        </w:tc>
        <w:tc>
          <w:tcPr>
            <w:tcW w:w="660" w:type="dxa"/>
            <w:vAlign w:val="bottom"/>
          </w:tcPr>
          <w:p>
            <w:pPr>
              <w:spacing w:after="0"/>
              <w:rPr>
                <w:sz w:val="24"/>
                <w:szCs w:val="24"/>
                <w:color w:val="auto"/>
              </w:rPr>
            </w:pPr>
          </w:p>
        </w:tc>
        <w:tc>
          <w:tcPr>
            <w:tcW w:w="264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9"/>
                <w:szCs w:val="19"/>
                <w:color w:val="auto"/>
              </w:rPr>
              <w:t>[[SHARESGRANTED]]</w:t>
            </w:r>
          </w:p>
        </w:tc>
        <w:tc>
          <w:tcPr>
            <w:tcW w:w="0" w:type="dxa"/>
            <w:vAlign w:val="bottom"/>
          </w:tcPr>
          <w:p>
            <w:pPr>
              <w:spacing w:after="0"/>
              <w:rPr>
                <w:sz w:val="1"/>
                <w:szCs w:val="1"/>
                <w:color w:val="auto"/>
              </w:rPr>
            </w:pPr>
          </w:p>
        </w:tc>
      </w:tr>
      <w:tr>
        <w:trPr>
          <w:trHeight w:val="78"/>
        </w:trPr>
        <w:tc>
          <w:tcPr>
            <w:tcW w:w="640" w:type="dxa"/>
            <w:vAlign w:val="bottom"/>
            <w:tcBorders>
              <w:left w:val="single" w:sz="8" w:color="auto"/>
            </w:tcBorders>
          </w:tcPr>
          <w:p>
            <w:pPr>
              <w:spacing w:after="0"/>
              <w:rPr>
                <w:sz w:val="6"/>
                <w:szCs w:val="6"/>
                <w:color w:val="auto"/>
              </w:rPr>
            </w:pPr>
          </w:p>
        </w:tc>
        <w:tc>
          <w:tcPr>
            <w:tcW w:w="2400" w:type="dxa"/>
            <w:vAlign w:val="bottom"/>
            <w:tcBorders>
              <w:right w:val="single" w:sz="8" w:color="auto"/>
            </w:tcBorders>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4740" w:type="dxa"/>
            <w:vAlign w:val="bottom"/>
            <w:tcBorders>
              <w:right w:val="single" w:sz="8" w:color="auto"/>
            </w:tcBorders>
            <w:gridSpan w:val="2"/>
            <w:vMerge w:val="restart"/>
          </w:tcPr>
          <w:p>
            <w:pPr>
              <w:ind w:left="800"/>
              <w:spacing w:after="0" w:line="193" w:lineRule="exact"/>
              <w:rPr>
                <w:sz w:val="20"/>
                <w:szCs w:val="20"/>
                <w:color w:val="auto"/>
              </w:rPr>
            </w:pPr>
            <w:r>
              <w:rPr>
                <w:rFonts w:ascii="Times New Roman" w:cs="Times New Roman" w:eastAsia="Times New Roman" w:hAnsi="Times New Roman"/>
                <w:sz w:val="19"/>
                <w:szCs w:val="19"/>
                <w:color w:val="auto"/>
              </w:rPr>
              <w:t>[[LASTNAME]]</w:t>
            </w:r>
          </w:p>
        </w:tc>
        <w:tc>
          <w:tcPr>
            <w:tcW w:w="660" w:type="dxa"/>
            <w:vAlign w:val="bottom"/>
          </w:tcPr>
          <w:p>
            <w:pPr>
              <w:spacing w:after="0"/>
              <w:rPr>
                <w:sz w:val="6"/>
                <w:szCs w:val="6"/>
                <w:color w:val="auto"/>
              </w:rPr>
            </w:pPr>
          </w:p>
        </w:tc>
        <w:tc>
          <w:tcPr>
            <w:tcW w:w="264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640" w:type="dxa"/>
            <w:vAlign w:val="bottom"/>
            <w:tcBorders>
              <w:left w:val="single" w:sz="8" w:color="auto"/>
            </w:tcBorders>
          </w:tcPr>
          <w:p>
            <w:pPr>
              <w:spacing w:after="0"/>
              <w:rPr>
                <w:sz w:val="8"/>
                <w:szCs w:val="8"/>
                <w:color w:val="auto"/>
              </w:rPr>
            </w:pPr>
          </w:p>
        </w:tc>
        <w:tc>
          <w:tcPr>
            <w:tcW w:w="1760" w:type="dxa"/>
            <w:vAlign w:val="bottom"/>
            <w:tcBorders>
              <w:top w:val="single" w:sz="8" w:color="auto"/>
            </w:tcBorders>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740" w:type="dxa"/>
            <w:vAlign w:val="bottom"/>
            <w:tcBorders>
              <w:right w:val="single" w:sz="8" w:color="auto"/>
            </w:tcBorders>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1960" w:type="dxa"/>
            <w:vAlign w:val="bottom"/>
            <w:tcBorders>
              <w:top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640" w:type="dxa"/>
            <w:vAlign w:val="bottom"/>
            <w:tcBorders>
              <w:left w:val="single" w:sz="8" w:color="auto"/>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80" w:type="dxa"/>
            <w:vAlign w:val="bottom"/>
            <w:tcBorders>
              <w:top w:val="single" w:sz="8" w:color="auto"/>
              <w:bottom w:val="single" w:sz="8" w:color="auto"/>
            </w:tcBorders>
          </w:tcPr>
          <w:p>
            <w:pPr>
              <w:spacing w:after="0"/>
              <w:rPr>
                <w:sz w:val="3"/>
                <w:szCs w:val="3"/>
                <w:color w:val="auto"/>
              </w:rPr>
            </w:pPr>
          </w:p>
        </w:tc>
        <w:tc>
          <w:tcPr>
            <w:tcW w:w="266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85"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This Time-Based Restricted Stock Unit Award (the “Award”) is granted on and dated [[GRANTDATE]] (the “Grant Date”), by Murphy Oil Corporation, a Delaware corporation (the “Company”), pursuant to and for the purposes of the 2020 Long-Term Incentive Plan (the “Plan”). Any terms used herein and not otherwise defined shall have the meanings set forth in the Plan.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Agreement is subject to the following terms and provisions:</w:t>
      </w:r>
    </w:p>
    <w:p>
      <w:pPr>
        <w:spacing w:after="0" w:line="198" w:lineRule="exact"/>
        <w:rPr>
          <w:sz w:val="20"/>
          <w:szCs w:val="20"/>
          <w:color w:val="auto"/>
        </w:rPr>
      </w:pPr>
    </w:p>
    <w:p>
      <w:pPr>
        <w:ind w:left="320" w:hanging="317"/>
        <w:spacing w:after="0" w:line="225" w:lineRule="auto"/>
        <w:tabs>
          <w:tab w:leader="none" w:pos="23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hereby grants to the individual named above (the “Grantee”) an Award of Time-Based Restricted Stock Units each equal in value to one share of Common Stock of the Company (collectively, the “Units”). This Award constitutes a right to receive Shares in the future and does not represent any current interest in the Shares subject to the Award.</w:t>
      </w:r>
    </w:p>
    <w:p>
      <w:pPr>
        <w:spacing w:after="0" w:line="173" w:lineRule="exact"/>
        <w:rPr>
          <w:rFonts w:ascii="Times New Roman" w:cs="Times New Roman" w:eastAsia="Times New Roman" w:hAnsi="Times New Roman"/>
          <w:sz w:val="21"/>
          <w:szCs w:val="21"/>
          <w:color w:val="auto"/>
        </w:rPr>
      </w:pPr>
    </w:p>
    <w:p>
      <w:pPr>
        <w:ind w:left="220" w:hanging="217"/>
        <w:spacing w:after="0"/>
        <w:tabs>
          <w:tab w:leader="none" w:pos="22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Award is subject to the following vesting and time lapse restrictions:</w:t>
      </w:r>
    </w:p>
    <w:p>
      <w:pPr>
        <w:spacing w:after="0" w:line="197" w:lineRule="exact"/>
        <w:rPr>
          <w:rFonts w:ascii="Times New Roman" w:cs="Times New Roman" w:eastAsia="Times New Roman" w:hAnsi="Times New Roman"/>
          <w:sz w:val="21"/>
          <w:szCs w:val="21"/>
          <w:color w:val="auto"/>
        </w:rPr>
      </w:pPr>
    </w:p>
    <w:p>
      <w:pPr>
        <w:jc w:val="both"/>
        <w:ind w:left="1240" w:right="620" w:hanging="306"/>
        <w:spacing w:after="0" w:line="217" w:lineRule="auto"/>
        <w:tabs>
          <w:tab w:leader="none" w:pos="1227"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accordance with the Plan, this Award will fully vest and Shares will be issued, less any Shares deducted for applicable withholding taxes, without restrictions, on the </w:t>
      </w:r>
      <w:r>
        <w:rPr>
          <w:rFonts w:ascii="Times New Roman" w:cs="Times New Roman" w:eastAsia="Times New Roman" w:hAnsi="Times New Roman"/>
          <w:sz w:val="21"/>
          <w:szCs w:val="21"/>
          <w:u w:val="single" w:color="auto"/>
          <w:color w:val="auto"/>
        </w:rPr>
        <w:t>third</w:t>
      </w:r>
      <w:r>
        <w:rPr>
          <w:rFonts w:ascii="Times New Roman" w:cs="Times New Roman" w:eastAsia="Times New Roman" w:hAnsi="Times New Roman"/>
          <w:sz w:val="21"/>
          <w:szCs w:val="21"/>
          <w:color w:val="auto"/>
        </w:rPr>
        <w:t xml:space="preserve"> anniversary of the Grant Date (the “Vesting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except as set forth in Sections 2(c), 2(d) and 2(e) below, the Grantee is employed by the Company on the Vesting Date;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that this award shall not vest whenever the delivery of Shares under it would be a violation of any applicable law, rule or regulation.</w:t>
      </w:r>
    </w:p>
    <w:p>
      <w:pPr>
        <w:spacing w:after="0" w:line="174" w:lineRule="exact"/>
        <w:rPr>
          <w:rFonts w:ascii="Times New Roman" w:cs="Times New Roman" w:eastAsia="Times New Roman" w:hAnsi="Times New Roman"/>
          <w:sz w:val="21"/>
          <w:szCs w:val="21"/>
          <w:color w:val="auto"/>
        </w:rPr>
      </w:pPr>
    </w:p>
    <w:p>
      <w:pPr>
        <w:ind w:left="1240" w:right="620" w:hanging="306"/>
        <w:spacing w:after="0" w:line="236" w:lineRule="auto"/>
        <w:tabs>
          <w:tab w:leader="none" w:pos="1235"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the Grantee’s employment terminates any time prior to the Vesting Date, except as set forth in Sections 2(c), 2(d) and 2(e) below, he/she will forfeit all Units pursuant to this Award.</w:t>
      </w:r>
    </w:p>
    <w:p>
      <w:pPr>
        <w:spacing w:after="0" w:line="171" w:lineRule="exact"/>
        <w:rPr>
          <w:rFonts w:ascii="Times New Roman" w:cs="Times New Roman" w:eastAsia="Times New Roman" w:hAnsi="Times New Roman"/>
          <w:sz w:val="21"/>
          <w:szCs w:val="21"/>
          <w:color w:val="auto"/>
        </w:rPr>
      </w:pPr>
    </w:p>
    <w:p>
      <w:pPr>
        <w:jc w:val="both"/>
        <w:ind w:left="1240" w:right="620" w:hanging="306"/>
        <w:spacing w:after="0" w:line="214" w:lineRule="auto"/>
        <w:tabs>
          <w:tab w:leader="none" w:pos="1225"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the Grantee’s termination of employment due to (i) the Grantee’s death, disability, or retirement (as determined in accordance with the Plan) or (ii) except if the Grantee is subject to Section 2(e) below, a Reduction in Force (as defined below) prior to the Vesting Date, the Grantee will receive the pro-rata number of Units earned based upon the number of months worked pursuant to this Award up to the date of the Grantee’s termination of employment. The Grantee (or his/her beneficiary) will be paid his/her Shares, less any Shares deducted for applicable withholding taxes, as soon as reasonably practicable following the date of the Grantee’s termination of employment.</w:t>
      </w:r>
    </w:p>
    <w:p>
      <w:pPr>
        <w:spacing w:after="0" w:line="172" w:lineRule="exact"/>
        <w:rPr>
          <w:rFonts w:ascii="Times New Roman" w:cs="Times New Roman" w:eastAsia="Times New Roman" w:hAnsi="Times New Roman"/>
          <w:sz w:val="21"/>
          <w:szCs w:val="21"/>
          <w:color w:val="auto"/>
        </w:rPr>
      </w:pPr>
    </w:p>
    <w:p>
      <w:pPr>
        <w:jc w:val="both"/>
        <w:ind w:left="1240" w:right="620" w:hanging="306"/>
        <w:spacing w:after="0" w:line="213" w:lineRule="auto"/>
        <w:tabs>
          <w:tab w:leader="none" w:pos="1223"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Grantee is not an Executive or otherwise a party to a Severance Protection Agreement with the Company at any time during the period beginning on the Grant Date and ending on the date on which a Change in Control occurs, this Award will fully vest and 100 percent of the Time-Based Restricted Stock Units will be deemed to be earned and Shares will be issued, less any Shares deducted for applicable withholding taxes, without restrictions, upon the occurrence of a Change in Control (as such term is defined in the Plan);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no issuance of Shares will be made until the Vesting Date unless the Change in Control also qualifies as a change in the ownership or effective control of Murphy Oil Corporation, or in the ownership of a substantial portion of its assets, as determined under Section 409A of the Internal Revenue Code.</w:t>
      </w:r>
    </w:p>
    <w:p>
      <w:pPr>
        <w:spacing w:after="0" w:line="159" w:lineRule="exact"/>
        <w:rPr>
          <w:rFonts w:ascii="Times New Roman" w:cs="Times New Roman" w:eastAsia="Times New Roman" w:hAnsi="Times New Roman"/>
          <w:sz w:val="21"/>
          <w:szCs w:val="21"/>
          <w:color w:val="auto"/>
        </w:rPr>
      </w:pPr>
    </w:p>
    <w:p>
      <w:pPr>
        <w:ind w:left="1220" w:hanging="286"/>
        <w:spacing w:after="0"/>
        <w:tabs>
          <w:tab w:leader="none" w:pos="1220"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 is an Executive or is otherwise a party to a Severance Protection Agreement with the Company at</w:t>
      </w:r>
    </w:p>
    <w:p>
      <w:pPr>
        <w:jc w:val="both"/>
        <w:ind w:left="1240" w:right="620"/>
        <w:spacing w:after="0" w:line="215" w:lineRule="auto"/>
        <w:rPr>
          <w:sz w:val="20"/>
          <w:szCs w:val="20"/>
          <w:color w:val="auto"/>
        </w:rPr>
      </w:pPr>
      <w:r>
        <w:rPr>
          <w:rFonts w:ascii="Times New Roman" w:cs="Times New Roman" w:eastAsia="Times New Roman" w:hAnsi="Times New Roman"/>
          <w:sz w:val="21"/>
          <w:szCs w:val="21"/>
          <w:color w:val="auto"/>
        </w:rPr>
        <w:t>any time during the period beginning on the Grant Date and ending on the date on which a Change in Control occurs, this Award will fully vest and 100 percent of the Time-Based Restricted Stock Units will be deemed to be earned and Shares will be issued in full, without restriction, as of the date of the Grantee’s Qualifying Termination of Employment. “Qualifying Termination of</w:t>
      </w:r>
    </w:p>
    <w:p>
      <w:pPr>
        <w:sectPr>
          <w:pgSz w:w="11900" w:h="16838" w:orient="portrait"/>
          <w:cols w:equalWidth="0" w:num="1">
            <w:col w:w="11240"/>
          </w:cols>
          <w:pgMar w:left="320" w:top="44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9"/>
          <w:szCs w:val="19"/>
          <w:b w:val="1"/>
          <w:bCs w:val="1"/>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306" w:right="620"/>
        <w:spacing w:after="0" w:line="217" w:lineRule="auto"/>
        <w:rPr>
          <w:sz w:val="20"/>
          <w:szCs w:val="20"/>
          <w:color w:val="auto"/>
        </w:rPr>
      </w:pPr>
      <w:r>
        <w:rPr>
          <w:rFonts w:ascii="Times New Roman" w:cs="Times New Roman" w:eastAsia="Times New Roman" w:hAnsi="Times New Roman"/>
          <w:sz w:val="21"/>
          <w:szCs w:val="21"/>
          <w:color w:val="auto"/>
        </w:rPr>
        <w:t>Employment” means the termination of the Grantee’s employment within the two-year period immediately following a Change in Control (x) by the Company or any of its affiliates without Cause or (y) by the Grantee for Good Reason. Upon a Qualifying Termination of Employment, Shares will be issued as soon as reasonably practicable following the date of the Qualifying Termination of Employment, less any Shares deducted for applicable withholding taxes.</w:t>
      </w:r>
    </w:p>
    <w:p>
      <w:pPr>
        <w:spacing w:after="0" w:line="175" w:lineRule="exact"/>
        <w:rPr>
          <w:sz w:val="20"/>
          <w:szCs w:val="20"/>
          <w:color w:val="auto"/>
        </w:rPr>
      </w:pPr>
    </w:p>
    <w:p>
      <w:pPr>
        <w:ind w:left="266" w:hanging="266"/>
        <w:spacing w:after="0"/>
        <w:tabs>
          <w:tab w:leader="none" w:pos="266"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Award, “Cause” means the occurrence of any of the following:</w:t>
      </w:r>
    </w:p>
    <w:p>
      <w:pPr>
        <w:spacing w:after="0" w:line="197" w:lineRule="exact"/>
        <w:rPr>
          <w:rFonts w:ascii="Times New Roman" w:cs="Times New Roman" w:eastAsia="Times New Roman" w:hAnsi="Times New Roman"/>
          <w:sz w:val="21"/>
          <w:szCs w:val="21"/>
          <w:color w:val="auto"/>
        </w:rPr>
      </w:pPr>
    </w:p>
    <w:p>
      <w:pPr>
        <w:jc w:val="both"/>
        <w:ind w:left="926" w:right="620" w:firstLine="4"/>
        <w:spacing w:after="0" w:line="211" w:lineRule="auto"/>
        <w:tabs>
          <w:tab w:leader="none" w:pos="1212"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act or omission by the Grantee which constitutes a material willful breach of the Grantee’s obligations to the Company or any of its affiliates or the Grantee’s continued and willful refusal to substantially perform satisfactorily any duties reasonably required of the Grantee, which results in material injury to the interest or business reputation of the Company or any of its affiliates and which breach, failure or refusal (if susceptible to cure) is not corrected (other than failure to correct by reason of the Grantee’s incapacity due to physical or mental illness) within thirty (30) days after written notification thereof to the Grantee by the Company;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act or failure to act on the Grantee’s part shall be deemed willful unless done or omitted to be done by the Grantee not in good faith and without reasonable belief that the Grantee’s action or omission was in the best interest of the Company or its affiliates;</w:t>
      </w:r>
    </w:p>
    <w:p>
      <w:pPr>
        <w:spacing w:after="0" w:line="176" w:lineRule="exact"/>
        <w:rPr>
          <w:rFonts w:ascii="Times New Roman" w:cs="Times New Roman" w:eastAsia="Times New Roman" w:hAnsi="Times New Roman"/>
          <w:sz w:val="21"/>
          <w:szCs w:val="21"/>
          <w:color w:val="auto"/>
        </w:rPr>
      </w:pPr>
    </w:p>
    <w:p>
      <w:pPr>
        <w:jc w:val="both"/>
        <w:ind w:left="926" w:right="620" w:firstLine="4"/>
        <w:spacing w:after="0" w:line="225" w:lineRule="auto"/>
        <w:tabs>
          <w:tab w:leader="none" w:pos="1233"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Grantee’s commission of any dishonest or fraudulent act, which has caused or may reasonably be expected to cause a material injury to the interest or business reputation of the Company or any of its affiliates;</w:t>
      </w:r>
    </w:p>
    <w:p>
      <w:pPr>
        <w:spacing w:after="0" w:line="169" w:lineRule="exact"/>
        <w:rPr>
          <w:rFonts w:ascii="Times New Roman" w:cs="Times New Roman" w:eastAsia="Times New Roman" w:hAnsi="Times New Roman"/>
          <w:sz w:val="21"/>
          <w:szCs w:val="21"/>
          <w:color w:val="auto"/>
        </w:rPr>
      </w:pPr>
    </w:p>
    <w:p>
      <w:pPr>
        <w:jc w:val="both"/>
        <w:ind w:left="926" w:right="620" w:firstLine="4"/>
        <w:spacing w:after="0" w:line="227" w:lineRule="auto"/>
        <w:tabs>
          <w:tab w:leader="none" w:pos="1307"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Grantee’s plea of guilty or </w:t>
      </w:r>
      <w:r>
        <w:rPr>
          <w:rFonts w:ascii="Times New Roman" w:cs="Times New Roman" w:eastAsia="Times New Roman" w:hAnsi="Times New Roman"/>
          <w:sz w:val="21"/>
          <w:szCs w:val="21"/>
          <w:i w:val="1"/>
          <w:iCs w:val="1"/>
          <w:color w:val="auto"/>
        </w:rPr>
        <w:t>nolo contendere</w:t>
      </w:r>
      <w:r>
        <w:rPr>
          <w:rFonts w:ascii="Times New Roman" w:cs="Times New Roman" w:eastAsia="Times New Roman" w:hAnsi="Times New Roman"/>
          <w:sz w:val="21"/>
          <w:szCs w:val="21"/>
          <w:color w:val="auto"/>
        </w:rPr>
        <w:t xml:space="preserve"> to or conviction of a felony under the laws of the United States or any state thereof or any other plea or confession of a similar crime in a jurisdiction in which the Company or any of its affiliates conducts business; or</w:t>
      </w:r>
    </w:p>
    <w:p>
      <w:pPr>
        <w:spacing w:after="0" w:line="171" w:lineRule="exact"/>
        <w:rPr>
          <w:rFonts w:ascii="Times New Roman" w:cs="Times New Roman" w:eastAsia="Times New Roman" w:hAnsi="Times New Roman"/>
          <w:sz w:val="21"/>
          <w:szCs w:val="21"/>
          <w:color w:val="auto"/>
        </w:rPr>
      </w:pPr>
    </w:p>
    <w:p>
      <w:pPr>
        <w:ind w:left="926" w:right="620" w:firstLine="4"/>
        <w:spacing w:after="0" w:line="236" w:lineRule="auto"/>
        <w:tabs>
          <w:tab w:leader="none" w:pos="1323"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Grantee’s commission of a fraudulent act or participation in misconduct which leads to a material restatement of the Company’s financial statements.</w:t>
      </w:r>
    </w:p>
    <w:p>
      <w:pPr>
        <w:spacing w:after="0" w:line="171" w:lineRule="exact"/>
        <w:rPr>
          <w:rFonts w:ascii="Times New Roman" w:cs="Times New Roman" w:eastAsia="Times New Roman" w:hAnsi="Times New Roman"/>
          <w:sz w:val="21"/>
          <w:szCs w:val="21"/>
          <w:color w:val="auto"/>
        </w:rPr>
      </w:pPr>
    </w:p>
    <w:p>
      <w:pPr>
        <w:ind w:left="306" w:right="620" w:hanging="306"/>
        <w:spacing w:after="0" w:line="236" w:lineRule="auto"/>
        <w:tabs>
          <w:tab w:leader="none" w:pos="326"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w:t>
      </w:r>
      <w:r>
        <w:rPr>
          <w:rFonts w:ascii="Times New Roman" w:cs="Times New Roman" w:eastAsia="Times New Roman" w:hAnsi="Times New Roman"/>
          <w:sz w:val="21"/>
          <w:szCs w:val="21"/>
          <w:u w:val="single" w:color="auto"/>
          <w:color w:val="auto"/>
        </w:rPr>
        <w:t>Executive</w:t>
      </w:r>
      <w:r>
        <w:rPr>
          <w:rFonts w:ascii="Times New Roman" w:cs="Times New Roman" w:eastAsia="Times New Roman" w:hAnsi="Times New Roman"/>
          <w:sz w:val="21"/>
          <w:szCs w:val="21"/>
          <w:color w:val="auto"/>
        </w:rPr>
        <w:t>” means the Company’s Chief Executive Officer and any other employee with a title of Vice President or above.</w:t>
      </w:r>
    </w:p>
    <w:p>
      <w:pPr>
        <w:spacing w:after="0" w:line="171" w:lineRule="exact"/>
        <w:rPr>
          <w:rFonts w:ascii="Times New Roman" w:cs="Times New Roman" w:eastAsia="Times New Roman" w:hAnsi="Times New Roman"/>
          <w:sz w:val="21"/>
          <w:szCs w:val="21"/>
          <w:color w:val="auto"/>
        </w:rPr>
      </w:pPr>
    </w:p>
    <w:p>
      <w:pPr>
        <w:ind w:left="286" w:hanging="286"/>
        <w:spacing w:after="0"/>
        <w:tabs>
          <w:tab w:leader="none" w:pos="286"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Award, “Good Reason” means the occurrence of any of the following:</w:t>
      </w:r>
    </w:p>
    <w:p>
      <w:pPr>
        <w:spacing w:after="0" w:line="197" w:lineRule="exact"/>
        <w:rPr>
          <w:rFonts w:ascii="Times New Roman" w:cs="Times New Roman" w:eastAsia="Times New Roman" w:hAnsi="Times New Roman"/>
          <w:sz w:val="21"/>
          <w:szCs w:val="21"/>
          <w:color w:val="auto"/>
        </w:rPr>
      </w:pPr>
    </w:p>
    <w:p>
      <w:pPr>
        <w:jc w:val="both"/>
        <w:ind w:left="926" w:right="620" w:firstLine="4"/>
        <w:spacing w:after="0" w:line="220" w:lineRule="auto"/>
        <w:tabs>
          <w:tab w:leader="none" w:pos="1239"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material diminution in the Grantee’s title, status, position, the scope of duties assigned, responsibilities or authority, including the assignment to the Grantee of any duties, responsibilities or authority in any manner adverse to the Grantee or inconsistent with the duties, responsibilities and authority assigned to the Grantee prior to a Change in Control;</w:t>
      </w:r>
    </w:p>
    <w:p>
      <w:pPr>
        <w:spacing w:after="0" w:line="174" w:lineRule="exact"/>
        <w:rPr>
          <w:rFonts w:ascii="Times New Roman" w:cs="Times New Roman" w:eastAsia="Times New Roman" w:hAnsi="Times New Roman"/>
          <w:sz w:val="21"/>
          <w:szCs w:val="21"/>
          <w:color w:val="auto"/>
        </w:rPr>
      </w:pPr>
    </w:p>
    <w:p>
      <w:pPr>
        <w:ind w:left="926" w:right="620" w:firstLine="4"/>
        <w:spacing w:after="0" w:line="236" w:lineRule="auto"/>
        <w:tabs>
          <w:tab w:leader="none" w:pos="1281"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reduction in the Grantee’s base salary, annual target cash bonus opportunity or long-term incentive award opportunity immediately prior to a Change in Control;</w:t>
      </w:r>
    </w:p>
    <w:p>
      <w:pPr>
        <w:spacing w:after="0" w:line="171" w:lineRule="exact"/>
        <w:rPr>
          <w:rFonts w:ascii="Times New Roman" w:cs="Times New Roman" w:eastAsia="Times New Roman" w:hAnsi="Times New Roman"/>
          <w:sz w:val="21"/>
          <w:szCs w:val="21"/>
          <w:color w:val="auto"/>
        </w:rPr>
      </w:pPr>
    </w:p>
    <w:p>
      <w:pPr>
        <w:ind w:left="926" w:right="620" w:firstLine="4"/>
        <w:spacing w:after="0" w:line="236" w:lineRule="auto"/>
        <w:tabs>
          <w:tab w:leader="none" w:pos="1292"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relocation of more than fifty (50) miles from the location of the Grantee’s principal job location or office prior to a Change in Control; or</w:t>
      </w:r>
    </w:p>
    <w:p>
      <w:pPr>
        <w:spacing w:after="0" w:line="171" w:lineRule="exact"/>
        <w:rPr>
          <w:rFonts w:ascii="Times New Roman" w:cs="Times New Roman" w:eastAsia="Times New Roman" w:hAnsi="Times New Roman"/>
          <w:sz w:val="21"/>
          <w:szCs w:val="21"/>
          <w:color w:val="auto"/>
        </w:rPr>
      </w:pPr>
    </w:p>
    <w:p>
      <w:pPr>
        <w:jc w:val="both"/>
        <w:ind w:left="926" w:right="620" w:firstLine="4"/>
        <w:spacing w:after="0" w:line="228" w:lineRule="auto"/>
        <w:tabs>
          <w:tab w:leader="none" w:pos="128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other action or inaction that constitutes a material breach by the Company or any of its affiliates of any employment or similar agreement pursuant to which the Grantee provides services to the Company or any of its affiliates;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the Grantee provides the Company with a written notice of termination indicating the Grantee’s intent to terminate his or her employment for Good Reason within ninety (90) days after the Grantee becoming aware of any circumstances set forth above, that the</w:t>
      </w:r>
    </w:p>
    <w:p>
      <w:pPr>
        <w:sectPr>
          <w:pgSz w:w="11900" w:h="16838" w:orient="portrait"/>
          <w:cols w:equalWidth="0" w:num="1">
            <w:col w:w="10306"/>
          </w:cols>
          <w:pgMar w:left="1254" w:top="544"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9"/>
          <w:szCs w:val="19"/>
          <w:b w:val="1"/>
          <w:bCs w:val="1"/>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860" w:right="620"/>
        <w:spacing w:after="0" w:line="220" w:lineRule="auto"/>
        <w:rPr>
          <w:sz w:val="20"/>
          <w:szCs w:val="20"/>
          <w:color w:val="auto"/>
        </w:rPr>
      </w:pPr>
      <w:r>
        <w:rPr>
          <w:rFonts w:ascii="Times New Roman" w:cs="Times New Roman" w:eastAsia="Times New Roman" w:hAnsi="Times New Roman"/>
          <w:sz w:val="21"/>
          <w:szCs w:val="21"/>
          <w:color w:val="auto"/>
        </w:rPr>
        <w:t>Grantee provides the Company with at least thirty (30) days following receipt of such notice to remedy such circumstances, and, if the Company fails to remedy such circumstances during such thirty (30) day period, that the Grantee terminates his or her employment no later than sixty (60) days after the end of such thirty (30) day period.</w:t>
      </w:r>
    </w:p>
    <w:p>
      <w:pPr>
        <w:spacing w:after="0" w:line="174" w:lineRule="exact"/>
        <w:rPr>
          <w:sz w:val="20"/>
          <w:szCs w:val="20"/>
          <w:color w:val="auto"/>
        </w:rPr>
      </w:pPr>
    </w:p>
    <w:p>
      <w:pPr>
        <w:jc w:val="both"/>
        <w:ind w:left="1240" w:right="620" w:hanging="306"/>
        <w:spacing w:after="0" w:line="237" w:lineRule="auto"/>
        <w:tabs>
          <w:tab w:leader="none" w:pos="1237" w:val="left"/>
        </w:tabs>
        <w:numPr>
          <w:ilvl w:val="2"/>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Award, a “Reduction in Force” means an involuntary termination of the Grantee’s employment with the Company and its Subsidiaries by the Company or the applicable Subsidiary without cause (as determined by the Committee) due to a reduction in force as specified and implemented by the Company.</w:t>
      </w:r>
    </w:p>
    <w:p>
      <w:pPr>
        <w:spacing w:after="0" w:line="171" w:lineRule="exact"/>
        <w:rPr>
          <w:rFonts w:ascii="Times New Roman" w:cs="Times New Roman" w:eastAsia="Times New Roman" w:hAnsi="Times New Roman"/>
          <w:sz w:val="20"/>
          <w:szCs w:val="20"/>
          <w:color w:val="auto"/>
        </w:rPr>
      </w:pPr>
    </w:p>
    <w:p>
      <w:pPr>
        <w:jc w:val="right"/>
        <w:ind w:left="320" w:hanging="317"/>
        <w:spacing w:after="0" w:line="218" w:lineRule="auto"/>
        <w:tabs>
          <w:tab w:leader="none" w:pos="23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consideration of the grant to the Grantee of this Award, the Grantee agrees that, during the period beginning on the date of the termination of the Grantee’s employment for any reason, including retirement or any voluntary resignation (the “Termination Date”) and ending on the first anniversary of the Termination Date, the Grantee will not, without the Company’s express written consent, (i) directly or indirectly solicit, induce or attempt to induce any employees, agents or consultants of the Company or its subsidiaries or affiliates to do anything from which the Grantee is restricted by reason of this Award; (ii) directly or indirectly solicit, induce or aid others to solicit or induce any employees, agents or consultants of the Company or any of its subsidiaries or affiliates to terminate their employment or engagement with the Company or any of its subsidiaries or affiliates and/or to enter into an employment, agency or consultancy relationship with Grantee or any other person or entity with whom Grantee is affiliated; or</w:t>
      </w:r>
    </w:p>
    <w:p>
      <w:pPr>
        <w:spacing w:after="0" w:line="4" w:lineRule="exact"/>
        <w:rPr>
          <w:rFonts w:ascii="Times New Roman" w:cs="Times New Roman" w:eastAsia="Times New Roman" w:hAnsi="Times New Roman"/>
          <w:sz w:val="20"/>
          <w:szCs w:val="20"/>
          <w:color w:val="auto"/>
        </w:rPr>
      </w:pPr>
    </w:p>
    <w:p>
      <w:pPr>
        <w:jc w:val="both"/>
        <w:ind w:left="320" w:hanging="7"/>
        <w:spacing w:after="0" w:line="210" w:lineRule="auto"/>
        <w:tabs>
          <w:tab w:leader="none" w:pos="708"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own, manage, operate, control, render service to, or participate in the ownership, management, operation or control of any Competitor (as defined below) anywhere in the United States or in any non U.S. jurisdiction in which the Company is engaged or plans to engage in business as of the Termination Date;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Grantee will be entitled to own shares of stock of any corporation having a class of equity securities actively traded on a national securities exchange or the Nasdaq Stock Market which represent, in the aggregate, not more than 1% of such corporation’s fully-diluted shares. For purposes of this Award, “Competitor” means any company, other entity or association or individual that directly or indirectly is engaged in (i) the business of oil or gas exploration or production or (ii) any other business in which the Company or any of its subsidiaries is engaged as of the Termination Date.</w:t>
      </w:r>
    </w:p>
    <w:p>
      <w:pPr>
        <w:spacing w:after="0" w:line="174" w:lineRule="exact"/>
        <w:rPr>
          <w:rFonts w:ascii="Times New Roman" w:cs="Times New Roman" w:eastAsia="Times New Roman" w:hAnsi="Times New Roman"/>
          <w:sz w:val="21"/>
          <w:szCs w:val="21"/>
          <w:color w:val="auto"/>
        </w:rPr>
      </w:pPr>
    </w:p>
    <w:p>
      <w:pPr>
        <w:ind w:left="320" w:hanging="317"/>
        <w:spacing w:after="0" w:line="236" w:lineRule="auto"/>
        <w:tabs>
          <w:tab w:leader="none" w:pos="243"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any relevant change in the capitalization of the Company subsequent to the Grant Date and prior to the Award becoming vested, the number of Units subject to the Award will be equitably adjusted pursuant to the Plan to reflect that change.</w:t>
      </w:r>
    </w:p>
    <w:p>
      <w:pPr>
        <w:spacing w:after="0" w:line="171" w:lineRule="exact"/>
        <w:rPr>
          <w:rFonts w:ascii="Times New Roman" w:cs="Times New Roman" w:eastAsia="Times New Roman" w:hAnsi="Times New Roman"/>
          <w:sz w:val="21"/>
          <w:szCs w:val="21"/>
          <w:color w:val="auto"/>
        </w:rPr>
      </w:pPr>
    </w:p>
    <w:p>
      <w:pPr>
        <w:ind w:left="320" w:hanging="317"/>
        <w:spacing w:after="0" w:line="236" w:lineRule="auto"/>
        <w:tabs>
          <w:tab w:leader="none" w:pos="243"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Award is not assignable except as provided under the Plan in the case of death, and is not subject in whole or in part to attachment, execution or levy of any kind.</w:t>
      </w:r>
    </w:p>
    <w:p>
      <w:pPr>
        <w:spacing w:after="0" w:line="171" w:lineRule="exact"/>
        <w:rPr>
          <w:rFonts w:ascii="Times New Roman" w:cs="Times New Roman" w:eastAsia="Times New Roman" w:hAnsi="Times New Roman"/>
          <w:sz w:val="21"/>
          <w:szCs w:val="21"/>
          <w:color w:val="auto"/>
        </w:rPr>
      </w:pPr>
    </w:p>
    <w:p>
      <w:pPr>
        <w:ind w:left="320" w:right="440" w:hanging="317"/>
        <w:spacing w:after="0" w:line="236" w:lineRule="auto"/>
        <w:tabs>
          <w:tab w:leader="none" w:pos="217"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Grantee shall have no voting rights with respect to Shares underlying the Units unless and until such Shares are reflected as issued and outstanding shares on the Company’s stock ledger.</w:t>
      </w:r>
    </w:p>
    <w:p>
      <w:pPr>
        <w:spacing w:after="0" w:line="171" w:lineRule="exact"/>
        <w:rPr>
          <w:rFonts w:ascii="Times New Roman" w:cs="Times New Roman" w:eastAsia="Times New Roman" w:hAnsi="Times New Roman"/>
          <w:sz w:val="21"/>
          <w:szCs w:val="21"/>
          <w:color w:val="auto"/>
        </w:rPr>
      </w:pPr>
    </w:p>
    <w:p>
      <w:pPr>
        <w:ind w:left="320" w:hanging="317"/>
        <w:spacing w:after="0" w:line="220" w:lineRule="auto"/>
        <w:tabs>
          <w:tab w:leader="none" w:pos="222"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Grantee shall not be eligible to receive any dividends or other distributions paid with respect to the Award during the Restricted Period. An amount equivalent to these dividends and/or other distributions shall be paid to the Grantee upon the issuance of Shares and payment of the Award. Any such payment (unadjusted for interest) shall be made in whole Shares, valued as of the date that this Award becomes vested, subject to any Shares deducted for applicable withholding taxes.</w:t>
      </w:r>
    </w:p>
    <w:p>
      <w:pPr>
        <w:spacing w:after="0" w:line="174" w:lineRule="exact"/>
        <w:rPr>
          <w:rFonts w:ascii="Times New Roman" w:cs="Times New Roman" w:eastAsia="Times New Roman" w:hAnsi="Times New Roman"/>
          <w:sz w:val="21"/>
          <w:szCs w:val="21"/>
          <w:color w:val="auto"/>
        </w:rPr>
      </w:pPr>
    </w:p>
    <w:p>
      <w:pPr>
        <w:ind w:left="320" w:hanging="317"/>
        <w:spacing w:after="0" w:line="221" w:lineRule="auto"/>
        <w:tabs>
          <w:tab w:leader="none" w:pos="227"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Grantee hereby acknowledges and agrees that the Grantee and the Award are subject to the terms and conditions of Section 21 (Clawback) of the Plan. Without limiting the foregoing sentence, by accepting this Award and the benefits provided hereunder, the Grantee hereby acknowledges and agrees that the Grantee, this Award, any other award granted to the Grantee under the Plan and any other incentive-based compensation (including any equity-based awards or cash-based awards) provided to the Grantee shall be subject to the Murphy Oil Corporation Compensation Recoupment Policy (as may be amended from time to time, the “</w:t>
      </w:r>
      <w:r>
        <w:rPr>
          <w:rFonts w:ascii="Times New Roman" w:cs="Times New Roman" w:eastAsia="Times New Roman" w:hAnsi="Times New Roman"/>
          <w:sz w:val="20"/>
          <w:szCs w:val="20"/>
          <w:u w:val="single" w:color="auto"/>
          <w:color w:val="auto"/>
        </w:rPr>
        <w:t>Recoupment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 or any other clawback or recoupment arrangements or policies the Company has in place from time to time, in each case, subject to the terms and conditions thereof. Accordingly, the Grantee agrees and acknowledges that this Award, any other award granted to the Grantee under the Plan and any other incentive-based compensation provided to the Grantee (as well as any other payments or benefits derived from such amounts, including any Shares issued or cash received upon vesting, exercise or settlement of any such awards or sale of Shares underlying such awards), which may include awards and other incentive-based compensation provided to the Grantee prior to the date of this Agreement, may be subject to forfeiture and/or recoupment in accordance with the terms of the Recoupment Policy or such other applicable clawback or recoupment arrangements or policies.</w:t>
      </w:r>
    </w:p>
    <w:p>
      <w:pPr>
        <w:sectPr>
          <w:pgSz w:w="11900" w:h="16838" w:orient="portrait"/>
          <w:cols w:equalWidth="0" w:num="1">
            <w:col w:w="11240"/>
          </w:cols>
          <w:pgMar w:left="320" w:top="544" w:right="339" w:bottom="1440" w:gutter="0" w:footer="0" w:header="0"/>
        </w:sectPr>
      </w:pPr>
    </w:p>
    <w:bookmarkStart w:id="53" w:name="page54"/>
    <w:bookmarkEnd w:id="53"/>
    <w:p>
      <w:pPr>
        <w:ind w:left="9980"/>
        <w:spacing w:after="0"/>
        <w:rPr>
          <w:sz w:val="20"/>
          <w:szCs w:val="20"/>
          <w:color w:val="auto"/>
        </w:rPr>
      </w:pPr>
      <w:r>
        <w:rPr>
          <w:rFonts w:ascii="Arial" w:cs="Arial" w:eastAsia="Arial" w:hAnsi="Arial"/>
          <w:sz w:val="18"/>
          <w:szCs w:val="18"/>
          <w:b w:val="1"/>
          <w:bCs w:val="1"/>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20" w:hanging="317"/>
        <w:spacing w:after="0" w:line="220" w:lineRule="auto"/>
        <w:tabs>
          <w:tab w:leader="none" w:pos="217"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and this Agreement are administered by the Executive Compensation Committee of the Board of Directors of Murphy Oil Corporation. In the event of any conflict between the terms and provisions of the Plan and this Agreement, the terms and provisions of the Plan shall control. The Executive Compensation Committee has the full authority to interpret and administer the Plan consistent with the terms and provisions of the plan document.</w:t>
      </w:r>
    </w:p>
    <w:p>
      <w:pPr>
        <w:spacing w:after="0" w:line="200" w:lineRule="exact"/>
        <w:rPr>
          <w:sz w:val="20"/>
          <w:szCs w:val="20"/>
          <w:color w:val="auto"/>
        </w:rPr>
      </w:pPr>
    </w:p>
    <w:p>
      <w:pPr>
        <w:spacing w:after="0" w:line="211"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9"/>
          <w:szCs w:val="19"/>
          <w:color w:val="auto"/>
        </w:rPr>
        <w:t>Attest:</w:t>
      </w:r>
      <w:r>
        <w:rPr>
          <w:sz w:val="20"/>
          <w:szCs w:val="20"/>
          <w:color w:val="auto"/>
        </w:rPr>
        <w:tab/>
      </w:r>
      <w:r>
        <w:rPr>
          <w:rFonts w:ascii="Times New Roman" w:cs="Times New Roman" w:eastAsia="Times New Roman" w:hAnsi="Times New Roman"/>
          <w:sz w:val="19"/>
          <w:szCs w:val="19"/>
          <w:color w:val="auto"/>
        </w:rPr>
        <w:t>Murphy Oil Corporation</w:t>
      </w:r>
    </w:p>
    <w:p>
      <w:pPr>
        <w:spacing w:after="0" w:line="200" w:lineRule="exact"/>
        <w:rPr>
          <w:sz w:val="20"/>
          <w:szCs w:val="20"/>
          <w:color w:val="auto"/>
        </w:rPr>
      </w:pPr>
    </w:p>
    <w:p>
      <w:pPr>
        <w:spacing w:after="0" w:line="383" w:lineRule="exact"/>
        <w:rPr>
          <w:sz w:val="20"/>
          <w:szCs w:val="20"/>
          <w:color w:val="auto"/>
        </w:rPr>
      </w:pPr>
    </w:p>
    <w:p>
      <w:pPr>
        <w:spacing w:after="0"/>
        <w:tabs>
          <w:tab w:leader="none" w:pos="3920" w:val="left"/>
        </w:tabs>
        <w:rPr>
          <w:sz w:val="20"/>
          <w:szCs w:val="20"/>
          <w:color w:val="auto"/>
        </w:rPr>
      </w:pPr>
      <w:r>
        <w:rPr>
          <w:rFonts w:ascii="Times New Roman" w:cs="Times New Roman" w:eastAsia="Times New Roman" w:hAnsi="Times New Roman"/>
          <w:sz w:val="19"/>
          <w:szCs w:val="19"/>
          <w:color w:val="auto"/>
        </w:rPr>
        <w:t>_______________________________________</w:t>
        <w:tab/>
        <w:t>By _____________________________________</w:t>
      </w:r>
    </w:p>
    <w:p>
      <w:pPr>
        <w:sectPr>
          <w:pgSz w:w="11900" w:h="16838" w:orient="portrait"/>
          <w:cols w:equalWidth="0" w:num="1">
            <w:col w:w="11240"/>
          </w:cols>
          <w:pgMar w:left="320" w:top="545"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7"/>
          <w:szCs w:val="17"/>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I, Eric M. Hambly, certify that:</w:t>
      </w:r>
    </w:p>
    <w:p>
      <w:pPr>
        <w:spacing w:after="0" w:line="192" w:lineRule="exact"/>
        <w:rPr>
          <w:sz w:val="20"/>
          <w:szCs w:val="20"/>
          <w:color w:val="auto"/>
        </w:rPr>
      </w:pPr>
    </w:p>
    <w:p>
      <w:pPr>
        <w:ind w:left="300" w:hanging="297"/>
        <w:spacing w:after="0"/>
        <w:tabs>
          <w:tab w:leader="none" w:pos="3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Murphy Oil Corporation;</w:t>
      </w:r>
    </w:p>
    <w:p>
      <w:pPr>
        <w:spacing w:after="0" w:line="179" w:lineRule="exact"/>
        <w:rPr>
          <w:rFonts w:ascii="Arial" w:cs="Arial" w:eastAsia="Arial" w:hAnsi="Arial"/>
          <w:sz w:val="17"/>
          <w:szCs w:val="17"/>
          <w:color w:val="auto"/>
        </w:rPr>
      </w:pPr>
    </w:p>
    <w:p>
      <w:pPr>
        <w:jc w:val="both"/>
        <w:ind w:left="320" w:right="80" w:hanging="317"/>
        <w:spacing w:after="0" w:line="272" w:lineRule="auto"/>
        <w:tabs>
          <w:tab w:leader="none" w:pos="309"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7"/>
          <w:szCs w:val="17"/>
          <w:color w:val="auto"/>
        </w:rPr>
      </w:pPr>
    </w:p>
    <w:p>
      <w:pPr>
        <w:ind w:left="320" w:right="220" w:hanging="317"/>
        <w:spacing w:after="0" w:line="291" w:lineRule="auto"/>
        <w:tabs>
          <w:tab w:leader="none" w:pos="309"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320" w:right="140" w:hanging="317"/>
        <w:spacing w:after="0" w:line="263" w:lineRule="auto"/>
        <w:tabs>
          <w:tab w:leader="none" w:pos="309"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163" w:lineRule="exact"/>
        <w:rPr>
          <w:rFonts w:ascii="Arial" w:cs="Arial" w:eastAsia="Arial" w:hAnsi="Arial"/>
          <w:sz w:val="17"/>
          <w:szCs w:val="17"/>
          <w:color w:val="auto"/>
        </w:rPr>
      </w:pPr>
    </w:p>
    <w:p>
      <w:pPr>
        <w:ind w:left="620" w:right="320" w:hanging="307"/>
        <w:spacing w:after="0" w:line="272" w:lineRule="auto"/>
        <w:tabs>
          <w:tab w:leader="none" w:pos="618" w:val="left"/>
        </w:tabs>
        <w:numPr>
          <w:ilvl w:val="1"/>
          <w:numId w:val="4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Arial" w:cs="Arial" w:eastAsia="Arial" w:hAnsi="Arial"/>
          <w:sz w:val="17"/>
          <w:szCs w:val="17"/>
          <w:color w:val="auto"/>
        </w:rPr>
      </w:pPr>
    </w:p>
    <w:p>
      <w:pPr>
        <w:ind w:left="620" w:right="220" w:hanging="307"/>
        <w:spacing w:after="0" w:line="272" w:lineRule="auto"/>
        <w:tabs>
          <w:tab w:leader="none" w:pos="605" w:val="left"/>
        </w:tabs>
        <w:numPr>
          <w:ilvl w:val="1"/>
          <w:numId w:val="4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Arial" w:cs="Arial" w:eastAsia="Arial" w:hAnsi="Arial"/>
          <w:sz w:val="17"/>
          <w:szCs w:val="17"/>
          <w:color w:val="auto"/>
        </w:rPr>
      </w:pPr>
    </w:p>
    <w:p>
      <w:pPr>
        <w:jc w:val="both"/>
        <w:ind w:left="620" w:right="240" w:hanging="307"/>
        <w:spacing w:after="0" w:line="291" w:lineRule="auto"/>
        <w:tabs>
          <w:tab w:leader="none" w:pos="621" w:val="left"/>
        </w:tabs>
        <w:numPr>
          <w:ilvl w:val="1"/>
          <w:numId w:val="4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7"/>
          <w:szCs w:val="17"/>
          <w:color w:val="auto"/>
        </w:rPr>
      </w:pPr>
    </w:p>
    <w:p>
      <w:pPr>
        <w:ind w:left="620" w:right="80" w:hanging="307"/>
        <w:spacing w:after="0" w:line="272" w:lineRule="auto"/>
        <w:tabs>
          <w:tab w:leader="none" w:pos="605" w:val="left"/>
        </w:tabs>
        <w:numPr>
          <w:ilvl w:val="1"/>
          <w:numId w:val="4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controls over financial reporting; and</w:t>
      </w:r>
    </w:p>
    <w:p>
      <w:pPr>
        <w:spacing w:after="0" w:line="123" w:lineRule="exact"/>
        <w:rPr>
          <w:rFonts w:ascii="Arial" w:cs="Arial" w:eastAsia="Arial" w:hAnsi="Arial"/>
          <w:sz w:val="17"/>
          <w:szCs w:val="17"/>
          <w:color w:val="auto"/>
        </w:rPr>
      </w:pPr>
    </w:p>
    <w:p>
      <w:pPr>
        <w:ind w:left="320" w:right="160" w:hanging="317"/>
        <w:spacing w:after="0" w:line="291" w:lineRule="auto"/>
        <w:tabs>
          <w:tab w:leader="none" w:pos="309"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7"/>
          <w:szCs w:val="17"/>
          <w:color w:val="auto"/>
        </w:rPr>
      </w:pPr>
    </w:p>
    <w:p>
      <w:pPr>
        <w:ind w:left="620" w:right="760" w:hanging="307"/>
        <w:spacing w:after="0" w:line="291" w:lineRule="auto"/>
        <w:tabs>
          <w:tab w:leader="none" w:pos="618"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left="620" w:right="380" w:hanging="307"/>
        <w:spacing w:after="0" w:line="291" w:lineRule="auto"/>
        <w:tabs>
          <w:tab w:leader="none" w:pos="605" w:val="left"/>
        </w:tabs>
        <w:numPr>
          <w:ilvl w:val="1"/>
          <w:numId w:val="4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controls over financial reporting.</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May 7, 2025</w:t>
      </w:r>
    </w:p>
    <w:p>
      <w:pPr>
        <w:spacing w:after="0" w:line="200" w:lineRule="exact"/>
        <w:rPr>
          <w:sz w:val="20"/>
          <w:szCs w:val="20"/>
          <w:color w:val="auto"/>
        </w:rPr>
      </w:pPr>
    </w:p>
    <w:p>
      <w:pPr>
        <w:spacing w:after="0" w:line="315" w:lineRule="exact"/>
        <w:rPr>
          <w:sz w:val="20"/>
          <w:szCs w:val="20"/>
          <w:color w:val="auto"/>
        </w:rPr>
      </w:pPr>
    </w:p>
    <w:p>
      <w:pPr>
        <w:ind w:left="140"/>
        <w:spacing w:after="0"/>
        <w:rPr>
          <w:sz w:val="20"/>
          <w:szCs w:val="20"/>
          <w:color w:val="auto"/>
        </w:rPr>
      </w:pPr>
      <w:r>
        <w:rPr>
          <w:rFonts w:ascii="Arial" w:cs="Arial" w:eastAsia="Arial" w:hAnsi="Arial"/>
          <w:sz w:val="17"/>
          <w:szCs w:val="17"/>
          <w:color w:val="auto"/>
        </w:rPr>
        <w:t>/s/ Eric M. Hambly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17392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1739265" cy="8255"/>
                    </a:xfrm>
                    <a:prstGeom prst="rect">
                      <a:avLst/>
                    </a:prstGeom>
                    <a:noFill/>
                  </pic:spPr>
                </pic:pic>
              </a:graphicData>
            </a:graphic>
          </wp:anchor>
        </w:drawing>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7"/>
          <w:szCs w:val="17"/>
          <w:color w:val="auto"/>
        </w:rPr>
        <w:t>Eric M. Hambly</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 31.1</w:t>
      </w:r>
    </w:p>
    <w:p>
      <w:pPr>
        <w:sectPr>
          <w:pgSz w:w="11900" w:h="16838" w:orient="portrait"/>
          <w:cols w:equalWidth="0" w:num="1">
            <w:col w:w="11240"/>
          </w:cols>
          <w:pgMar w:left="320" w:top="122"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7"/>
          <w:szCs w:val="17"/>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I, Thomas J. Mireles, certify that:</w:t>
      </w:r>
    </w:p>
    <w:p>
      <w:pPr>
        <w:spacing w:after="0" w:line="192" w:lineRule="exact"/>
        <w:rPr>
          <w:sz w:val="20"/>
          <w:szCs w:val="20"/>
          <w:color w:val="auto"/>
        </w:rPr>
      </w:pPr>
    </w:p>
    <w:p>
      <w:pPr>
        <w:ind w:left="300" w:hanging="297"/>
        <w:spacing w:after="0"/>
        <w:tabs>
          <w:tab w:leader="none" w:pos="3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Murphy Oil Corporation;</w:t>
      </w:r>
    </w:p>
    <w:p>
      <w:pPr>
        <w:spacing w:after="0" w:line="179" w:lineRule="exact"/>
        <w:rPr>
          <w:rFonts w:ascii="Arial" w:cs="Arial" w:eastAsia="Arial" w:hAnsi="Arial"/>
          <w:sz w:val="17"/>
          <w:szCs w:val="17"/>
          <w:color w:val="auto"/>
        </w:rPr>
      </w:pPr>
    </w:p>
    <w:p>
      <w:pPr>
        <w:jc w:val="both"/>
        <w:ind w:left="320" w:right="80" w:hanging="317"/>
        <w:spacing w:after="0" w:line="272" w:lineRule="auto"/>
        <w:tabs>
          <w:tab w:leader="none" w:pos="309"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7"/>
          <w:szCs w:val="17"/>
          <w:color w:val="auto"/>
        </w:rPr>
      </w:pPr>
    </w:p>
    <w:p>
      <w:pPr>
        <w:ind w:left="320" w:right="220" w:hanging="317"/>
        <w:spacing w:after="0" w:line="291" w:lineRule="auto"/>
        <w:tabs>
          <w:tab w:leader="none" w:pos="309"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320" w:right="140" w:hanging="317"/>
        <w:spacing w:after="0" w:line="263" w:lineRule="auto"/>
        <w:tabs>
          <w:tab w:leader="none" w:pos="309"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163" w:lineRule="exact"/>
        <w:rPr>
          <w:rFonts w:ascii="Arial" w:cs="Arial" w:eastAsia="Arial" w:hAnsi="Arial"/>
          <w:sz w:val="17"/>
          <w:szCs w:val="17"/>
          <w:color w:val="auto"/>
        </w:rPr>
      </w:pPr>
    </w:p>
    <w:p>
      <w:pPr>
        <w:ind w:left="620" w:right="320" w:hanging="307"/>
        <w:spacing w:after="0" w:line="272" w:lineRule="auto"/>
        <w:tabs>
          <w:tab w:leader="none" w:pos="618" w:val="left"/>
        </w:tabs>
        <w:numPr>
          <w:ilvl w:val="1"/>
          <w:numId w:val="4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Arial" w:cs="Arial" w:eastAsia="Arial" w:hAnsi="Arial"/>
          <w:sz w:val="17"/>
          <w:szCs w:val="17"/>
          <w:color w:val="auto"/>
        </w:rPr>
      </w:pPr>
    </w:p>
    <w:p>
      <w:pPr>
        <w:ind w:left="620" w:right="220" w:hanging="307"/>
        <w:spacing w:after="0" w:line="272" w:lineRule="auto"/>
        <w:tabs>
          <w:tab w:leader="none" w:pos="605" w:val="left"/>
        </w:tabs>
        <w:numPr>
          <w:ilvl w:val="1"/>
          <w:numId w:val="4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Arial" w:cs="Arial" w:eastAsia="Arial" w:hAnsi="Arial"/>
          <w:sz w:val="17"/>
          <w:szCs w:val="17"/>
          <w:color w:val="auto"/>
        </w:rPr>
      </w:pPr>
    </w:p>
    <w:p>
      <w:pPr>
        <w:jc w:val="both"/>
        <w:ind w:left="620" w:right="240" w:hanging="307"/>
        <w:spacing w:after="0" w:line="291" w:lineRule="auto"/>
        <w:tabs>
          <w:tab w:leader="none" w:pos="621" w:val="left"/>
        </w:tabs>
        <w:numPr>
          <w:ilvl w:val="1"/>
          <w:numId w:val="4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7"/>
          <w:szCs w:val="17"/>
          <w:color w:val="auto"/>
        </w:rPr>
      </w:pPr>
    </w:p>
    <w:p>
      <w:pPr>
        <w:ind w:left="620" w:right="80" w:hanging="307"/>
        <w:spacing w:after="0" w:line="272" w:lineRule="auto"/>
        <w:tabs>
          <w:tab w:leader="none" w:pos="605" w:val="left"/>
        </w:tabs>
        <w:numPr>
          <w:ilvl w:val="1"/>
          <w:numId w:val="4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controls over financial reporting; and</w:t>
      </w:r>
    </w:p>
    <w:p>
      <w:pPr>
        <w:spacing w:after="0" w:line="123" w:lineRule="exact"/>
        <w:rPr>
          <w:rFonts w:ascii="Arial" w:cs="Arial" w:eastAsia="Arial" w:hAnsi="Arial"/>
          <w:sz w:val="17"/>
          <w:szCs w:val="17"/>
          <w:color w:val="auto"/>
        </w:rPr>
      </w:pPr>
    </w:p>
    <w:p>
      <w:pPr>
        <w:ind w:left="320" w:right="160" w:hanging="317"/>
        <w:spacing w:after="0" w:line="291" w:lineRule="auto"/>
        <w:tabs>
          <w:tab w:leader="none" w:pos="309"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7"/>
          <w:szCs w:val="17"/>
          <w:color w:val="auto"/>
        </w:rPr>
      </w:pPr>
    </w:p>
    <w:p>
      <w:pPr>
        <w:ind w:left="620" w:right="760" w:hanging="307"/>
        <w:spacing w:after="0" w:line="291" w:lineRule="auto"/>
        <w:tabs>
          <w:tab w:leader="none" w:pos="618" w:val="left"/>
        </w:tabs>
        <w:numPr>
          <w:ilvl w:val="1"/>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left="620" w:right="380" w:hanging="307"/>
        <w:spacing w:after="0" w:line="291" w:lineRule="auto"/>
        <w:tabs>
          <w:tab w:leader="none" w:pos="605" w:val="left"/>
        </w:tabs>
        <w:numPr>
          <w:ilvl w:val="1"/>
          <w:numId w:val="4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controls over financial reporting.</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May 7, 2025</w:t>
      </w:r>
    </w:p>
    <w:p>
      <w:pPr>
        <w:spacing w:after="0" w:line="200" w:lineRule="exact"/>
        <w:rPr>
          <w:sz w:val="20"/>
          <w:szCs w:val="20"/>
          <w:color w:val="auto"/>
        </w:rPr>
      </w:pPr>
    </w:p>
    <w:p>
      <w:pPr>
        <w:spacing w:after="0" w:line="302" w:lineRule="exact"/>
        <w:rPr>
          <w:sz w:val="20"/>
          <w:szCs w:val="20"/>
          <w:color w:val="auto"/>
        </w:rPr>
      </w:pPr>
    </w:p>
    <w:p>
      <w:pPr>
        <w:ind w:left="140"/>
        <w:spacing w:after="0"/>
        <w:rPr>
          <w:sz w:val="20"/>
          <w:szCs w:val="20"/>
          <w:color w:val="auto"/>
        </w:rPr>
      </w:pPr>
      <w:r>
        <w:rPr>
          <w:rFonts w:ascii="Arial" w:cs="Arial" w:eastAsia="Arial" w:hAnsi="Arial"/>
          <w:sz w:val="17"/>
          <w:szCs w:val="17"/>
          <w:color w:val="auto"/>
        </w:rPr>
        <w:t>/s/ Thomas J. Mireles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16986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1698625"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Thomas J. Mireles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 31.2</w:t>
      </w:r>
    </w:p>
    <w:p>
      <w:pPr>
        <w:sectPr>
          <w:pgSz w:w="11900" w:h="16838" w:orient="portrait"/>
          <w:cols w:equalWidth="0" w:num="1">
            <w:col w:w="11240"/>
          </w:cols>
          <w:pgMar w:left="320" w:top="122"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7"/>
          <w:szCs w:val="17"/>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6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connection with the quarterly report of Murphy Oil Corporation (the “Company”) on Form 10-Q for the period ended March 31, 2025 as filed with the Securities and Exchange Commission on the date hereof (the “Report”), we, Eric M. Hambly and Thomas J. Mireles, Principal Executive Officer and Principal Financial Officer, respectively, of the Company, certify, pursuant to 18 U.S.C. § 1350, as adopted pursuant to § 906 of the Sarbanes-Oxley Act of 2002, that to our knowledge:</w:t>
      </w:r>
    </w:p>
    <w:p>
      <w:pPr>
        <w:spacing w:after="0" w:line="141" w:lineRule="exact"/>
        <w:rPr>
          <w:sz w:val="20"/>
          <w:szCs w:val="20"/>
          <w:color w:val="auto"/>
        </w:rPr>
      </w:pPr>
    </w:p>
    <w:p>
      <w:pPr>
        <w:ind w:left="480" w:hanging="322"/>
        <w:spacing w:after="0"/>
        <w:tabs>
          <w:tab w:leader="none" w:pos="4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79" w:lineRule="exact"/>
        <w:rPr>
          <w:rFonts w:ascii="Arial" w:cs="Arial" w:eastAsia="Arial" w:hAnsi="Arial"/>
          <w:sz w:val="17"/>
          <w:szCs w:val="17"/>
          <w:color w:val="auto"/>
        </w:rPr>
      </w:pPr>
    </w:p>
    <w:p>
      <w:pPr>
        <w:ind w:left="460" w:right="640" w:hanging="302"/>
        <w:spacing w:after="0" w:line="291" w:lineRule="auto"/>
        <w:tabs>
          <w:tab w:leader="none" w:pos="464"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May 7, 2025</w:t>
      </w:r>
    </w:p>
    <w:p>
      <w:pPr>
        <w:spacing w:after="0" w:line="200" w:lineRule="exact"/>
        <w:rPr>
          <w:sz w:val="20"/>
          <w:szCs w:val="20"/>
          <w:color w:val="auto"/>
        </w:rPr>
      </w:pPr>
    </w:p>
    <w:p>
      <w:pPr>
        <w:spacing w:after="0" w:line="315" w:lineRule="exact"/>
        <w:rPr>
          <w:sz w:val="20"/>
          <w:szCs w:val="20"/>
          <w:color w:val="auto"/>
        </w:rPr>
      </w:pPr>
    </w:p>
    <w:p>
      <w:pPr>
        <w:ind w:left="140"/>
        <w:spacing w:after="0"/>
        <w:rPr>
          <w:sz w:val="20"/>
          <w:szCs w:val="20"/>
          <w:color w:val="auto"/>
        </w:rPr>
      </w:pPr>
      <w:r>
        <w:rPr>
          <w:rFonts w:ascii="Arial" w:cs="Arial" w:eastAsia="Arial" w:hAnsi="Arial"/>
          <w:sz w:val="17"/>
          <w:szCs w:val="17"/>
          <w:color w:val="auto"/>
        </w:rPr>
        <w:t>/s/ Eric M. Hambly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17392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1739265" cy="8255"/>
                    </a:xfrm>
                    <a:prstGeom prst="rect">
                      <a:avLst/>
                    </a:prstGeom>
                    <a:noFill/>
                  </pic:spPr>
                </pic:pic>
              </a:graphicData>
            </a:graphic>
          </wp:anchor>
        </w:drawing>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7"/>
          <w:szCs w:val="17"/>
          <w:color w:val="auto"/>
        </w:rPr>
        <w:t>Eric M. Hambly</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Executive Officer</w:t>
      </w:r>
    </w:p>
    <w:p>
      <w:pPr>
        <w:spacing w:after="0" w:line="200" w:lineRule="exact"/>
        <w:rPr>
          <w:sz w:val="20"/>
          <w:szCs w:val="20"/>
          <w:color w:val="auto"/>
        </w:rPr>
      </w:pPr>
    </w:p>
    <w:p>
      <w:pPr>
        <w:spacing w:after="0" w:line="309" w:lineRule="exact"/>
        <w:rPr>
          <w:sz w:val="20"/>
          <w:szCs w:val="20"/>
          <w:color w:val="auto"/>
        </w:rPr>
      </w:pPr>
    </w:p>
    <w:p>
      <w:pPr>
        <w:ind w:left="140"/>
        <w:spacing w:after="0"/>
        <w:rPr>
          <w:sz w:val="20"/>
          <w:szCs w:val="20"/>
          <w:color w:val="auto"/>
        </w:rPr>
      </w:pPr>
      <w:r>
        <w:rPr>
          <w:rFonts w:ascii="Arial" w:cs="Arial" w:eastAsia="Arial" w:hAnsi="Arial"/>
          <w:sz w:val="17"/>
          <w:szCs w:val="17"/>
          <w:color w:val="auto"/>
        </w:rPr>
        <w:t>/s/ Thomas J. Mireles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16986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1698625"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Thomas J. Mireles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 32.1</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bullet"/>
      <w:start w:val="1"/>
    </w:lvl>
  </w:abstractNum>
  <w:abstractNum w:abstractNumId="3">
    <w:nsid w:val="8EDBDAB"/>
    <w:multiLevelType w:val="hybridMultilevel"/>
    <w:lvl w:ilvl="0">
      <w:lvlJc w:val="left"/>
      <w:lvlText w:val="2"/>
      <w:numFmt w:val="bullet"/>
      <w:start w:val="1"/>
    </w:lvl>
  </w:abstractNum>
  <w:abstractNum w:abstractNumId="4">
    <w:nsid w:val="79838CB2"/>
    <w:multiLevelType w:val="hybridMultilevel"/>
    <w:lvl w:ilvl="0">
      <w:lvlJc w:val="left"/>
      <w:lvlText w:val="1"/>
      <w:numFmt w:val="bullet"/>
      <w:start w:val="1"/>
    </w:lvl>
  </w:abstractNum>
  <w:abstractNum w:abstractNumId="5">
    <w:nsid w:val="4353D0CD"/>
    <w:multiLevelType w:val="hybridMultilevel"/>
    <w:lvl w:ilvl="0">
      <w:lvlJc w:val="left"/>
      <w:lvlText w:val="2"/>
      <w:numFmt w:val="bullet"/>
      <w:start w:val="1"/>
    </w:lvl>
  </w:abstractNum>
  <w:abstractNum w:abstractNumId="6">
    <w:nsid w:val="B03E0C6"/>
    <w:multiLevelType w:val="hybridMultilevel"/>
    <w:lvl w:ilvl="0">
      <w:lvlJc w:val="left"/>
      <w:lvlText w:val="1"/>
      <w:numFmt w:val="bullet"/>
      <w:start w:val="1"/>
    </w:lvl>
  </w:abstractNum>
  <w:abstractNum w:abstractNumId="7">
    <w:nsid w:val="189A769B"/>
    <w:multiLevelType w:val="hybridMultilevel"/>
    <w:lvl w:ilvl="0">
      <w:lvlJc w:val="left"/>
      <w:lvlText w:val="2"/>
      <w:numFmt w:val="bullet"/>
      <w:start w:val="1"/>
    </w:lvl>
  </w:abstractNum>
  <w:abstractNum w:abstractNumId="8">
    <w:nsid w:val="54E49EB4"/>
    <w:multiLevelType w:val="hybridMultilevel"/>
    <w:lvl w:ilvl="0">
      <w:lvlJc w:val="left"/>
      <w:lvlText w:val="1"/>
      <w:numFmt w:val="bullet"/>
      <w:start w:val="1"/>
    </w:lvl>
  </w:abstractNum>
  <w:abstractNum w:abstractNumId="9">
    <w:nsid w:val="71F32454"/>
    <w:multiLevelType w:val="hybridMultilevel"/>
    <w:lvl w:ilvl="0">
      <w:lvlJc w:val="left"/>
      <w:lvlText w:val="1"/>
      <w:numFmt w:val="bullet"/>
      <w:start w:val="1"/>
    </w:lvl>
  </w:abstractNum>
  <w:abstractNum w:abstractNumId="10">
    <w:nsid w:val="2CA88611"/>
    <w:multiLevelType w:val="hybridMultilevel"/>
    <w:lvl w:ilvl="0">
      <w:lvlJc w:val="left"/>
      <w:lvlText w:val="1"/>
      <w:numFmt w:val="bullet"/>
      <w:start w:val="1"/>
    </w:lvl>
  </w:abstractNum>
  <w:abstractNum w:abstractNumId="11">
    <w:nsid w:val="836C40E"/>
    <w:multiLevelType w:val="hybridMultilevel"/>
    <w:lvl w:ilvl="0">
      <w:lvlJc w:val="left"/>
      <w:lvlText w:val="1"/>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1"/>
      <w:numFmt w:val="bullet"/>
      <w:start w:val="1"/>
    </w:lvl>
  </w:abstractNum>
  <w:abstractNum w:abstractNumId="14">
    <w:nsid w:val="8138641"/>
    <w:multiLevelType w:val="hybridMultilevel"/>
    <w:lvl w:ilvl="0">
      <w:lvlJc w:val="left"/>
      <w:lvlText w:val="1"/>
      <w:numFmt w:val="bullet"/>
      <w:start w:val="1"/>
    </w:lvl>
  </w:abstractNum>
  <w:abstractNum w:abstractNumId="15">
    <w:nsid w:val="1E7FF521"/>
    <w:multiLevelType w:val="hybridMultilevel"/>
    <w:lvl w:ilvl="0">
      <w:lvlJc w:val="left"/>
      <w:lvlText w:val="1"/>
      <w:numFmt w:val="bullet"/>
      <w:start w:val="1"/>
    </w:lvl>
  </w:abstractNum>
  <w:abstractNum w:abstractNumId="16">
    <w:nsid w:val="7C3DBD3D"/>
    <w:multiLevelType w:val="hybridMultilevel"/>
    <w:lvl w:ilvl="0">
      <w:lvlJc w:val="left"/>
      <w:lvlText w:val="1"/>
      <w:numFmt w:val="bullet"/>
      <w:start w:val="1"/>
    </w:lvl>
  </w:abstractNum>
  <w:abstractNum w:abstractNumId="17">
    <w:nsid w:val="737B8DDC"/>
    <w:multiLevelType w:val="hybridMultilevel"/>
    <w:lvl w:ilvl="0">
      <w:lvlJc w:val="left"/>
      <w:lvlText w:val="1"/>
      <w:numFmt w:val="bullet"/>
      <w:start w:val="1"/>
    </w:lvl>
  </w:abstractNum>
  <w:abstractNum w:abstractNumId="18">
    <w:nsid w:val="6CEAF087"/>
    <w:multiLevelType w:val="hybridMultilevel"/>
    <w:lvl w:ilvl="0">
      <w:lvlJc w:val="left"/>
      <w:lvlText w:val="1"/>
      <w:numFmt w:val="bullet"/>
      <w:start w:val="1"/>
    </w:lvl>
  </w:abstractNum>
  <w:abstractNum w:abstractNumId="19">
    <w:nsid w:val="22221A70"/>
    <w:multiLevelType w:val="hybridMultilevel"/>
    <w:lvl w:ilvl="0">
      <w:lvlJc w:val="left"/>
      <w:lvlText w:val="1"/>
      <w:numFmt w:val="bullet"/>
      <w:start w:val="1"/>
    </w:lvl>
  </w:abstractNum>
  <w:abstractNum w:abstractNumId="20">
    <w:nsid w:val="4516DDE9"/>
    <w:multiLevelType w:val="hybridMultilevel"/>
    <w:lvl w:ilvl="0">
      <w:lvlJc w:val="left"/>
      <w:lvlText w:val="2"/>
      <w:numFmt w:val="bullet"/>
      <w:start w:val="1"/>
    </w:lvl>
  </w:abstractNum>
  <w:abstractNum w:abstractNumId="21">
    <w:nsid w:val="3006C83E"/>
    <w:multiLevelType w:val="hybridMultilevel"/>
    <w:lvl w:ilvl="0">
      <w:lvlJc w:val="left"/>
      <w:lvlText w:val="1"/>
      <w:numFmt w:val="bullet"/>
      <w:start w:val="1"/>
    </w:lvl>
  </w:abstractNum>
  <w:abstractNum w:abstractNumId="22">
    <w:nsid w:val="614FD4A1"/>
    <w:multiLevelType w:val="hybridMultilevel"/>
    <w:lvl w:ilvl="0">
      <w:lvlJc w:val="left"/>
      <w:lvlText w:val="1"/>
      <w:numFmt w:val="bullet"/>
      <w:start w:val="1"/>
    </w:lvl>
  </w:abstractNum>
  <w:abstractNum w:abstractNumId="23">
    <w:nsid w:val="419AC241"/>
    <w:multiLevelType w:val="hybridMultilevel"/>
    <w:lvl w:ilvl="0">
      <w:lvlJc w:val="left"/>
      <w:lvlText w:val="2"/>
      <w:numFmt w:val="bullet"/>
      <w:start w:val="1"/>
    </w:lvl>
  </w:abstractNum>
  <w:abstractNum w:abstractNumId="24">
    <w:nsid w:val="5577F8E1"/>
    <w:multiLevelType w:val="hybridMultilevel"/>
    <w:lvl w:ilvl="0">
      <w:lvlJc w:val="left"/>
      <w:lvlText w:val="3"/>
      <w:numFmt w:val="bullet"/>
      <w:start w:val="1"/>
    </w:lvl>
  </w:abstractNum>
  <w:abstractNum w:abstractNumId="25">
    <w:nsid w:val="440BADFC"/>
    <w:multiLevelType w:val="hybridMultilevel"/>
    <w:lvl w:ilvl="0">
      <w:lvlJc w:val="left"/>
      <w:lvlText w:val="%1"/>
      <w:numFmt w:val="decimal"/>
      <w:start w:val="104"/>
    </w:lvl>
  </w:abstractNum>
  <w:abstractNum w:abstractNumId="26">
    <w:nsid w:val="5072367"/>
    <w:multiLevelType w:val="hybridMultilevel"/>
    <w:lvl w:ilvl="0">
      <w:lvlJc w:val="left"/>
      <w:lvlText w:val="%1."/>
      <w:numFmt w:val="decimal"/>
      <w:start w:val="1"/>
    </w:lvl>
    <w:lvl w:ilvl="1">
      <w:lvlJc w:val="left"/>
      <w:lvlText w:val="(%2)"/>
      <w:numFmt w:val="lowerLetter"/>
      <w:start w:val="1"/>
    </w:lvl>
  </w:abstractNum>
  <w:abstractNum w:abstractNumId="27">
    <w:nsid w:val="3804823E"/>
    <w:multiLevelType w:val="hybridMultilevel"/>
    <w:lvl w:ilvl="0">
      <w:lvlJc w:val="left"/>
      <w:lvlText w:val="(%1)"/>
      <w:numFmt w:val="lowerLetter"/>
      <w:start w:val="6"/>
    </w:lvl>
    <w:lvl w:ilvl="1">
      <w:lvlJc w:val="left"/>
      <w:lvlText w:val="(%2)"/>
      <w:numFmt w:val="lowerRoman"/>
      <w:start w:val="1"/>
    </w:lvl>
  </w:abstractNum>
  <w:abstractNum w:abstractNumId="28">
    <w:nsid w:val="77465F01"/>
    <w:multiLevelType w:val="hybridMultilevel"/>
    <w:lvl w:ilvl="0">
      <w:lvlJc w:val="left"/>
      <w:lvlText w:val="(%1)"/>
      <w:numFmt w:val="lowerRoman"/>
      <w:start w:val="4"/>
    </w:lvl>
  </w:abstractNum>
  <w:abstractNum w:abstractNumId="29">
    <w:nsid w:val="7724C67E"/>
    <w:multiLevelType w:val="hybridMultilevel"/>
    <w:lvl w:ilvl="0">
      <w:lvlJc w:val="left"/>
      <w:lvlText w:val="%1."/>
      <w:numFmt w:val="decimal"/>
      <w:start w:val="3"/>
    </w:lvl>
    <w:lvl w:ilvl="1">
      <w:lvlJc w:val="left"/>
      <w:lvlText w:val="%2."/>
      <w:numFmt w:val="lowerLetter"/>
      <w:start w:val="1"/>
    </w:lvl>
  </w:abstractNum>
  <w:abstractNum w:abstractNumId="30">
    <w:nsid w:val="5C482A97"/>
    <w:multiLevelType w:val="hybridMultilevel"/>
    <w:lvl w:ilvl="0">
      <w:lvlJc w:val="left"/>
      <w:lvlText w:val="%1."/>
      <w:numFmt w:val="lowerLetter"/>
      <w:start w:val="2"/>
    </w:lvl>
  </w:abstractNum>
  <w:abstractNum w:abstractNumId="31">
    <w:nsid w:val="2463B9EA"/>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32">
    <w:nsid w:val="5E884ADC"/>
    <w:multiLevelType w:val="hybridMultilevel"/>
    <w:lvl w:ilvl="0">
      <w:lvlJc w:val="left"/>
      <w:lvlText w:val="%1."/>
      <w:numFmt w:val="decimal"/>
      <w:start w:val="4"/>
    </w:lvl>
    <w:lvl w:ilvl="1">
      <w:lvlJc w:val="left"/>
      <w:lvlText w:val="%2)"/>
      <w:numFmt w:val="decimal"/>
      <w:start w:val="3"/>
    </w:lvl>
    <w:lvl w:ilvl="2">
      <w:lvlJc w:val="left"/>
      <w:lvlText w:val="%3"/>
      <w:numFmt w:val="lowerLetter"/>
      <w:start w:val="1"/>
    </w:lvl>
  </w:abstractNum>
  <w:abstractNum w:abstractNumId="33">
    <w:nsid w:val="51EAD36B"/>
    <w:multiLevelType w:val="hybridMultilevel"/>
    <w:lvl w:ilvl="0">
      <w:lvlJc w:val="left"/>
      <w:lvlText w:val="%1."/>
      <w:numFmt w:val="decimal"/>
      <w:start w:val="6"/>
    </w:lvl>
  </w:abstractNum>
  <w:abstractNum w:abstractNumId="34">
    <w:nsid w:val="2D517796"/>
    <w:multiLevelType w:val="hybridMultilevel"/>
    <w:lvl w:ilvl="0">
      <w:lvlJc w:val="left"/>
      <w:lvlText w:val="%1."/>
      <w:numFmt w:val="decimal"/>
      <w:start w:val="1"/>
    </w:lvl>
    <w:lvl w:ilvl="1">
      <w:lvlJc w:val="left"/>
      <w:lvlText w:val="(%2)"/>
      <w:numFmt w:val="lowerLetter"/>
      <w:start w:val="1"/>
    </w:lvl>
  </w:abstractNum>
  <w:abstractNum w:abstractNumId="35">
    <w:nsid w:val="580BD78F"/>
    <w:multiLevelType w:val="hybridMultilevel"/>
    <w:lvl w:ilvl="0">
      <w:lvlJc w:val="left"/>
      <w:lvlText w:val="(%1)"/>
      <w:numFmt w:val="lowerLetter"/>
      <w:start w:val="6"/>
    </w:lvl>
    <w:lvl w:ilvl="1">
      <w:lvlJc w:val="left"/>
      <w:lvlText w:val="(%2)"/>
      <w:numFmt w:val="lowerRoman"/>
      <w:start w:val="1"/>
    </w:lvl>
  </w:abstractNum>
  <w:abstractNum w:abstractNumId="36">
    <w:nsid w:val="153EA438"/>
    <w:multiLevelType w:val="hybridMultilevel"/>
    <w:lvl w:ilvl="0">
      <w:lvlJc w:val="left"/>
      <w:lvlText w:val="%1."/>
      <w:numFmt w:val="decimal"/>
      <w:start w:val="3"/>
    </w:lvl>
  </w:abstractNum>
  <w:abstractNum w:abstractNumId="37">
    <w:nsid w:val="3855585C"/>
    <w:multiLevelType w:val="hybridMultilevel"/>
    <w:lvl w:ilvl="0">
      <w:lvlJc w:val="left"/>
      <w:lvlText w:val="%1."/>
      <w:numFmt w:val="decimal"/>
      <w:start w:val="1"/>
    </w:lvl>
    <w:lvl w:ilvl="1">
      <w:lvlJc w:val="left"/>
      <w:lvlText w:val="(%2)"/>
      <w:numFmt w:val="lowerLetter"/>
      <w:start w:val="1"/>
    </w:lvl>
  </w:abstractNum>
  <w:abstractNum w:abstractNumId="38">
    <w:nsid w:val="70A64E2A"/>
    <w:multiLevelType w:val="hybridMultilevel"/>
    <w:lvl w:ilvl="0">
      <w:lvlJc w:val="left"/>
      <w:lvlText w:val="(%1)"/>
      <w:numFmt w:val="lowerLetter"/>
      <w:start w:val="6"/>
    </w:lvl>
    <w:lvl w:ilvl="1">
      <w:lvlJc w:val="left"/>
      <w:lvlText w:val="(%2)"/>
      <w:numFmt w:val="lowerRoman"/>
      <w:start w:val="1"/>
    </w:lvl>
  </w:abstractNum>
  <w:abstractNum w:abstractNumId="39">
    <w:nsid w:val="6A2342EC"/>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40">
    <w:nsid w:val="2A487CB0"/>
    <w:multiLevelType w:val="hybridMultilevel"/>
    <w:lvl w:ilvl="0">
      <w:lvlJc w:val="left"/>
      <w:lvlText w:val="%1."/>
      <w:numFmt w:val="decimal"/>
      <w:start w:val="3"/>
    </w:lvl>
    <w:lvl w:ilvl="1">
      <w:lvlJc w:val="left"/>
      <w:lvlText w:val="(%2)"/>
      <w:numFmt w:val="lowerRoman"/>
      <w:start w:val="3"/>
    </w:lvl>
    <w:lvl w:ilvl="2">
      <w:lvlJc w:val="left"/>
      <w:lvlText w:val="%3"/>
      <w:numFmt w:val="lowerRoman"/>
      <w:start w:val="1"/>
    </w:lvl>
  </w:abstractNum>
  <w:abstractNum w:abstractNumId="41">
    <w:nsid w:val="1D4ED43B"/>
    <w:multiLevelType w:val="hybridMultilevel"/>
    <w:lvl w:ilvl="0">
      <w:lvlJc w:val="left"/>
      <w:lvlText w:val="%1."/>
      <w:numFmt w:val="decimal"/>
      <w:start w:val="9"/>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56" Type="http://schemas.openxmlformats.org/officeDocument/2006/relationships/hyperlink" Target="https://www.sec.gov/Archives/edgar/data/717423/000119312511049276/dex31.htm" TargetMode="External"/><Relationship Id="rId57" Type="http://schemas.openxmlformats.org/officeDocument/2006/relationships/hyperlink" Target="https://www.sec.gov/Archives/edgar/data/717423/000071742320000051/mur-20200630xex32n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2025-05-07T16:04:44Z</dcterms:created>
  <dcterms:modified xsi:type="dcterms:W3CDTF">2025-05-07T16:04:44Z</dcterms:modified>
</cp:coreProperties>
</file>