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060"/>
          </w:cols>
          <w:pgMar w:left="240" w:top="250"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220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1" w:lineRule="exact"/>
        <w:rPr>
          <w:sz w:val="24"/>
          <w:szCs w:val="24"/>
          <w:color w:val="auto"/>
        </w:rPr>
      </w:pPr>
    </w:p>
    <w:p>
      <w:pPr>
        <w:sectPr>
          <w:pgSz w:w="11900" w:h="16838" w:orient="portrait"/>
          <w:cols w:equalWidth="0" w:num="2">
            <w:col w:w="7180" w:space="720"/>
            <w:col w:w="3160"/>
          </w:cols>
          <w:pgMar w:left="240" w:top="250" w:right="599" w:bottom="1440" w:gutter="0" w:footer="0" w:header="0"/>
          <w:type w:val="continuous"/>
        </w:sectPr>
      </w:pPr>
    </w:p>
    <w:p>
      <w:pPr>
        <w:jc w:val="right"/>
        <w:spacing w:after="0" w:line="238" w:lineRule="auto"/>
        <w:rPr>
          <w:sz w:val="20"/>
          <w:szCs w:val="20"/>
          <w:color w:val="auto"/>
        </w:rPr>
      </w:pPr>
      <w:r>
        <w:rPr>
          <w:rFonts w:ascii="Courier New" w:cs="Courier New" w:eastAsia="Courier New" w:hAnsi="Courier New"/>
          <w:sz w:val="18"/>
          <w:szCs w:val="18"/>
          <w:color w:val="auto"/>
        </w:rPr>
        <w:t>hours per response . . . 14.90</w:t>
      </w:r>
    </w:p>
    <w:p>
      <w:pPr>
        <w:spacing w:after="0" w:line="202"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7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MURPHY OIL CORP.</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COMMON</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626717102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272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3 pages</w:t>
      </w:r>
    </w:p>
    <w:p>
      <w:pPr>
        <w:sectPr>
          <w:pgSz w:w="11900" w:h="16838" w:orient="portrait"/>
          <w:cols w:equalWidth="0" w:num="1">
            <w:col w:w="11060"/>
          </w:cols>
          <w:pgMar w:left="240" w:top="250"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8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2</w:t>
            </w:r>
          </w:p>
        </w:tc>
        <w:tc>
          <w:tcPr>
            <w:tcW w:w="23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96"/>
              </w:rPr>
              <w:t>CUSIP No. 626717102</w:t>
            </w:r>
          </w:p>
        </w:tc>
        <w:tc>
          <w:tcPr>
            <w:tcW w:w="23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13G</w:t>
            </w:r>
          </w:p>
        </w:tc>
        <w:tc>
          <w:tcPr>
            <w:tcW w:w="30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5"/>
              </w:rPr>
              <w:t>Page 2 OF 3 PAGES</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740" w:right="4319" w:hanging="416"/>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INC.</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sz w:val="20"/>
          <w:szCs w:val="20"/>
          <w:color w:val="auto"/>
        </w:rPr>
      </w:pPr>
      <w:r>
        <w:rPr>
          <w:rFonts w:ascii="Courier New" w:cs="Courier New" w:eastAsia="Courier New" w:hAnsi="Courier New"/>
          <w:sz w:val="18"/>
          <w:szCs w:val="18"/>
          <w:color w:val="auto"/>
        </w:rPr>
        <w:t>2</w:t>
      </w:r>
    </w:p>
    <w:p>
      <w:pPr>
        <w:jc w:val="right"/>
        <w:ind w:right="1999"/>
        <w:spacing w:after="0"/>
        <w:rPr>
          <w:sz w:val="20"/>
          <w:szCs w:val="20"/>
          <w:color w:val="auto"/>
        </w:rPr>
      </w:pPr>
      <w:r>
        <w:rPr>
          <w:rFonts w:ascii="Courier New" w:cs="Courier New" w:eastAsia="Courier New" w:hAnsi="Courier New"/>
          <w:sz w:val="18"/>
          <w:szCs w:val="18"/>
          <w:color w:val="auto"/>
        </w:rPr>
        <w:t>(a) [ ]</w:t>
      </w:r>
    </w:p>
    <w:p>
      <w:pPr>
        <w:spacing w:after="0" w:line="200"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 USE ONLY</w:t>
      </w:r>
    </w:p>
    <w:p>
      <w:pPr>
        <w:ind w:left="3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line="238" w:lineRule="auto"/>
        <w:rPr>
          <w:sz w:val="20"/>
          <w:szCs w:val="20"/>
          <w:color w:val="auto"/>
        </w:rPr>
      </w:pPr>
      <w:r>
        <w:rPr>
          <w:rFonts w:ascii="Courier New" w:cs="Courier New" w:eastAsia="Courier New" w:hAnsi="Courier New"/>
          <w:sz w:val="18"/>
          <w:szCs w:val="18"/>
          <w:color w:val="auto"/>
        </w:rPr>
        <w:t>4</w:t>
      </w: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1,092,900</w:t>
            </w:r>
          </w:p>
        </w:tc>
      </w:tr>
      <w:tr>
        <w:trPr>
          <w:trHeight w:val="405"/>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SHARES</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640" w:type="dxa"/>
            <w:vAlign w:val="bottom"/>
          </w:tcPr>
          <w:p>
            <w:pPr>
              <w:spacing w:after="0"/>
              <w:rPr>
                <w:sz w:val="17"/>
                <w:szCs w:val="17"/>
                <w:color w:val="auto"/>
              </w:rPr>
            </w:pPr>
          </w:p>
        </w:tc>
      </w:tr>
      <w:tr>
        <w:trPr>
          <w:trHeight w:val="405"/>
        </w:trPr>
        <w:tc>
          <w:tcPr>
            <w:tcW w:w="184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EACH</w:t>
            </w:r>
          </w:p>
        </w:tc>
        <w:tc>
          <w:tcPr>
            <w:tcW w:w="3640" w:type="dxa"/>
            <w:vAlign w:val="bottom"/>
          </w:tcPr>
          <w:p>
            <w:pPr>
              <w:ind w:left="1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40" w:type="dxa"/>
            <w:vAlign w:val="bottom"/>
          </w:tcPr>
          <w:p>
            <w:pPr>
              <w:spacing w:after="0"/>
              <w:rPr>
                <w:sz w:val="17"/>
                <w:szCs w:val="17"/>
                <w:color w:val="auto"/>
              </w:rPr>
            </w:pP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2,382,700</w:t>
            </w:r>
          </w:p>
        </w:tc>
      </w:tr>
      <w:tr>
        <w:trPr>
          <w:trHeight w:val="405"/>
        </w:trPr>
        <w:tc>
          <w:tcPr>
            <w:tcW w:w="18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PERSON</w:t>
            </w:r>
          </w:p>
        </w:tc>
        <w:tc>
          <w:tcPr>
            <w:tcW w:w="36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40" w:type="dxa"/>
            <w:vAlign w:val="bottom"/>
          </w:tcPr>
          <w:p>
            <w:pPr>
              <w:spacing w:after="0"/>
              <w:rPr>
                <w:sz w:val="17"/>
                <w:szCs w:val="17"/>
                <w:color w:val="auto"/>
              </w:rPr>
            </w:pPr>
          </w:p>
        </w:tc>
        <w:tc>
          <w:tcPr>
            <w:tcW w:w="36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9</w:t>
      </w: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2,382,700</w:t>
        <w:tab/>
        <w:t>Beneficial ownership disclaimed pursuant to Rule 13d-4</w:t>
      </w: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220"/>
        <w:spacing w:after="0" w:line="238" w:lineRule="auto"/>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spacing w:after="0" w:line="238" w:lineRule="auto"/>
        <w:rPr>
          <w:sz w:val="20"/>
          <w:szCs w:val="20"/>
          <w:color w:val="auto"/>
        </w:rPr>
      </w:pPr>
      <w:r>
        <w:rPr>
          <w:rFonts w:ascii="Courier New" w:cs="Courier New" w:eastAsia="Courier New" w:hAnsi="Courier New"/>
          <w:sz w:val="18"/>
          <w:szCs w:val="18"/>
          <w:color w:val="auto"/>
        </w:rPr>
        <w:t>11</w:t>
      </w:r>
    </w:p>
    <w:p>
      <w:pPr>
        <w:ind w:left="740"/>
        <w:spacing w:after="0"/>
        <w:rPr>
          <w:sz w:val="20"/>
          <w:szCs w:val="20"/>
          <w:color w:val="auto"/>
        </w:rPr>
      </w:pPr>
      <w:r>
        <w:rPr>
          <w:rFonts w:ascii="Courier New" w:cs="Courier New" w:eastAsia="Courier New" w:hAnsi="Courier New"/>
          <w:sz w:val="18"/>
          <w:szCs w:val="18"/>
          <w:color w:val="auto"/>
        </w:rPr>
        <w:t>5.32%</w:t>
      </w: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w:t>
      </w:r>
    </w:p>
    <w:p>
      <w:pPr>
        <w:ind w:left="74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2 of 3 pages</w:t>
      </w:r>
    </w:p>
    <w:p>
      <w:pPr>
        <w:sectPr>
          <w:pgSz w:w="11900" w:h="16838" w:orient="portrait"/>
          <w:cols w:equalWidth="0" w:num="1">
            <w:col w:w="10219"/>
          </w:cols>
          <w:pgMar w:left="240" w:top="312" w:right="1440" w:bottom="987"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3</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Fee enclosed [ ]</w:t>
      </w:r>
      <w:r>
        <w:rPr>
          <w:sz w:val="20"/>
          <w:szCs w:val="20"/>
          <w:color w:val="auto"/>
        </w:rPr>
        <w:tab/>
      </w:r>
      <w:r>
        <w:rPr>
          <w:rFonts w:ascii="Courier New" w:cs="Courier New" w:eastAsia="Courier New" w:hAnsi="Courier New"/>
          <w:sz w:val="16"/>
          <w:szCs w:val="16"/>
          <w:color w:val="auto"/>
        </w:rPr>
        <w:t>or 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Murphy Oil Corp.</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200 Peach Street</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El Dorado, AR</w:t>
      </w:r>
      <w:r>
        <w:rPr>
          <w:sz w:val="20"/>
          <w:szCs w:val="20"/>
          <w:color w:val="auto"/>
        </w:rPr>
        <w:tab/>
      </w:r>
      <w:r>
        <w:rPr>
          <w:rFonts w:ascii="Courier New" w:cs="Courier New" w:eastAsia="Courier New" w:hAnsi="Courier New"/>
          <w:sz w:val="16"/>
          <w:szCs w:val="16"/>
          <w:color w:val="auto"/>
        </w:rPr>
        <w:t>71730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The Capital Group,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128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280"/>
        <w:spacing w:after="0"/>
        <w:tabs>
          <w:tab w:leader="none" w:pos="304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N/A</w:t>
            </w:r>
          </w:p>
        </w:tc>
        <w:tc>
          <w:tcPr>
            <w:tcW w:w="45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Title of Class</w:t>
            </w:r>
          </w:p>
        </w:tc>
        <w:tc>
          <w:tcPr>
            <w:tcW w:w="5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5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626717102</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The person(s) filing is(are):</w:t>
            </w:r>
          </w:p>
        </w:tc>
      </w:tr>
      <w:tr>
        <w:trPr>
          <w:trHeight w:val="405"/>
        </w:trPr>
        <w:tc>
          <w:tcPr>
            <w:tcW w:w="1120" w:type="dxa"/>
            <w:vAlign w:val="bottom"/>
          </w:tcPr>
          <w:p>
            <w:pPr>
              <w:spacing w:after="0"/>
              <w:rPr>
                <w:sz w:val="24"/>
                <w:szCs w:val="24"/>
                <w:color w:val="auto"/>
              </w:rPr>
            </w:pPr>
          </w:p>
        </w:tc>
        <w:tc>
          <w:tcPr>
            <w:tcW w:w="66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(b) [ ] Bank as defined in Section 3(a)(6) of the Act.</w:t>
            </w:r>
          </w:p>
        </w:tc>
      </w:tr>
      <w:tr>
        <w:trPr>
          <w:trHeight w:val="203"/>
        </w:trPr>
        <w:tc>
          <w:tcPr>
            <w:tcW w:w="1120" w:type="dxa"/>
            <w:vAlign w:val="bottom"/>
          </w:tcPr>
          <w:p>
            <w:pPr>
              <w:spacing w:after="0"/>
              <w:rPr>
                <w:sz w:val="17"/>
                <w:szCs w:val="17"/>
                <w:color w:val="auto"/>
              </w:rPr>
            </w:pPr>
          </w:p>
        </w:tc>
        <w:tc>
          <w:tcPr>
            <w:tcW w:w="2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(e) [ ] Investment</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Adviser registered under Section 203 of the</w:t>
            </w:r>
          </w:p>
        </w:tc>
      </w:tr>
      <w:tr>
        <w:trPr>
          <w:trHeight w:val="203"/>
        </w:trPr>
        <w:tc>
          <w:tcPr>
            <w:tcW w:w="1120" w:type="dxa"/>
            <w:vAlign w:val="bottom"/>
          </w:tcPr>
          <w:p>
            <w:pPr>
              <w:spacing w:after="0"/>
              <w:rPr>
                <w:sz w:val="17"/>
                <w:szCs w:val="17"/>
                <w:color w:val="auto"/>
              </w:rPr>
            </w:pPr>
          </w:p>
        </w:tc>
        <w:tc>
          <w:tcPr>
            <w:tcW w:w="21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Advisers Act of 1940.</w:t>
            </w:r>
          </w:p>
        </w:tc>
      </w:tr>
    </w:tbl>
    <w:p>
      <w:pPr>
        <w:spacing w:after="0" w:line="4" w:lineRule="exact"/>
        <w:rPr>
          <w:sz w:val="20"/>
          <w:szCs w:val="20"/>
          <w:color w:val="auto"/>
        </w:rPr>
      </w:pPr>
    </w:p>
    <w:p>
      <w:pPr>
        <w:ind w:left="2120" w:right="2939" w:hanging="848"/>
        <w:spacing w:after="0" w:line="235" w:lineRule="auto"/>
        <w:tabs>
          <w:tab w:leader="none" w:pos="169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5779" w:hanging="428"/>
        <w:spacing w:after="0" w:line="470"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pg. 2</w:t>
      </w:r>
    </w:p>
    <w:p>
      <w:pPr>
        <w:spacing w:after="0" w:line="6"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pg. 2</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320" w:right="2319" w:hanging="627"/>
        <w:spacing w:after="0" w:line="470" w:lineRule="auto"/>
        <w:tabs>
          <w:tab w:leader="none" w:pos="2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 2</w:t>
      </w:r>
    </w:p>
    <w:p>
      <w:pPr>
        <w:spacing w:after="0" w:line="6"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4" w:lineRule="exact"/>
        <w:rPr>
          <w:rFonts w:ascii="Courier New" w:cs="Courier New" w:eastAsia="Courier New" w:hAnsi="Courier New"/>
          <w:sz w:val="18"/>
          <w:szCs w:val="18"/>
          <w:color w:val="auto"/>
        </w:rPr>
      </w:pPr>
    </w:p>
    <w:p>
      <w:pPr>
        <w:ind w:left="2320" w:right="2319" w:hanging="627"/>
        <w:spacing w:after="0" w:line="470" w:lineRule="auto"/>
        <w:tabs>
          <w:tab w:leader="none" w:pos="2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 2</w:t>
      </w:r>
    </w:p>
    <w:p>
      <w:pPr>
        <w:spacing w:after="0" w:line="11" w:lineRule="exact"/>
        <w:rPr>
          <w:rFonts w:ascii="Courier New" w:cs="Courier New" w:eastAsia="Courier New" w:hAnsi="Courier New"/>
          <w:sz w:val="18"/>
          <w:szCs w:val="18"/>
          <w:color w:val="auto"/>
        </w:rPr>
      </w:pPr>
    </w:p>
    <w:p>
      <w:pPr>
        <w:ind w:left="2320" w:right="2099" w:hanging="627"/>
        <w:spacing w:after="0" w:line="236" w:lineRule="auto"/>
        <w:tabs>
          <w:tab w:leader="none" w:pos="2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 w:leader="none" w:pos="7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700" w:right="1779" w:hanging="428"/>
        <w:spacing w:after="0" w:line="279" w:lineRule="auto"/>
        <w:tabs>
          <w:tab w:leader="none" w:pos="1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Research and Management Company is an Investment Adviser registered under Section 203 of the Investment Advisers Act of 1940 and is a wholly owned subsidiary of The Capital Group, Inc.</w:t>
      </w:r>
    </w:p>
    <w:p>
      <w:pPr>
        <w:spacing w:after="0" w:line="380" w:lineRule="exact"/>
        <w:rPr>
          <w:rFonts w:ascii="Courier New" w:cs="Courier New" w:eastAsia="Courier New" w:hAnsi="Courier New"/>
          <w:sz w:val="16"/>
          <w:szCs w:val="16"/>
          <w:color w:val="auto"/>
        </w:rPr>
      </w:pPr>
    </w:p>
    <w:p>
      <w:pPr>
        <w:ind w:left="1700" w:right="1879" w:hanging="428"/>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Inc.</w:t>
      </w:r>
    </w:p>
    <w:p>
      <w:pPr>
        <w:spacing w:after="0" w:line="203" w:lineRule="exact"/>
        <w:rPr>
          <w:sz w:val="20"/>
          <w:szCs w:val="20"/>
          <w:color w:val="auto"/>
        </w:rPr>
      </w:pPr>
    </w:p>
    <w:p>
      <w:pPr>
        <w:spacing w:after="0"/>
        <w:tabs>
          <w:tab w:leader="none" w:pos="1260" w:val="left"/>
          <w:tab w:leader="none" w:pos="75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219"/>
          </w:cols>
          <w:pgMar w:left="240" w:top="312" w:right="1440" w:bottom="0" w:gutter="0" w:footer="0" w:header="0"/>
        </w:sectPr>
      </w:pPr>
    </w:p>
    <w:bookmarkStart w:id="3" w:name="page4"/>
    <w:bookmarkEnd w:id="3"/>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1994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Philip de Toledo</w:t>
      </w:r>
    </w:p>
    <w:p>
      <w:pPr>
        <w:spacing w:after="0" w:line="200" w:lineRule="exact"/>
        <w:rPr>
          <w:sz w:val="20"/>
          <w:szCs w:val="20"/>
          <w:color w:val="auto"/>
        </w:rPr>
      </w:pPr>
    </w:p>
    <w:p>
      <w:pPr>
        <w:sectPr>
          <w:pgSz w:w="11900" w:h="16838" w:orient="portrait"/>
          <w:cols w:equalWidth="0" w:num="2">
            <w:col w:w="1080" w:space="720"/>
            <w:col w:w="841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de Toledo, Vice President and Treasurer</w:t>
      </w:r>
    </w:p>
    <w:p>
      <w:pPr>
        <w:spacing w:after="0" w:line="200" w:lineRule="exact"/>
        <w:rPr>
          <w:sz w:val="20"/>
          <w:szCs w:val="20"/>
          <w:color w:val="auto"/>
        </w:rPr>
      </w:pPr>
    </w:p>
    <w:p>
      <w:pPr>
        <w:sectPr>
          <w:pgSz w:w="11900" w:h="16838" w:orient="portrait"/>
          <w:cols w:equalWidth="0" w:num="2">
            <w:col w:w="1160" w:space="640"/>
            <w:col w:w="8419"/>
          </w:cols>
          <w:pgMar w:left="240" w:top="136"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Capital Group, Inc.</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1)"/>
      <w:numFmt w:val="lowerLetter"/>
      <w:start w:val="7"/>
    </w:lvl>
  </w:abstractNum>
  <w:abstractNum w:abstractNumId="2">
    <w:nsid w:val="2AE8944A"/>
    <w:multiLevelType w:val="hybridMultilevel"/>
    <w:lvl w:ilvl="0">
      <w:lvlJc w:val="left"/>
      <w:lvlText w:val="(%1)"/>
      <w:numFmt w:val="lowerLetter"/>
      <w:start w:val="1"/>
    </w:lvl>
    <w:lvl w:ilvl="1">
      <w:lvlJc w:val="left"/>
      <w:lvlText w:val="%2)"/>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2019-12-13T12:50:04Z</dcterms:created>
  <dcterms:modified xsi:type="dcterms:W3CDTF">2019-12-13T12:50:04Z</dcterms:modified>
</cp:coreProperties>
</file>