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7"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-623570</wp:posOffset>
            </wp:positionV>
            <wp:extent cx="57785" cy="636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739775</wp:posOffset>
            </wp:positionV>
            <wp:extent cx="6994525" cy="58286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5828665"/>
                    </a:xfrm>
                    <a:prstGeom prst="rect">
                      <a:avLst/>
                    </a:prstGeom>
                    <a:noFill/>
                  </pic:spPr>
                </pic:pic>
              </a:graphicData>
            </a:graphic>
          </wp:anchor>
        </w:drawing>
      </w:r>
    </w:p>
    <w:p>
      <w:pPr>
        <w:spacing w:after="0" w:line="1235" w:lineRule="exact"/>
        <w:rPr>
          <w:sz w:val="24"/>
          <w:szCs w:val="24"/>
          <w:color w:val="auto"/>
        </w:rPr>
      </w:pPr>
    </w:p>
    <w:p>
      <w:pPr>
        <w:sectPr>
          <w:pgSz w:w="11900" w:h="16838" w:orient="portrait"/>
          <w:cols w:equalWidth="0" w:num="2">
            <w:col w:w="2320" w:space="280"/>
            <w:col w:w="8480"/>
          </w:cols>
          <w:pgMar w:left="460" w:top="217" w:right="359" w:bottom="158"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DEMING CLAIBORNE P</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MURPHY OIL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MUR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06/30/2026</w:t>
      </w:r>
    </w:p>
    <w:p>
      <w:pPr>
        <w:spacing w:after="0" w:line="20" w:lineRule="exact"/>
        <w:rPr>
          <w:sz w:val="24"/>
          <w:szCs w:val="24"/>
          <w:color w:val="auto"/>
        </w:rPr>
      </w:pPr>
      <w:r>
        <w:rPr>
          <w:sz w:val="24"/>
          <w:szCs w:val="24"/>
          <w:color w:val="auto"/>
        </w:rPr>
        <w:br w:type="column"/>
      </w:r>
    </w:p>
    <w:p>
      <w:pPr>
        <w:ind w:left="-10" w:right="640" w:firstLine="10"/>
        <w:spacing w:after="0" w:line="256" w:lineRule="auto"/>
        <w:tabs>
          <w:tab w:leader="none" w:pos="13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8" w:lineRule="exact"/>
        <w:rPr>
          <w:sz w:val="24"/>
          <w:szCs w:val="24"/>
          <w:color w:val="auto"/>
        </w:rPr>
      </w:pPr>
    </w:p>
    <w:p>
      <w:pPr>
        <w:ind w:left="530"/>
        <w:spacing w:after="0"/>
        <w:tabs>
          <w:tab w:leader="none" w:pos="2090"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9"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30"/>
        <w:spacing w:after="0"/>
        <w:tabs>
          <w:tab w:leader="none" w:pos="209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158" w:lineRule="exact"/>
        <w:rPr>
          <w:sz w:val="24"/>
          <w:szCs w:val="24"/>
          <w:color w:val="auto"/>
        </w:rPr>
      </w:pPr>
    </w:p>
    <w:p>
      <w:pPr>
        <w:sectPr>
          <w:pgSz w:w="11900" w:h="16838" w:orient="portrait"/>
          <w:cols w:equalWidth="0" w:num="3">
            <w:col w:w="3180" w:space="720"/>
            <w:col w:w="3110" w:space="720"/>
            <w:col w:w="3350"/>
          </w:cols>
          <w:pgMar w:left="460" w:top="217" w:right="359" w:bottom="158"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0000FF"/>
        </w:rPr>
        <w:t>9805 KATY FREEWAY</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3540" w:type="dxa"/>
            <w:vAlign w:val="bottom"/>
            <w:gridSpan w:val="9"/>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1"/>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320" w:type="dxa"/>
            <w:vAlign w:val="bottom"/>
            <w:gridSpan w:val="5"/>
            <w:vMerge w:val="restart"/>
          </w:tcPr>
          <w:p>
            <w:pPr>
              <w:ind w:left="220"/>
              <w:spacing w:after="0"/>
              <w:rPr>
                <w:sz w:val="20"/>
                <w:szCs w:val="20"/>
                <w:color w:val="auto"/>
              </w:rPr>
            </w:pPr>
            <w:r>
              <w:rPr>
                <w:rFonts w:ascii="Arial" w:cs="Arial" w:eastAsia="Arial" w:hAnsi="Arial"/>
                <w:sz w:val="13"/>
                <w:szCs w:val="13"/>
                <w:color w:val="auto"/>
                <w:w w:val="99"/>
              </w:rPr>
              <w:t>Form filed by One Reporting Person</w:t>
            </w: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TX</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77024</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320" w:type="dxa"/>
            <w:vAlign w:val="bottom"/>
            <w:gridSpan w:val="5"/>
            <w:vMerge w:val="continue"/>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3040" w:type="dxa"/>
            <w:vAlign w:val="bottom"/>
            <w:gridSpan w:val="8"/>
            <w:vMerge w:val="restart"/>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304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vMerge w:val="restart"/>
          </w:tcPr>
          <w:p>
            <w:pPr>
              <w:ind w:left="220"/>
              <w:spacing w:after="0"/>
              <w:rPr>
                <w:sz w:val="20"/>
                <w:szCs w:val="20"/>
                <w:color w:val="auto"/>
              </w:rPr>
            </w:pPr>
            <w:r>
              <w:rPr>
                <w:rFonts w:ascii="Arial" w:cs="Arial" w:eastAsia="Arial" w:hAnsi="Arial"/>
                <w:sz w:val="13"/>
                <w:szCs w:val="13"/>
                <w:color w:val="auto"/>
              </w:rPr>
              <w:t>Person</w:t>
            </w: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560" w:type="dxa"/>
            <w:vAlign w:val="bottom"/>
            <w:tcBorders>
              <w:bottom w:val="single" w:sz="8" w:color="2C2C2C"/>
            </w:tcBorders>
            <w:gridSpan w:val="5"/>
          </w:tcPr>
          <w:p>
            <w:pPr>
              <w:spacing w:after="0"/>
              <w:rPr>
                <w:sz w:val="10"/>
                <w:szCs w:val="10"/>
                <w:color w:val="auto"/>
              </w:rPr>
            </w:pPr>
          </w:p>
        </w:tc>
        <w:tc>
          <w:tcPr>
            <w:tcW w:w="2660" w:type="dxa"/>
            <w:vAlign w:val="bottom"/>
            <w:tcBorders>
              <w:bottom w:val="single" w:sz="8" w:color="2C2C2C"/>
            </w:tcBorders>
            <w:gridSpan w:val="5"/>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6"/>
          </w:tcPr>
          <w:p>
            <w:pPr>
              <w:ind w:left="8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48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74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gridSpan w:val="3"/>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9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6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40" w:type="dxa"/>
            <w:vAlign w:val="bottom"/>
            <w:gridSpan w:val="3"/>
          </w:tcPr>
          <w:p>
            <w:pPr>
              <w:ind w:left="7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Beneficially</w:t>
            </w:r>
          </w:p>
        </w:tc>
        <w:tc>
          <w:tcPr>
            <w:tcW w:w="48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0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vMerge w:val="restart"/>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gridSpan w:val="4"/>
            <w:vMerge w:val="restart"/>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320"/>
              <w:spacing w:after="0" w:line="129" w:lineRule="exact"/>
              <w:rPr>
                <w:sz w:val="20"/>
                <w:szCs w:val="20"/>
                <w:color w:val="auto"/>
              </w:rPr>
            </w:pPr>
            <w:r>
              <w:rPr>
                <w:rFonts w:ascii="Arial" w:cs="Arial" w:eastAsia="Arial" w:hAnsi="Arial"/>
                <w:sz w:val="12"/>
                <w:szCs w:val="12"/>
                <w:b w:val="1"/>
                <w:bCs w:val="1"/>
                <w:color w:val="auto"/>
                <w:w w:val="93"/>
              </w:rPr>
              <w:t>(A) or</w:t>
            </w:r>
          </w:p>
        </w:tc>
        <w:tc>
          <w:tcPr>
            <w:tcW w:w="74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4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3"/>
            <w:vMerge w:val="continue"/>
          </w:tcPr>
          <w:p>
            <w:pPr>
              <w:spacing w:after="0"/>
              <w:rPr>
                <w:sz w:val="8"/>
                <w:szCs w:val="8"/>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60" w:type="dxa"/>
            <w:vAlign w:val="bottom"/>
            <w:gridSpan w:val="2"/>
          </w:tcPr>
          <w:p>
            <w:pPr>
              <w:jc w:val="center"/>
              <w:ind w:right="41"/>
              <w:spacing w:after="0"/>
              <w:rPr>
                <w:sz w:val="20"/>
                <w:szCs w:val="20"/>
                <w:color w:val="auto"/>
              </w:rPr>
            </w:pPr>
            <w:r>
              <w:rPr>
                <w:rFonts w:ascii="Times New Roman" w:cs="Times New Roman" w:eastAsia="Times New Roman" w:hAnsi="Times New Roman"/>
                <w:sz w:val="17"/>
                <w:szCs w:val="17"/>
                <w:color w:val="0000FF"/>
                <w:w w:val="97"/>
              </w:rPr>
              <w:t>987,092</w:t>
            </w:r>
          </w:p>
        </w:tc>
        <w:tc>
          <w:tcPr>
            <w:tcW w:w="300" w:type="dxa"/>
            <w:vAlign w:val="bottom"/>
          </w:tcPr>
          <w:p>
            <w:pPr>
              <w:spacing w:after="0"/>
              <w:rPr>
                <w:sz w:val="22"/>
                <w:szCs w:val="22"/>
                <w:color w:val="auto"/>
              </w:rPr>
            </w:pPr>
          </w:p>
        </w:tc>
        <w:tc>
          <w:tcPr>
            <w:tcW w:w="5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60" w:type="dxa"/>
            <w:vAlign w:val="bottom"/>
            <w:gridSpan w:val="2"/>
          </w:tcPr>
          <w:p>
            <w:pPr>
              <w:jc w:val="center"/>
              <w:ind w:right="41"/>
              <w:spacing w:after="0"/>
              <w:rPr>
                <w:sz w:val="20"/>
                <w:szCs w:val="20"/>
                <w:color w:val="auto"/>
              </w:rPr>
            </w:pPr>
            <w:r>
              <w:rPr>
                <w:rFonts w:ascii="Times New Roman" w:cs="Times New Roman" w:eastAsia="Times New Roman" w:hAnsi="Times New Roman"/>
                <w:sz w:val="17"/>
                <w:szCs w:val="17"/>
                <w:color w:val="0000FF"/>
                <w:w w:val="98"/>
              </w:rPr>
              <w:t>50,224</w:t>
            </w:r>
          </w:p>
        </w:tc>
        <w:tc>
          <w:tcPr>
            <w:tcW w:w="300" w:type="dxa"/>
            <w:vAlign w:val="bottom"/>
          </w:tcPr>
          <w:p>
            <w:pPr>
              <w:spacing w:after="0"/>
              <w:rPr>
                <w:sz w:val="22"/>
                <w:szCs w:val="22"/>
                <w:color w:val="auto"/>
              </w:rPr>
            </w:pPr>
          </w:p>
        </w:tc>
        <w:tc>
          <w:tcPr>
            <w:tcW w:w="5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Spouse</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3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60" w:type="dxa"/>
            <w:vAlign w:val="bottom"/>
            <w:gridSpan w:val="2"/>
            <w:vMerge w:val="restart"/>
          </w:tcPr>
          <w:p>
            <w:pPr>
              <w:jc w:val="center"/>
              <w:ind w:right="41"/>
              <w:spacing w:after="0"/>
              <w:rPr>
                <w:sz w:val="20"/>
                <w:szCs w:val="20"/>
                <w:color w:val="auto"/>
              </w:rPr>
            </w:pPr>
            <w:r>
              <w:rPr>
                <w:rFonts w:ascii="Times New Roman" w:cs="Times New Roman" w:eastAsia="Times New Roman" w:hAnsi="Times New Roman"/>
                <w:sz w:val="17"/>
                <w:szCs w:val="17"/>
                <w:color w:val="0000FF"/>
                <w:w w:val="96"/>
              </w:rPr>
              <w:t>1,639,538</w:t>
            </w:r>
          </w:p>
        </w:tc>
        <w:tc>
          <w:tcPr>
            <w:tcW w:w="300" w:type="dxa"/>
            <w:vAlign w:val="bottom"/>
          </w:tcPr>
          <w:p>
            <w:pPr>
              <w:spacing w:after="0"/>
              <w:rPr>
                <w:sz w:val="21"/>
                <w:szCs w:val="21"/>
                <w:color w:val="auto"/>
              </w:rPr>
            </w:pP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Beneficiary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Of Trusts</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800" w:type="dxa"/>
            <w:vAlign w:val="bottom"/>
            <w:tcBorders>
              <w:bottom w:val="single" w:sz="8" w:color="2C2C2C"/>
            </w:tcBorders>
            <w:gridSpan w:val="7"/>
          </w:tcPr>
          <w:p>
            <w:pPr>
              <w:spacing w:after="0"/>
              <w:rPr>
                <w:sz w:val="8"/>
                <w:szCs w:val="8"/>
                <w:color w:val="auto"/>
              </w:rPr>
            </w:pPr>
          </w:p>
        </w:tc>
        <w:tc>
          <w:tcPr>
            <w:tcW w:w="2660" w:type="dxa"/>
            <w:vAlign w:val="bottom"/>
            <w:tcBorders>
              <w:bottom w:val="single" w:sz="8" w:color="2C2C2C"/>
            </w:tcBorders>
            <w:gridSpan w:val="5"/>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5"/>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4"/>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3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7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4"/>
                <w:szCs w:val="14"/>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3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13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Underlying Derivative</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Security (Instr. 3 and</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4)</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6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gridSpan w:val="2"/>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 or</w:t>
            </w: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7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Number of</w:t>
            </w: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64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160" w:type="dxa"/>
            <w:vAlign w:val="bottom"/>
          </w:tcPr>
          <w:p>
            <w:pPr>
              <w:spacing w:after="0"/>
              <w:rPr>
                <w:sz w:val="21"/>
                <w:szCs w:val="21"/>
                <w:color w:val="auto"/>
              </w:rPr>
            </w:pPr>
          </w:p>
        </w:tc>
        <w:tc>
          <w:tcPr>
            <w:tcW w:w="540" w:type="dxa"/>
            <w:vAlign w:val="bottom"/>
          </w:tcPr>
          <w:p>
            <w:pPr>
              <w:jc w:val="center"/>
              <w:ind w:right="124"/>
              <w:spacing w:after="0"/>
              <w:rPr>
                <w:sz w:val="20"/>
                <w:szCs w:val="20"/>
                <w:color w:val="auto"/>
              </w:rPr>
            </w:pPr>
            <w:r>
              <w:rPr>
                <w:rFonts w:ascii="Times New Roman" w:cs="Times New Roman" w:eastAsia="Times New Roman" w:hAnsi="Times New Roman"/>
                <w:sz w:val="11"/>
                <w:szCs w:val="11"/>
                <w:color w:val="008000"/>
                <w:w w:val="93"/>
              </w:rPr>
              <w:t>(2)</w:t>
            </w: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1"/>
              </w:rPr>
              <w:t>63,098</w:t>
            </w:r>
            <w:r>
              <w:rPr>
                <w:rFonts w:ascii="Times New Roman" w:cs="Times New Roman" w:eastAsia="Times New Roman" w:hAnsi="Times New Roman"/>
                <w:sz w:val="21"/>
                <w:szCs w:val="21"/>
                <w:color w:val="008000"/>
                <w:w w:val="91"/>
                <w:vertAlign w:val="superscript"/>
              </w:rPr>
              <w:t>(3)</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gridSpan w:val="2"/>
          </w:tcPr>
          <w:p>
            <w:pPr>
              <w:jc w:val="center"/>
              <w:ind w:left="1"/>
              <w:spacing w:after="0"/>
              <w:rPr>
                <w:sz w:val="20"/>
                <w:szCs w:val="20"/>
                <w:color w:val="auto"/>
              </w:rPr>
            </w:pPr>
            <w:r>
              <w:rPr>
                <w:rFonts w:ascii="Times New Roman" w:cs="Times New Roman" w:eastAsia="Times New Roman" w:hAnsi="Times New Roman"/>
                <w:sz w:val="13"/>
                <w:szCs w:val="13"/>
                <w:color w:val="0000FF"/>
                <w:w w:val="92"/>
              </w:rPr>
              <w:t>63,098</w:t>
            </w:r>
            <w:r>
              <w:rPr>
                <w:rFonts w:ascii="Times New Roman" w:cs="Times New Roman" w:eastAsia="Times New Roman" w:hAnsi="Times New Roman"/>
                <w:sz w:val="21"/>
                <w:szCs w:val="21"/>
                <w:color w:val="008000"/>
                <w:w w:val="92"/>
                <w:vertAlign w:val="superscript"/>
              </w:rPr>
              <w:t>(3)</w:t>
            </w:r>
          </w:p>
        </w:tc>
        <w:tc>
          <w:tcPr>
            <w:tcW w:w="560" w:type="dxa"/>
            <w:vAlign w:val="bottom"/>
          </w:tcPr>
          <w:p>
            <w:pPr>
              <w:ind w:left="420"/>
              <w:spacing w:after="0"/>
              <w:rPr>
                <w:sz w:val="20"/>
                <w:szCs w:val="20"/>
                <w:color w:val="auto"/>
              </w:rPr>
            </w:pPr>
            <w:r>
              <w:rPr>
                <w:rFonts w:ascii="Times New Roman" w:cs="Times New Roman" w:eastAsia="Times New Roman" w:hAnsi="Times New Roman"/>
                <w:sz w:val="13"/>
                <w:szCs w:val="13"/>
                <w:color w:val="0000FF"/>
              </w:rPr>
              <w:t>D</w:t>
            </w: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80" w:type="dxa"/>
            <w:vAlign w:val="bottom"/>
            <w:tcBorders>
              <w:bottom w:val="single" w:sz="8" w:color="2C2C2C"/>
            </w:tcBorders>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ind w:left="1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1,267</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140" w:type="dxa"/>
            <w:vAlign w:val="bottom"/>
          </w:tcPr>
          <w:p>
            <w:pPr>
              <w:spacing w:after="0"/>
              <w:rPr>
                <w:sz w:val="6"/>
                <w:szCs w:val="6"/>
                <w:color w:val="auto"/>
              </w:rPr>
            </w:pPr>
          </w:p>
        </w:tc>
        <w:tc>
          <w:tcPr>
            <w:tcW w:w="1040" w:type="dxa"/>
            <w:vAlign w:val="bottom"/>
            <w:vMerge w:val="restart"/>
          </w:tcPr>
          <w:p>
            <w:pPr>
              <w:jc w:val="right"/>
              <w:ind w:right="136"/>
              <w:spacing w:after="0" w:line="141" w:lineRule="exact"/>
              <w:rPr>
                <w:sz w:val="20"/>
                <w:szCs w:val="20"/>
                <w:color w:val="auto"/>
              </w:rPr>
            </w:pPr>
            <w:r>
              <w:rPr>
                <w:rFonts w:ascii="Times New Roman" w:cs="Times New Roman" w:eastAsia="Times New Roman" w:hAnsi="Times New Roman"/>
                <w:sz w:val="13"/>
                <w:szCs w:val="13"/>
                <w:color w:val="0000FF"/>
              </w:rPr>
              <w:t>06/30/2026</w:t>
            </w: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vMerge w:val="restart"/>
          </w:tcPr>
          <w:p>
            <w:pPr>
              <w:ind w:left="4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160" w:type="dxa"/>
            <w:vAlign w:val="bottom"/>
          </w:tcPr>
          <w:p>
            <w:pPr>
              <w:spacing w:after="0"/>
              <w:rPr>
                <w:sz w:val="6"/>
                <w:szCs w:val="6"/>
                <w:color w:val="auto"/>
              </w:rPr>
            </w:pPr>
          </w:p>
        </w:tc>
        <w:tc>
          <w:tcPr>
            <w:tcW w:w="460" w:type="dxa"/>
            <w:vAlign w:val="bottom"/>
            <w:vMerge w:val="restart"/>
          </w:tcPr>
          <w:p>
            <w:pPr>
              <w:jc w:val="right"/>
              <w:ind w:right="21"/>
              <w:spacing w:after="0" w:line="141" w:lineRule="exact"/>
              <w:rPr>
                <w:sz w:val="20"/>
                <w:szCs w:val="20"/>
                <w:color w:val="auto"/>
              </w:rPr>
            </w:pPr>
            <w:r>
              <w:rPr>
                <w:rFonts w:ascii="Times New Roman" w:cs="Times New Roman" w:eastAsia="Times New Roman" w:hAnsi="Times New Roman"/>
                <w:sz w:val="13"/>
                <w:szCs w:val="13"/>
                <w:color w:val="0000FF"/>
              </w:rPr>
              <w:t>1,267</w:t>
            </w:r>
          </w:p>
        </w:tc>
        <w:tc>
          <w:tcPr>
            <w:tcW w:w="320" w:type="dxa"/>
            <w:vAlign w:val="bottom"/>
          </w:tcPr>
          <w:p>
            <w:pPr>
              <w:spacing w:after="0"/>
              <w:rPr>
                <w:sz w:val="6"/>
                <w:szCs w:val="6"/>
                <w:color w:val="auto"/>
              </w:rPr>
            </w:pPr>
          </w:p>
        </w:tc>
        <w:tc>
          <w:tcPr>
            <w:tcW w:w="760" w:type="dxa"/>
            <w:vAlign w:val="bottom"/>
            <w:gridSpan w:val="2"/>
            <w:vMerge w:val="restart"/>
          </w:tcPr>
          <w:p>
            <w:pPr>
              <w:jc w:val="center"/>
              <w:ind w:right="2"/>
              <w:spacing w:after="0"/>
              <w:rPr>
                <w:sz w:val="20"/>
                <w:szCs w:val="20"/>
                <w:color w:val="auto"/>
              </w:rPr>
            </w:pPr>
            <w:r>
              <w:rPr>
                <w:rFonts w:ascii="Times New Roman" w:cs="Times New Roman" w:eastAsia="Times New Roman" w:hAnsi="Times New Roman"/>
                <w:sz w:val="11"/>
                <w:szCs w:val="11"/>
                <w:color w:val="008000"/>
              </w:rPr>
              <w:t>(6)(7)</w:t>
            </w:r>
          </w:p>
        </w:tc>
        <w:tc>
          <w:tcPr>
            <w:tcW w:w="160" w:type="dxa"/>
            <w:vAlign w:val="bottom"/>
          </w:tcPr>
          <w:p>
            <w:pPr>
              <w:spacing w:after="0"/>
              <w:rPr>
                <w:sz w:val="6"/>
                <w:szCs w:val="6"/>
                <w:color w:val="auto"/>
              </w:rPr>
            </w:pPr>
          </w:p>
        </w:tc>
        <w:tc>
          <w:tcPr>
            <w:tcW w:w="540" w:type="dxa"/>
            <w:vAlign w:val="bottom"/>
            <w:vMerge w:val="restart"/>
          </w:tcPr>
          <w:p>
            <w:pPr>
              <w:jc w:val="center"/>
              <w:ind w:right="124"/>
              <w:spacing w:after="0"/>
              <w:rPr>
                <w:sz w:val="20"/>
                <w:szCs w:val="20"/>
                <w:color w:val="auto"/>
              </w:rPr>
            </w:pPr>
            <w:r>
              <w:rPr>
                <w:rFonts w:ascii="Times New Roman" w:cs="Times New Roman" w:eastAsia="Times New Roman" w:hAnsi="Times New Roman"/>
                <w:sz w:val="11"/>
                <w:szCs w:val="11"/>
                <w:color w:val="008000"/>
                <w:w w:val="93"/>
              </w:rPr>
              <w:t>(6)(7)</w:t>
            </w:r>
          </w:p>
        </w:tc>
        <w:tc>
          <w:tcPr>
            <w:tcW w:w="6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780" w:type="dxa"/>
            <w:vAlign w:val="bottom"/>
            <w:gridSpan w:val="2"/>
            <w:vMerge w:val="restart"/>
          </w:tcPr>
          <w:p>
            <w:pPr>
              <w:jc w:val="center"/>
              <w:ind w:left="1"/>
              <w:spacing w:after="0" w:line="141" w:lineRule="exact"/>
              <w:rPr>
                <w:sz w:val="20"/>
                <w:szCs w:val="20"/>
                <w:color w:val="auto"/>
              </w:rPr>
            </w:pPr>
            <w:r>
              <w:rPr>
                <w:rFonts w:ascii="Times New Roman" w:cs="Times New Roman" w:eastAsia="Times New Roman" w:hAnsi="Times New Roman"/>
                <w:sz w:val="13"/>
                <w:szCs w:val="13"/>
                <w:color w:val="0000FF"/>
              </w:rPr>
              <w:t>31,470</w:t>
            </w:r>
          </w:p>
        </w:tc>
        <w:tc>
          <w:tcPr>
            <w:tcW w:w="560" w:type="dxa"/>
            <w:vAlign w:val="bottom"/>
            <w:vMerge w:val="restart"/>
          </w:tcPr>
          <w:p>
            <w:pPr>
              <w:ind w:left="4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restart"/>
          </w:tcPr>
          <w:p>
            <w:pPr>
              <w:ind w:left="60"/>
              <w:spacing w:after="0" w:line="231" w:lineRule="exact"/>
              <w:rPr>
                <w:sz w:val="20"/>
                <w:szCs w:val="20"/>
                <w:color w:val="auto"/>
              </w:rPr>
            </w:pPr>
            <w:r>
              <w:rPr>
                <w:rFonts w:ascii="Times New Roman" w:cs="Times New Roman" w:eastAsia="Times New Roman" w:hAnsi="Times New Roman"/>
                <w:sz w:val="13"/>
                <w:szCs w:val="13"/>
                <w:color w:val="0000FF"/>
              </w:rPr>
              <w:t>Unit</w:t>
            </w:r>
            <w:r>
              <w:rPr>
                <w:rFonts w:ascii="Times New Roman" w:cs="Times New Roman" w:eastAsia="Times New Roman" w:hAnsi="Times New Roman"/>
                <w:sz w:val="21"/>
                <w:szCs w:val="21"/>
                <w:color w:val="008000"/>
                <w:vertAlign w:val="superscript"/>
              </w:rPr>
              <w:t>(4)</w:t>
            </w: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80" w:type="dxa"/>
            <w:vAlign w:val="bottom"/>
            <w:tcBorders>
              <w:bottom w:val="single" w:sz="8" w:color="2C2C2C"/>
            </w:tcBorders>
            <w:gridSpan w:val="2"/>
            <w:vMerge w:val="continue"/>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576</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140" w:type="dxa"/>
            <w:vAlign w:val="bottom"/>
          </w:tcPr>
          <w:p>
            <w:pPr>
              <w:spacing w:after="0"/>
              <w:rPr>
                <w:sz w:val="6"/>
                <w:szCs w:val="6"/>
                <w:color w:val="auto"/>
              </w:rPr>
            </w:pPr>
          </w:p>
        </w:tc>
        <w:tc>
          <w:tcPr>
            <w:tcW w:w="1040" w:type="dxa"/>
            <w:vAlign w:val="bottom"/>
            <w:vMerge w:val="restart"/>
          </w:tcPr>
          <w:p>
            <w:pPr>
              <w:jc w:val="right"/>
              <w:ind w:right="136"/>
              <w:spacing w:after="0" w:line="141" w:lineRule="exact"/>
              <w:rPr>
                <w:sz w:val="20"/>
                <w:szCs w:val="20"/>
                <w:color w:val="auto"/>
              </w:rPr>
            </w:pPr>
            <w:r>
              <w:rPr>
                <w:rFonts w:ascii="Times New Roman" w:cs="Times New Roman" w:eastAsia="Times New Roman" w:hAnsi="Times New Roman"/>
                <w:sz w:val="13"/>
                <w:szCs w:val="13"/>
                <w:color w:val="0000FF"/>
              </w:rPr>
              <w:t>06/30/2026</w:t>
            </w: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vMerge w:val="restart"/>
          </w:tcPr>
          <w:p>
            <w:pPr>
              <w:ind w:left="4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160" w:type="dxa"/>
            <w:vAlign w:val="bottom"/>
          </w:tcPr>
          <w:p>
            <w:pPr>
              <w:spacing w:after="0"/>
              <w:rPr>
                <w:sz w:val="6"/>
                <w:szCs w:val="6"/>
                <w:color w:val="auto"/>
              </w:rPr>
            </w:pPr>
          </w:p>
        </w:tc>
        <w:tc>
          <w:tcPr>
            <w:tcW w:w="460" w:type="dxa"/>
            <w:vAlign w:val="bottom"/>
            <w:vMerge w:val="restart"/>
          </w:tcPr>
          <w:p>
            <w:pPr>
              <w:jc w:val="right"/>
              <w:ind w:right="61"/>
              <w:spacing w:after="0" w:line="141" w:lineRule="exact"/>
              <w:rPr>
                <w:sz w:val="20"/>
                <w:szCs w:val="20"/>
                <w:color w:val="auto"/>
              </w:rPr>
            </w:pPr>
            <w:r>
              <w:rPr>
                <w:rFonts w:ascii="Times New Roman" w:cs="Times New Roman" w:eastAsia="Times New Roman" w:hAnsi="Times New Roman"/>
                <w:sz w:val="13"/>
                <w:szCs w:val="13"/>
                <w:color w:val="0000FF"/>
              </w:rPr>
              <w:t>576</w:t>
            </w:r>
          </w:p>
        </w:tc>
        <w:tc>
          <w:tcPr>
            <w:tcW w:w="320" w:type="dxa"/>
            <w:vAlign w:val="bottom"/>
          </w:tcPr>
          <w:p>
            <w:pPr>
              <w:spacing w:after="0"/>
              <w:rPr>
                <w:sz w:val="6"/>
                <w:szCs w:val="6"/>
                <w:color w:val="auto"/>
              </w:rPr>
            </w:pPr>
          </w:p>
        </w:tc>
        <w:tc>
          <w:tcPr>
            <w:tcW w:w="760" w:type="dxa"/>
            <w:vAlign w:val="bottom"/>
            <w:gridSpan w:val="2"/>
            <w:vMerge w:val="restart"/>
          </w:tcPr>
          <w:p>
            <w:pPr>
              <w:jc w:val="center"/>
              <w:ind w:right="2"/>
              <w:spacing w:after="0"/>
              <w:rPr>
                <w:sz w:val="20"/>
                <w:szCs w:val="20"/>
                <w:color w:val="auto"/>
              </w:rPr>
            </w:pPr>
            <w:r>
              <w:rPr>
                <w:rFonts w:ascii="Times New Roman" w:cs="Times New Roman" w:eastAsia="Times New Roman" w:hAnsi="Times New Roman"/>
                <w:sz w:val="11"/>
                <w:szCs w:val="11"/>
                <w:color w:val="008000"/>
              </w:rPr>
              <w:t>(5)(8)</w:t>
            </w:r>
          </w:p>
        </w:tc>
        <w:tc>
          <w:tcPr>
            <w:tcW w:w="160" w:type="dxa"/>
            <w:vAlign w:val="bottom"/>
          </w:tcPr>
          <w:p>
            <w:pPr>
              <w:spacing w:after="0"/>
              <w:rPr>
                <w:sz w:val="6"/>
                <w:szCs w:val="6"/>
                <w:color w:val="auto"/>
              </w:rPr>
            </w:pPr>
          </w:p>
        </w:tc>
        <w:tc>
          <w:tcPr>
            <w:tcW w:w="540" w:type="dxa"/>
            <w:vAlign w:val="bottom"/>
            <w:vMerge w:val="restart"/>
          </w:tcPr>
          <w:p>
            <w:pPr>
              <w:jc w:val="center"/>
              <w:ind w:right="124"/>
              <w:spacing w:after="0"/>
              <w:rPr>
                <w:sz w:val="20"/>
                <w:szCs w:val="20"/>
                <w:color w:val="auto"/>
              </w:rPr>
            </w:pPr>
            <w:r>
              <w:rPr>
                <w:rFonts w:ascii="Times New Roman" w:cs="Times New Roman" w:eastAsia="Times New Roman" w:hAnsi="Times New Roman"/>
                <w:sz w:val="11"/>
                <w:szCs w:val="11"/>
                <w:color w:val="008000"/>
                <w:w w:val="93"/>
              </w:rPr>
              <w:t>(5)(8)</w:t>
            </w:r>
          </w:p>
        </w:tc>
        <w:tc>
          <w:tcPr>
            <w:tcW w:w="6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780" w:type="dxa"/>
            <w:vAlign w:val="bottom"/>
            <w:gridSpan w:val="2"/>
            <w:vMerge w:val="restart"/>
          </w:tcPr>
          <w:p>
            <w:pPr>
              <w:jc w:val="center"/>
              <w:ind w:left="1"/>
              <w:spacing w:after="0" w:line="141" w:lineRule="exact"/>
              <w:rPr>
                <w:sz w:val="20"/>
                <w:szCs w:val="20"/>
                <w:color w:val="auto"/>
              </w:rPr>
            </w:pPr>
            <w:r>
              <w:rPr>
                <w:rFonts w:ascii="Times New Roman" w:cs="Times New Roman" w:eastAsia="Times New Roman" w:hAnsi="Times New Roman"/>
                <w:sz w:val="13"/>
                <w:szCs w:val="13"/>
                <w:color w:val="0000FF"/>
              </w:rPr>
              <w:t>32,046</w:t>
            </w:r>
          </w:p>
        </w:tc>
        <w:tc>
          <w:tcPr>
            <w:tcW w:w="560" w:type="dxa"/>
            <w:vAlign w:val="bottom"/>
            <w:vMerge w:val="restart"/>
          </w:tcPr>
          <w:p>
            <w:pPr>
              <w:ind w:left="4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restart"/>
          </w:tcPr>
          <w:p>
            <w:pPr>
              <w:ind w:left="60"/>
              <w:spacing w:after="0" w:line="231" w:lineRule="exact"/>
              <w:rPr>
                <w:sz w:val="20"/>
                <w:szCs w:val="20"/>
                <w:color w:val="auto"/>
              </w:rPr>
            </w:pPr>
            <w:r>
              <w:rPr>
                <w:rFonts w:ascii="Times New Roman" w:cs="Times New Roman" w:eastAsia="Times New Roman" w:hAnsi="Times New Roman"/>
                <w:sz w:val="13"/>
                <w:szCs w:val="13"/>
                <w:color w:val="0000FF"/>
              </w:rPr>
              <w:t>Unit</w:t>
            </w:r>
            <w:r>
              <w:rPr>
                <w:rFonts w:ascii="Times New Roman" w:cs="Times New Roman" w:eastAsia="Times New Roman" w:hAnsi="Times New Roman"/>
                <w:sz w:val="21"/>
                <w:szCs w:val="21"/>
                <w:color w:val="008000"/>
                <w:vertAlign w:val="superscript"/>
              </w:rPr>
              <w:t>(4)</w:t>
            </w: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gridSpan w:val="2"/>
            <w:vMerge w:val="continue"/>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-2563495</wp:posOffset>
            </wp:positionV>
            <wp:extent cx="29210" cy="25685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56857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phantom stock unit is the economic equivalent of one (1) share of Murphy Oil Corporation common stock.</w:t>
      </w:r>
    </w:p>
    <w:p>
      <w:pPr>
        <w:spacing w:after="0" w:line="43" w:lineRule="exact"/>
        <w:rPr>
          <w:rFonts w:ascii="Times New Roman" w:cs="Times New Roman" w:eastAsia="Times New Roman" w:hAnsi="Times New Roman"/>
          <w:sz w:val="13"/>
          <w:szCs w:val="13"/>
          <w:color w:val="008000"/>
        </w:rPr>
      </w:pPr>
    </w:p>
    <w:p>
      <w:pPr>
        <w:ind w:left="40" w:right="180" w:firstLine="1"/>
        <w:spacing w:after="0" w:line="253"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shares of phantom stock were acquired under Murphy Oil Corporation's Non-Qualified Deferred Compensation Plan for Non-Employee Directors and become payable, in cash, consistent with the Reporting Person's distribution election made at the time of deferral.</w:t>
      </w:r>
    </w:p>
    <w:p>
      <w:pPr>
        <w:spacing w:after="0" w:line="18" w:lineRule="exact"/>
        <w:rPr>
          <w:rFonts w:ascii="Times New Roman" w:cs="Times New Roman" w:eastAsia="Times New Roman" w:hAnsi="Times New Roman"/>
          <w:sz w:val="13"/>
          <w:szCs w:val="13"/>
          <w:color w:val="008000"/>
        </w:rPr>
      </w:pPr>
    </w:p>
    <w:p>
      <w:pPr>
        <w:ind w:left="40" w:right="280" w:firstLine="1"/>
        <w:spacing w:after="0" w:line="253"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587 shares obtained under Murphy Oil Corporation's Non-Qualified Deferred Compensation Plan for Non-Employee Directors. The information in this report is based on a plan statement dated June 30, 2026.</w:t>
      </w:r>
    </w:p>
    <w:p>
      <w:pPr>
        <w:spacing w:after="0" w:line="18"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 Award granted under the 2026 Stock Plan for Non-Employee Directors.</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generally do not carry a Conversion Price, Exercisable Date, or Expiration Date.</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has elected to defer settlement of restricted stock units in accordance with their deferral election form to either (1) following the reporting person's termination of service from the Board or</w:t>
      </w:r>
    </w:p>
    <w:p>
      <w:pPr>
        <w:spacing w:after="0" w:line="5" w:lineRule="exact"/>
        <w:rPr>
          <w:rFonts w:ascii="Times New Roman" w:cs="Times New Roman" w:eastAsia="Times New Roman" w:hAnsi="Times New Roman"/>
          <w:sz w:val="13"/>
          <w:szCs w:val="13"/>
          <w:color w:val="008000"/>
        </w:rPr>
      </w:pPr>
    </w:p>
    <w:p>
      <w:pPr>
        <w:ind w:left="40"/>
        <w:spacing w:after="0"/>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 on a future date selected by the reporting person at the time of their deferral election.</w:t>
      </w:r>
    </w:p>
    <w:p>
      <w:pPr>
        <w:spacing w:after="0" w:line="29"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represent fully-vested restricted stock units ("RSUs") issued in lieu of quarterly cash retainer(s) payable under Murphy Oil Corporation's Non-Employee Director Deferred Compensation Plan.</w:t>
      </w:r>
    </w:p>
    <w:p>
      <w:pPr>
        <w:spacing w:after="0" w:line="43" w:lineRule="exact"/>
        <w:rPr>
          <w:rFonts w:ascii="Times New Roman" w:cs="Times New Roman" w:eastAsia="Times New Roman" w:hAnsi="Times New Roman"/>
          <w:sz w:val="13"/>
          <w:szCs w:val="13"/>
          <w:color w:val="008000"/>
        </w:rPr>
      </w:pPr>
    </w:p>
    <w:p>
      <w:pPr>
        <w:ind w:left="40" w:right="720" w:firstLine="1"/>
        <w:spacing w:after="0" w:line="253"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Vest date is February 4, 2027. The reporting person has elected to defer settlement of restricted stock units in accordance with their deferral election form to either (1) following the reporting person's termination of service from the Board or (2) on a future date selected by the reporting person at the time of their deferral election.</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Tricia M. Hammons,</w:t>
            </w:r>
          </w:p>
        </w:tc>
        <w:tc>
          <w:tcPr>
            <w:tcW w:w="420" w:type="dxa"/>
            <w:vAlign w:val="bottom"/>
          </w:tcPr>
          <w:p>
            <w:pPr>
              <w:spacing w:after="0"/>
              <w:rPr>
                <w:sz w:val="16"/>
                <w:szCs w:val="16"/>
                <w:color w:val="auto"/>
              </w:rPr>
            </w:pPr>
          </w:p>
        </w:tc>
        <w:tc>
          <w:tcPr>
            <w:tcW w:w="9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w w:val="95"/>
              </w:rPr>
              <w:t>07/02/2026</w:t>
            </w:r>
          </w:p>
        </w:tc>
        <w:tc>
          <w:tcPr>
            <w:tcW w:w="0" w:type="dxa"/>
            <w:vAlign w:val="bottom"/>
          </w:tcPr>
          <w:p>
            <w:pPr>
              <w:spacing w:after="0"/>
              <w:rPr>
                <w:sz w:val="1"/>
                <w:szCs w:val="1"/>
                <w:color w:val="auto"/>
              </w:rPr>
            </w:pPr>
          </w:p>
        </w:tc>
      </w:tr>
      <w:tr>
        <w:trPr>
          <w:trHeight w:val="83"/>
        </w:trPr>
        <w:tc>
          <w:tcPr>
            <w:tcW w:w="1040" w:type="dxa"/>
            <w:vAlign w:val="bottom"/>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6"/>
              </w:rPr>
              <w:t>attorney-in-fact</w:t>
            </w:r>
          </w:p>
        </w:tc>
        <w:tc>
          <w:tcPr>
            <w:tcW w:w="980" w:type="dxa"/>
            <w:vAlign w:val="bottom"/>
            <w:gridSpan w:val="2"/>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040" w:type="dxa"/>
            <w:vAlign w:val="bottom"/>
            <w:tcBorders>
              <w:bottom w:val="single" w:sz="8" w:color="auto"/>
            </w:tcBorders>
            <w:vMerge w:val="continue"/>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0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5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66951" TargetMode="External"/><Relationship Id="rId14" Type="http://schemas.openxmlformats.org/officeDocument/2006/relationships/hyperlink" Target="http://www.sec.gov/cgi-bin/browse-edgar?action=getcompany&amp;CIK=00007174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2026-07-02T15:21:28Z</dcterms:created>
  <dcterms:modified xsi:type="dcterms:W3CDTF">2026-07-02T15:21:28Z</dcterms:modified>
</cp:coreProperties>
</file>