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BOTNER E 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 KATY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MURPHY OIL CORP</w:t>
              </w:r>
            </w:hyperlink>
            <w:r>
              <w:rPr/>
              <w:t xml:space="preserve"> [ </w:t>
            </w:r>
            <w:r>
              <w:rPr>
                <w:rFonts w:ascii="Times;serif" w:hAnsi="Times;serif"/>
                <w:color w:val="0000FF"/>
                <w:sz w:val="24"/>
                <w:shd w:fill="FFFFFF" w:val="clear"/>
              </w:rPr>
              <w:t>MUR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Retired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8"/>
        <w:gridCol w:w="900"/>
        <w:gridCol w:w="772"/>
        <w:gridCol w:w="598"/>
        <w:gridCol w:w="339"/>
        <w:gridCol w:w="951"/>
        <w:gridCol w:w="429"/>
        <w:gridCol w:w="923"/>
        <w:gridCol w:w="1119"/>
        <w:gridCol w:w="965"/>
        <w:gridCol w:w="10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8,790</w:t>
            </w:r>
            <w:r>
              <w:rPr>
                <w:rFonts w:ascii="Times;serif" w:hAnsi="Times;serif"/>
                <w:color w:val="008000"/>
                <w:position w:val="7"/>
                <w:sz w:val="16"/>
                <w:sz w:val="20"/>
                <w:shd w:fill="FFFFFF" w:val="clear"/>
              </w:rPr>
              <w:t>(1)(2)</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225,283</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33.4193</w:t>
            </w:r>
            <w:r>
              <w:rPr/>
              <w:t xml:space="preserve"> </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221,824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7,799</w:t>
            </w:r>
            <w:r>
              <w:rPr>
                <w:rFonts w:ascii="Times;serif" w:hAnsi="Times;serif"/>
                <w:color w:val="008000"/>
                <w:position w:val="7"/>
                <w:sz w:val="16"/>
                <w:sz w:val="20"/>
                <w:shd w:fill="FFFFFF" w:val="clear"/>
              </w:rPr>
              <w:t>(1)(4)</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229,623</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33.4193</w:t>
            </w:r>
            <w:r>
              <w:rPr/>
              <w:t xml:space="preserve"> </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226,554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25,115</w:t>
            </w:r>
            <w:r>
              <w:rPr>
                <w:rFonts w:ascii="Times;serif" w:hAnsi="Times;serif"/>
                <w:color w:val="008000"/>
                <w:position w:val="7"/>
                <w:sz w:val="16"/>
                <w:sz w:val="20"/>
                <w:shd w:fill="FFFFFF" w:val="clear"/>
              </w:rPr>
              <w:t>(5)</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251,669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9,883</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33.4193</w:t>
            </w:r>
            <w:r>
              <w:rPr/>
              <w:t xml:space="preserve"> </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241,786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custodian for child's UTMA account</w:t>
            </w:r>
          </w:p>
        </w:tc>
      </w:tr>
      <w:tr>
        <w:trPr/>
        <w:tc>
          <w:tcPr>
            <w:tcW w:w="21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19,806</w:t>
            </w:r>
            <w:r>
              <w:rPr>
                <w:rFonts w:ascii="Times;serif" w:hAnsi="Times;serif"/>
                <w:color w:val="008000"/>
                <w:position w:val="7"/>
                <w:sz w:val="16"/>
                <w:sz w:val="20"/>
                <w:shd w:fill="FFFFFF" w:val="clear"/>
              </w:rPr>
              <w:t>(6)</w:t>
            </w:r>
            <w:r>
              <w:rPr/>
              <w:t xml:space="preserve"> </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Trustee of Company Thrift Plan</w:t>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10,229</w:t>
            </w:r>
            <w:r>
              <w:rPr>
                <w:rFonts w:ascii="Times;serif" w:hAnsi="Times;serif"/>
                <w:color w:val="008000"/>
                <w:position w:val="7"/>
                <w:sz w:val="16"/>
                <w:sz w:val="20"/>
                <w:shd w:fill="FFFFFF" w:val="clear"/>
              </w:rPr>
              <w:t>(9)</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9,850</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15,400</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have vested and settled in shares of the Company's stock on a one-for-one basis. Pursuant to the terms of the time-based grant awarded under the 2020 Long-Term Incentive Plan, the total includes the prorated portion of the award that vested due to the reporting person's retirement, plus shares equivalent in value to accumulated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total of 1,915 time-based restricted stock units were forfeited on June 30, 2026, due to the reporting person's retirement from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for taxes on RSU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 total of 8,128 time-based restricted stock units were forfeited on June 30, 2026, due to the reporting person's retirement from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Restricted Stock Units (RSUs) that have vested and settled in shares of the Company's stock on a one-for-one basis. Pursuant to the terms of the time-based grant awarded under the 2025 Long-Term Incentive Plan, the total includes 100% of the original award, plus shares equivalent in value to accumulated dividends.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673 shares obtained through the Company Thrift Plan. The information in this report is based on a plan statement dated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phantom stock unit is the economic equivalent of one (1) share of Murphy Oil Corporation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phantom stock units were acquired under Murphy Oil Corporation's excess benefit plan and are to be settled upon the reporting person's retirement or other termination of service. The reporting person may transfer the value of his phantom stock units into an alternative investment account at any time prior to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Includes 669 shares obtained under Murphy Oil Corporation's excess benefit plan. The information in this report is based on a plan statement dated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generally do not carry a Conversion Price, Exercisable Date, or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Tricia M. Hammons,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4263" TargetMode="External"/><Relationship Id="rId5" Type="http://schemas.openxmlformats.org/officeDocument/2006/relationships/hyperlink" Target="http://www.sec.gov/cgi-bin/browse-edgar?action=getcompany&amp;CIK=0000717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987</Words>
  <Characters>5253</Characters>
  <CharactersWithSpaces>6104</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